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F81F" w14:textId="6871DC52" w:rsidR="00141925" w:rsidRPr="00BD77D8" w:rsidRDefault="00141925">
      <w:pPr>
        <w:spacing w:after="0" w:line="240" w:lineRule="auto"/>
      </w:pPr>
    </w:p>
    <w:p w14:paraId="1C31C3AD" w14:textId="4D387C22" w:rsidR="00807F67" w:rsidRPr="00BD77D8" w:rsidRDefault="00807F67" w:rsidP="00807F67">
      <w:pPr>
        <w:pStyle w:val="Heading2"/>
        <w:rPr>
          <w:color w:val="auto"/>
        </w:rPr>
      </w:pPr>
      <w:bookmarkStart w:id="0" w:name="_Toc113544417"/>
      <w:r w:rsidRPr="00BD77D8">
        <w:rPr>
          <w:color w:val="auto"/>
        </w:rPr>
        <w:t>Appendix 6</w:t>
      </w:r>
      <w:r w:rsidR="00E434A2" w:rsidRPr="00BD77D8">
        <w:rPr>
          <w:color w:val="auto"/>
        </w:rPr>
        <w:t>—</w:t>
      </w:r>
      <w:r w:rsidRPr="00BD77D8">
        <w:rPr>
          <w:color w:val="auto"/>
        </w:rPr>
        <w:t xml:space="preserve">Financial </w:t>
      </w:r>
      <w:r w:rsidR="00154F3A" w:rsidRPr="00BD77D8">
        <w:rPr>
          <w:color w:val="auto"/>
        </w:rPr>
        <w:t>S</w:t>
      </w:r>
      <w:r w:rsidRPr="00BD77D8">
        <w:rPr>
          <w:color w:val="auto"/>
        </w:rPr>
        <w:t>tatement</w:t>
      </w:r>
      <w:r w:rsidR="008735CC" w:rsidRPr="00BD77D8">
        <w:rPr>
          <w:color w:val="auto"/>
        </w:rPr>
        <w:t>s</w:t>
      </w:r>
      <w:bookmarkEnd w:id="0"/>
    </w:p>
    <w:p w14:paraId="5B5FD1E6" w14:textId="68C9E7F5" w:rsidR="00AF6CD7" w:rsidRPr="00BD77D8" w:rsidRDefault="00AF6CD7" w:rsidP="00DF4756">
      <w:pPr>
        <w:spacing w:before="2160" w:after="120" w:line="240" w:lineRule="auto"/>
        <w:jc w:val="center"/>
        <w:textAlignment w:val="baseline"/>
        <w:rPr>
          <w:rFonts w:eastAsia="Arial"/>
          <w:b/>
          <w:bCs/>
          <w:spacing w:val="-6"/>
          <w:w w:val="105"/>
          <w:sz w:val="44"/>
          <w:szCs w:val="44"/>
          <w:lang w:eastAsia="en-US"/>
        </w:rPr>
      </w:pPr>
      <w:r w:rsidRPr="00BD77D8">
        <w:rPr>
          <w:rFonts w:eastAsia="Arial"/>
          <w:b/>
          <w:bCs/>
          <w:spacing w:val="-6"/>
          <w:w w:val="105"/>
          <w:sz w:val="44"/>
          <w:szCs w:val="44"/>
          <w:lang w:eastAsia="en-US"/>
        </w:rPr>
        <w:t xml:space="preserve">Department of Seniors, Disability Services and Aboriginal and Torres Strait Islander </w:t>
      </w:r>
    </w:p>
    <w:p w14:paraId="06045075" w14:textId="7FFBEDDA" w:rsidR="00AF6CD7" w:rsidRPr="00BD77D8" w:rsidRDefault="00AF6CD7" w:rsidP="00702AE3">
      <w:pPr>
        <w:spacing w:after="120" w:line="240" w:lineRule="auto"/>
        <w:jc w:val="center"/>
        <w:textAlignment w:val="baseline"/>
        <w:rPr>
          <w:rFonts w:eastAsia="Arial"/>
          <w:b/>
          <w:bCs/>
          <w:spacing w:val="-6"/>
          <w:w w:val="105"/>
          <w:sz w:val="44"/>
          <w:szCs w:val="44"/>
          <w:lang w:eastAsia="en-US"/>
        </w:rPr>
      </w:pPr>
      <w:r w:rsidRPr="00BD77D8">
        <w:rPr>
          <w:rFonts w:eastAsia="Arial"/>
          <w:b/>
          <w:bCs/>
          <w:spacing w:val="-6"/>
          <w:w w:val="105"/>
          <w:sz w:val="44"/>
          <w:szCs w:val="44"/>
          <w:lang w:eastAsia="en-US"/>
        </w:rPr>
        <w:t>Partnership</w:t>
      </w:r>
      <w:r w:rsidR="00154F3A" w:rsidRPr="00BD77D8">
        <w:rPr>
          <w:rFonts w:eastAsia="Arial"/>
          <w:b/>
          <w:bCs/>
          <w:spacing w:val="-6"/>
          <w:w w:val="105"/>
          <w:sz w:val="44"/>
          <w:szCs w:val="44"/>
          <w:lang w:eastAsia="en-US"/>
        </w:rPr>
        <w:t>s</w:t>
      </w:r>
    </w:p>
    <w:p w14:paraId="07DECAD4" w14:textId="77777777" w:rsidR="00AF6CD7" w:rsidRPr="00BD77D8" w:rsidRDefault="00AF6CD7" w:rsidP="00DF4756">
      <w:pPr>
        <w:spacing w:before="360" w:after="0" w:line="456" w:lineRule="exact"/>
        <w:jc w:val="center"/>
        <w:textAlignment w:val="baseline"/>
        <w:rPr>
          <w:rFonts w:eastAsia="Arial"/>
          <w:b/>
          <w:bCs/>
          <w:spacing w:val="-4"/>
          <w:w w:val="105"/>
          <w:sz w:val="44"/>
          <w:szCs w:val="44"/>
          <w:lang w:eastAsia="en-US"/>
        </w:rPr>
      </w:pPr>
      <w:r w:rsidRPr="00BD77D8">
        <w:rPr>
          <w:rFonts w:eastAsia="Arial"/>
          <w:b/>
          <w:bCs/>
          <w:spacing w:val="-4"/>
          <w:w w:val="105"/>
          <w:sz w:val="44"/>
          <w:szCs w:val="44"/>
          <w:lang w:eastAsia="en-US"/>
        </w:rPr>
        <w:t>Annual Financial Statements</w:t>
      </w:r>
    </w:p>
    <w:p w14:paraId="737661D2" w14:textId="79F50C83" w:rsidR="00AF6CD7" w:rsidRPr="00BD77D8" w:rsidRDefault="00AF6CD7" w:rsidP="00DF4756">
      <w:pPr>
        <w:spacing w:before="360" w:after="0" w:line="465" w:lineRule="exact"/>
        <w:jc w:val="center"/>
        <w:textAlignment w:val="baseline"/>
        <w:rPr>
          <w:rFonts w:eastAsia="Arial"/>
          <w:b/>
          <w:bCs/>
          <w:spacing w:val="-9"/>
          <w:sz w:val="44"/>
          <w:szCs w:val="44"/>
          <w:lang w:eastAsia="en-US"/>
        </w:rPr>
      </w:pPr>
      <w:r w:rsidRPr="00BD77D8">
        <w:rPr>
          <w:rFonts w:eastAsia="Arial"/>
          <w:b/>
          <w:bCs/>
          <w:spacing w:val="-9"/>
          <w:sz w:val="44"/>
          <w:szCs w:val="44"/>
          <w:lang w:eastAsia="en-US"/>
        </w:rPr>
        <w:t>2021</w:t>
      </w:r>
      <w:r w:rsidR="00A901B7" w:rsidRPr="00BD77D8">
        <w:rPr>
          <w:rFonts w:eastAsia="Arial"/>
          <w:b/>
          <w:bCs/>
          <w:spacing w:val="-9"/>
          <w:sz w:val="44"/>
          <w:szCs w:val="44"/>
          <w:lang w:eastAsia="en-US"/>
        </w:rPr>
        <w:t>–</w:t>
      </w:r>
      <w:r w:rsidR="00154F3A" w:rsidRPr="00BD77D8">
        <w:rPr>
          <w:rFonts w:eastAsia="Arial"/>
          <w:b/>
          <w:bCs/>
          <w:spacing w:val="-9"/>
          <w:sz w:val="44"/>
          <w:szCs w:val="44"/>
          <w:lang w:eastAsia="en-US"/>
        </w:rPr>
        <w:t>20</w:t>
      </w:r>
      <w:r w:rsidRPr="00BD77D8">
        <w:rPr>
          <w:rFonts w:eastAsia="Arial"/>
          <w:b/>
          <w:bCs/>
          <w:spacing w:val="-9"/>
          <w:sz w:val="44"/>
          <w:szCs w:val="44"/>
          <w:lang w:eastAsia="en-US"/>
        </w:rPr>
        <w:t>22</w:t>
      </w:r>
    </w:p>
    <w:p w14:paraId="41CD6D84" w14:textId="0B79A746" w:rsidR="00AF6CD7" w:rsidRPr="00BD77D8" w:rsidRDefault="00AF6CD7">
      <w:pPr>
        <w:spacing w:after="0" w:line="240" w:lineRule="auto"/>
        <w:rPr>
          <w:rFonts w:eastAsia="Calibri"/>
          <w:bCs/>
          <w:iCs/>
          <w:sz w:val="32"/>
          <w:szCs w:val="32"/>
          <w:lang w:eastAsia="en-US"/>
        </w:rPr>
      </w:pPr>
      <w:r w:rsidRPr="00BD77D8">
        <w:rPr>
          <w:rFonts w:eastAsia="Calibri"/>
          <w:bCs/>
          <w:iCs/>
          <w:sz w:val="32"/>
          <w:szCs w:val="32"/>
          <w:lang w:eastAsia="en-US"/>
        </w:rPr>
        <w:br w:type="page"/>
      </w:r>
    </w:p>
    <w:p w14:paraId="59B70D21" w14:textId="77777777" w:rsidR="00AF6CD7" w:rsidRPr="00BD77D8" w:rsidRDefault="00AF6CD7" w:rsidP="00AF6CD7">
      <w:pPr>
        <w:spacing w:before="21" w:after="0" w:line="200" w:lineRule="exact"/>
        <w:jc w:val="center"/>
        <w:textAlignment w:val="baseline"/>
        <w:rPr>
          <w:rFonts w:eastAsia="Arial" w:cs="Times New Roman"/>
          <w:b/>
          <w:sz w:val="18"/>
          <w:szCs w:val="22"/>
          <w:lang w:val="en-US" w:eastAsia="en-US"/>
        </w:rPr>
      </w:pPr>
      <w:r w:rsidRPr="00BD77D8">
        <w:rPr>
          <w:rFonts w:eastAsia="Arial" w:cs="Times New Roman"/>
          <w:b/>
          <w:sz w:val="18"/>
          <w:szCs w:val="22"/>
          <w:lang w:val="en-US" w:eastAsia="en-US"/>
        </w:rPr>
        <w:lastRenderedPageBreak/>
        <w:t>Department of Seniors, Disability Services and Aboriginal and Torres Strait Islander Partnerships</w:t>
      </w:r>
    </w:p>
    <w:p w14:paraId="5E7F7F82" w14:textId="77777777" w:rsidR="00AF6CD7" w:rsidRPr="00BD77D8" w:rsidRDefault="00AF6CD7" w:rsidP="00AF6CD7">
      <w:pPr>
        <w:spacing w:before="4" w:after="0" w:line="200" w:lineRule="exact"/>
        <w:jc w:val="center"/>
        <w:textAlignment w:val="baseline"/>
        <w:rPr>
          <w:rFonts w:eastAsia="Arial" w:cs="Times New Roman"/>
          <w:b/>
          <w:sz w:val="18"/>
          <w:szCs w:val="22"/>
          <w:lang w:val="en-US" w:eastAsia="en-US"/>
        </w:rPr>
      </w:pPr>
      <w:r w:rsidRPr="00BD77D8">
        <w:rPr>
          <w:rFonts w:eastAsia="Arial" w:cs="Times New Roman"/>
          <w:b/>
          <w:sz w:val="18"/>
          <w:szCs w:val="22"/>
          <w:lang w:val="en-US" w:eastAsia="en-US"/>
        </w:rPr>
        <w:t>Financial Statements</w:t>
      </w:r>
    </w:p>
    <w:p w14:paraId="5C4B73DE" w14:textId="0A015BBD" w:rsidR="00AF6CD7" w:rsidRPr="00BD77D8" w:rsidRDefault="00AF6CD7" w:rsidP="00AF6CD7">
      <w:pPr>
        <w:spacing w:before="14" w:after="95" w:line="200" w:lineRule="exact"/>
        <w:jc w:val="center"/>
        <w:textAlignment w:val="baseline"/>
        <w:rPr>
          <w:rFonts w:eastAsia="Arial" w:cs="Times New Roman"/>
          <w:b/>
          <w:sz w:val="18"/>
          <w:szCs w:val="22"/>
          <w:lang w:val="en-US" w:eastAsia="en-US"/>
        </w:rPr>
      </w:pPr>
      <w:r w:rsidRPr="00BD77D8">
        <w:rPr>
          <w:rFonts w:eastAsia="Arial" w:cs="Times New Roman"/>
          <w:b/>
          <w:sz w:val="18"/>
          <w:szCs w:val="22"/>
          <w:lang w:val="en-US" w:eastAsia="en-US"/>
        </w:rPr>
        <w:t>for the year ended 30 June 2022</w:t>
      </w:r>
    </w:p>
    <w:p w14:paraId="3267B9C5" w14:textId="77777777" w:rsidR="009C02E1" w:rsidRPr="00BD77D8" w:rsidRDefault="009C02E1" w:rsidP="00B71089">
      <w:pPr>
        <w:tabs>
          <w:tab w:val="right" w:pos="9072"/>
        </w:tabs>
        <w:spacing w:before="240" w:after="0" w:line="200" w:lineRule="exact"/>
        <w:ind w:left="3459"/>
        <w:textAlignment w:val="baseline"/>
        <w:rPr>
          <w:rFonts w:eastAsia="Arial" w:cs="Times New Roman"/>
          <w:b/>
          <w:sz w:val="18"/>
          <w:szCs w:val="22"/>
          <w:lang w:val="en-US" w:eastAsia="en-US"/>
        </w:rPr>
      </w:pPr>
    </w:p>
    <w:p w14:paraId="28ED8BB8" w14:textId="0474E626" w:rsidR="009C02E1" w:rsidRPr="00BD77D8" w:rsidRDefault="00702AE3" w:rsidP="00B71089">
      <w:pPr>
        <w:tabs>
          <w:tab w:val="right" w:pos="9072"/>
        </w:tabs>
        <w:spacing w:before="240" w:after="0" w:line="200" w:lineRule="exact"/>
        <w:ind w:left="3459"/>
        <w:textAlignment w:val="baseline"/>
        <w:rPr>
          <w:rFonts w:eastAsia="Arial" w:cs="Times New Roman"/>
          <w:b/>
          <w:sz w:val="18"/>
          <w:szCs w:val="22"/>
          <w:lang w:val="en-US" w:eastAsia="en-US"/>
        </w:rPr>
      </w:pPr>
      <w:r w:rsidRPr="00BD77D8">
        <w:rPr>
          <w:rFonts w:ascii="Times New Roman" w:eastAsia="PMingLiU" w:hAnsi="Times New Roman" w:cs="Times New Roman"/>
          <w:noProof/>
          <w:sz w:val="22"/>
          <w:szCs w:val="22"/>
          <w:lang w:val="en-US" w:eastAsia="en-US"/>
        </w:rPr>
        <mc:AlternateContent>
          <mc:Choice Requires="wps">
            <w:drawing>
              <wp:anchor distT="0" distB="0" distL="114300" distR="114300" simplePos="0" relativeHeight="251666432" behindDoc="0" locked="0" layoutInCell="1" allowOverlap="1" wp14:anchorId="316DBB4B" wp14:editId="5341B15B">
                <wp:simplePos x="0" y="0"/>
                <wp:positionH relativeFrom="page">
                  <wp:posOffset>556591</wp:posOffset>
                </wp:positionH>
                <wp:positionV relativeFrom="page">
                  <wp:posOffset>1391478</wp:posOffset>
                </wp:positionV>
                <wp:extent cx="6103593" cy="7952"/>
                <wp:effectExtent l="0" t="0" r="31115" b="3048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3593" cy="795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765FA" id="Straight Connector 1" o:spid="_x0000_s1026" alt="&quot;&quot;"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5pt,109.55pt" to="524.4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" strokeweight=".25pt">
                <w10:wrap anchorx="page" anchory="page"/>
              </v:line>
            </w:pict>
          </mc:Fallback>
        </mc:AlternateContent>
      </w:r>
    </w:p>
    <w:p w14:paraId="55A8FD17" w14:textId="22D17367" w:rsidR="00AF6CD7" w:rsidRPr="00BD77D8" w:rsidRDefault="00AF6CD7" w:rsidP="00702AE3">
      <w:pPr>
        <w:tabs>
          <w:tab w:val="right" w:pos="9072"/>
        </w:tabs>
        <w:spacing w:before="240" w:after="0" w:line="200" w:lineRule="exact"/>
        <w:ind w:left="4395"/>
        <w:textAlignment w:val="baseline"/>
        <w:rPr>
          <w:rFonts w:eastAsia="Arial" w:cs="Times New Roman"/>
          <w:b/>
          <w:sz w:val="20"/>
          <w:szCs w:val="20"/>
          <w:lang w:val="en-US" w:eastAsia="en-US"/>
        </w:rPr>
      </w:pPr>
      <w:r w:rsidRPr="00BD77D8">
        <w:rPr>
          <w:rFonts w:eastAsia="Arial" w:cs="Times New Roman"/>
          <w:b/>
          <w:sz w:val="20"/>
          <w:szCs w:val="20"/>
          <w:lang w:val="en-US" w:eastAsia="en-US"/>
        </w:rPr>
        <w:t>CONTENTS</w:t>
      </w:r>
    </w:p>
    <w:p w14:paraId="4F023558" w14:textId="41D7770C" w:rsidR="00AF6CD7" w:rsidRPr="00BD77D8" w:rsidRDefault="00AF6CD7" w:rsidP="00702AE3">
      <w:pPr>
        <w:tabs>
          <w:tab w:val="right" w:pos="9781"/>
        </w:tabs>
        <w:spacing w:before="62" w:after="0" w:line="200" w:lineRule="exact"/>
        <w:ind w:left="142"/>
        <w:textAlignment w:val="baseline"/>
        <w:rPr>
          <w:rFonts w:eastAsia="Arial" w:cs="Times New Roman"/>
          <w:sz w:val="18"/>
          <w:szCs w:val="22"/>
          <w:lang w:val="en-US" w:eastAsia="en-US"/>
        </w:rPr>
      </w:pPr>
      <w:r w:rsidRPr="00BD77D8">
        <w:rPr>
          <w:rFonts w:eastAsia="Arial" w:cs="Times New Roman"/>
          <w:b/>
          <w:sz w:val="18"/>
          <w:szCs w:val="22"/>
          <w:lang w:val="en-US" w:eastAsia="en-US"/>
        </w:rPr>
        <w:t>Financial Statements</w:t>
      </w:r>
      <w:r w:rsidRPr="00BD77D8">
        <w:rPr>
          <w:rFonts w:eastAsia="Arial" w:cs="Times New Roman"/>
          <w:b/>
          <w:sz w:val="18"/>
          <w:szCs w:val="22"/>
          <w:lang w:val="en-US" w:eastAsia="en-US"/>
        </w:rPr>
        <w:tab/>
      </w:r>
      <w:r w:rsidRPr="00BD77D8">
        <w:rPr>
          <w:rFonts w:eastAsia="Arial" w:cs="Times New Roman"/>
          <w:sz w:val="18"/>
          <w:szCs w:val="22"/>
          <w:lang w:val="en-US" w:eastAsia="en-US"/>
        </w:rPr>
        <w:t xml:space="preserve">   2</w:t>
      </w:r>
    </w:p>
    <w:p w14:paraId="22C55094" w14:textId="3655F9F9" w:rsidR="00AF6CD7" w:rsidRPr="00BD77D8" w:rsidRDefault="00AF6CD7" w:rsidP="00702AE3">
      <w:pPr>
        <w:tabs>
          <w:tab w:val="right" w:pos="9781"/>
        </w:tabs>
        <w:spacing w:before="62"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Statement of Comprehensive Income - Controlled</w:t>
      </w:r>
      <w:r w:rsidRPr="00BD77D8">
        <w:rPr>
          <w:rFonts w:eastAsia="Arial" w:cs="Times New Roman"/>
          <w:sz w:val="18"/>
          <w:szCs w:val="22"/>
          <w:lang w:val="en-US" w:eastAsia="en-US"/>
        </w:rPr>
        <w:tab/>
        <w:t>4</w:t>
      </w:r>
    </w:p>
    <w:p w14:paraId="06B10EEB" w14:textId="29933AEF" w:rsidR="00AF6CD7" w:rsidRPr="00BD77D8" w:rsidRDefault="00AF6CD7" w:rsidP="00702AE3">
      <w:pPr>
        <w:tabs>
          <w:tab w:val="right" w:pos="9781"/>
        </w:tabs>
        <w:spacing w:before="62"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Statement of Comprehensive Income by Major Departmental Services - Controlled</w:t>
      </w:r>
      <w:r w:rsidRPr="00BD77D8">
        <w:rPr>
          <w:rFonts w:eastAsia="Arial" w:cs="Times New Roman"/>
          <w:sz w:val="18"/>
          <w:szCs w:val="22"/>
          <w:lang w:val="en-US" w:eastAsia="en-US"/>
        </w:rPr>
        <w:tab/>
      </w:r>
      <w:r w:rsidR="00B71089" w:rsidRPr="00BD77D8">
        <w:rPr>
          <w:rFonts w:eastAsia="Arial" w:cs="Times New Roman"/>
          <w:sz w:val="18"/>
          <w:szCs w:val="22"/>
          <w:lang w:val="en-US" w:eastAsia="en-US"/>
        </w:rPr>
        <w:t>5</w:t>
      </w:r>
    </w:p>
    <w:p w14:paraId="5195F5FB" w14:textId="5107A81A" w:rsidR="00AF6CD7" w:rsidRPr="00BD77D8" w:rsidRDefault="00AF6CD7" w:rsidP="00702AE3">
      <w:pPr>
        <w:tabs>
          <w:tab w:val="right" w:pos="9781"/>
        </w:tabs>
        <w:spacing w:before="63"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Statement of Financial Position - Controlled</w:t>
      </w:r>
      <w:r w:rsidRPr="00BD77D8">
        <w:rPr>
          <w:rFonts w:eastAsia="Arial" w:cs="Times New Roman"/>
          <w:sz w:val="18"/>
          <w:szCs w:val="22"/>
          <w:lang w:val="en-US" w:eastAsia="en-US"/>
        </w:rPr>
        <w:tab/>
      </w:r>
      <w:r w:rsidR="00B71089" w:rsidRPr="00BD77D8">
        <w:rPr>
          <w:rFonts w:eastAsia="Arial" w:cs="Times New Roman"/>
          <w:sz w:val="18"/>
          <w:szCs w:val="22"/>
          <w:lang w:val="en-US" w:eastAsia="en-US"/>
        </w:rPr>
        <w:t>6</w:t>
      </w:r>
    </w:p>
    <w:p w14:paraId="010A8943" w14:textId="0E67B111" w:rsidR="00AF6CD7" w:rsidRPr="00BD77D8" w:rsidRDefault="00AF6CD7" w:rsidP="00702AE3">
      <w:pPr>
        <w:tabs>
          <w:tab w:val="right" w:pos="9781"/>
        </w:tabs>
        <w:spacing w:before="65"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Statement of Assets and Liabilities by Major Departmental Services - Controlled</w:t>
      </w:r>
      <w:r w:rsidRPr="00BD77D8">
        <w:rPr>
          <w:rFonts w:eastAsia="Arial" w:cs="Times New Roman"/>
          <w:sz w:val="18"/>
          <w:szCs w:val="22"/>
          <w:lang w:val="en-US" w:eastAsia="en-US"/>
        </w:rPr>
        <w:tab/>
      </w:r>
      <w:r w:rsidR="00B71089" w:rsidRPr="00BD77D8">
        <w:rPr>
          <w:rFonts w:eastAsia="Arial" w:cs="Times New Roman"/>
          <w:sz w:val="18"/>
          <w:szCs w:val="22"/>
          <w:lang w:val="en-US" w:eastAsia="en-US"/>
        </w:rPr>
        <w:t>7</w:t>
      </w:r>
    </w:p>
    <w:p w14:paraId="0C40721C" w14:textId="21655A38" w:rsidR="00AF6CD7" w:rsidRPr="00BD77D8" w:rsidRDefault="00AF6CD7" w:rsidP="00702AE3">
      <w:pPr>
        <w:tabs>
          <w:tab w:val="right" w:pos="9781"/>
        </w:tabs>
        <w:spacing w:before="62"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Statement of Changes in Equity - Controlled</w:t>
      </w:r>
      <w:r w:rsidRPr="00BD77D8">
        <w:rPr>
          <w:rFonts w:eastAsia="Arial" w:cs="Times New Roman"/>
          <w:sz w:val="18"/>
          <w:szCs w:val="22"/>
          <w:lang w:val="en-US" w:eastAsia="en-US"/>
        </w:rPr>
        <w:tab/>
      </w:r>
      <w:r w:rsidR="00B71089" w:rsidRPr="00BD77D8">
        <w:rPr>
          <w:rFonts w:eastAsia="Arial" w:cs="Times New Roman"/>
          <w:sz w:val="18"/>
          <w:szCs w:val="22"/>
          <w:lang w:val="en-US" w:eastAsia="en-US"/>
        </w:rPr>
        <w:t>8</w:t>
      </w:r>
    </w:p>
    <w:p w14:paraId="1F665A71" w14:textId="46EEBBD2" w:rsidR="00AF6CD7" w:rsidRPr="00BD77D8" w:rsidRDefault="00AF6CD7" w:rsidP="00702AE3">
      <w:pPr>
        <w:tabs>
          <w:tab w:val="right" w:pos="9781"/>
        </w:tabs>
        <w:spacing w:before="66"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 xml:space="preserve">Statement of Cash Flows - Controlled </w:t>
      </w:r>
      <w:r w:rsidRPr="00BD77D8">
        <w:rPr>
          <w:rFonts w:eastAsia="Arial" w:cs="Times New Roman"/>
          <w:sz w:val="18"/>
          <w:szCs w:val="22"/>
          <w:lang w:val="en-US" w:eastAsia="en-US"/>
        </w:rPr>
        <w:tab/>
      </w:r>
      <w:r w:rsidR="00B71089" w:rsidRPr="00BD77D8">
        <w:rPr>
          <w:rFonts w:eastAsia="Arial" w:cs="Times New Roman"/>
          <w:sz w:val="18"/>
          <w:szCs w:val="22"/>
          <w:lang w:val="en-US" w:eastAsia="en-US"/>
        </w:rPr>
        <w:t>9</w:t>
      </w:r>
    </w:p>
    <w:p w14:paraId="495E1542" w14:textId="264B13C2" w:rsidR="00AF6CD7" w:rsidRPr="00BD77D8" w:rsidRDefault="00AF6CD7" w:rsidP="00702AE3">
      <w:pPr>
        <w:tabs>
          <w:tab w:val="right" w:pos="9781"/>
        </w:tabs>
        <w:spacing w:before="59"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Notes to the Statement of Cash Flows - Controlled</w:t>
      </w:r>
      <w:r w:rsidRPr="00BD77D8">
        <w:rPr>
          <w:rFonts w:eastAsia="Arial" w:cs="Times New Roman"/>
          <w:sz w:val="18"/>
          <w:szCs w:val="22"/>
          <w:lang w:val="en-US" w:eastAsia="en-US"/>
        </w:rPr>
        <w:tab/>
      </w:r>
      <w:r w:rsidR="00B71089" w:rsidRPr="00BD77D8">
        <w:rPr>
          <w:rFonts w:eastAsia="Arial" w:cs="Times New Roman"/>
          <w:sz w:val="18"/>
          <w:szCs w:val="22"/>
          <w:lang w:val="en-US" w:eastAsia="en-US"/>
        </w:rPr>
        <w:t>10</w:t>
      </w:r>
    </w:p>
    <w:p w14:paraId="39625B72" w14:textId="43DD46D4" w:rsidR="00AF6CD7" w:rsidRPr="00BD77D8" w:rsidRDefault="00AF6CD7" w:rsidP="00702AE3">
      <w:pPr>
        <w:tabs>
          <w:tab w:val="right" w:pos="9781"/>
        </w:tabs>
        <w:spacing w:before="59" w:after="0" w:line="200" w:lineRule="exact"/>
        <w:ind w:left="142"/>
        <w:textAlignment w:val="baseline"/>
        <w:rPr>
          <w:rFonts w:eastAsia="Arial" w:cs="Times New Roman"/>
          <w:b/>
          <w:sz w:val="18"/>
          <w:szCs w:val="22"/>
          <w:lang w:val="en-US" w:eastAsia="en-US"/>
        </w:rPr>
      </w:pPr>
      <w:r w:rsidRPr="00BD77D8">
        <w:rPr>
          <w:rFonts w:eastAsia="Arial" w:cs="Times New Roman"/>
          <w:b/>
          <w:sz w:val="18"/>
          <w:szCs w:val="22"/>
          <w:lang w:val="en-US" w:eastAsia="en-US"/>
        </w:rPr>
        <w:t>Notes to the Financial Statements</w:t>
      </w:r>
      <w:r w:rsidR="00B71089" w:rsidRPr="00BD77D8">
        <w:rPr>
          <w:rFonts w:eastAsia="Arial" w:cs="Times New Roman"/>
          <w:b/>
          <w:sz w:val="18"/>
          <w:szCs w:val="22"/>
          <w:lang w:val="en-US" w:eastAsia="en-US"/>
        </w:rPr>
        <w:tab/>
      </w:r>
      <w:r w:rsidR="00B71089" w:rsidRPr="00BD77D8">
        <w:rPr>
          <w:rFonts w:eastAsia="Arial" w:cs="Times New Roman"/>
          <w:bCs/>
          <w:sz w:val="18"/>
          <w:szCs w:val="22"/>
          <w:lang w:val="en-US" w:eastAsia="en-US"/>
        </w:rPr>
        <w:t>11</w:t>
      </w:r>
    </w:p>
    <w:p w14:paraId="749FAEE4" w14:textId="3D301D97" w:rsidR="00AF6CD7" w:rsidRPr="00BD77D8" w:rsidRDefault="00AF6CD7" w:rsidP="00702AE3">
      <w:pPr>
        <w:tabs>
          <w:tab w:val="left" w:pos="504"/>
          <w:tab w:val="right" w:pos="9781"/>
        </w:tabs>
        <w:spacing w:before="63"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A</w:t>
      </w:r>
      <w:r w:rsidR="00012D14" w:rsidRPr="00BD77D8">
        <w:rPr>
          <w:rFonts w:eastAsia="Arial" w:cs="Times New Roman"/>
          <w:sz w:val="18"/>
          <w:szCs w:val="22"/>
          <w:lang w:val="en-US" w:eastAsia="en-US"/>
        </w:rPr>
        <w:t>1</w:t>
      </w:r>
      <w:r w:rsidR="00B71089" w:rsidRPr="00BD77D8">
        <w:rPr>
          <w:rFonts w:eastAsia="Arial" w:cs="Times New Roman"/>
          <w:sz w:val="18"/>
          <w:szCs w:val="22"/>
          <w:lang w:val="en-US" w:eastAsia="en-US"/>
        </w:rPr>
        <w:t xml:space="preserve"> </w:t>
      </w:r>
      <w:r w:rsidRPr="00BD77D8">
        <w:rPr>
          <w:rFonts w:eastAsia="Arial" w:cs="Times New Roman"/>
          <w:sz w:val="18"/>
          <w:szCs w:val="22"/>
          <w:lang w:val="en-US" w:eastAsia="en-US"/>
        </w:rPr>
        <w:t>Departmental Objectives</w:t>
      </w:r>
      <w:r w:rsidRPr="00BD77D8">
        <w:rPr>
          <w:rFonts w:eastAsia="Arial" w:cs="Times New Roman"/>
          <w:sz w:val="18"/>
          <w:szCs w:val="22"/>
          <w:lang w:val="en-US" w:eastAsia="en-US"/>
        </w:rPr>
        <w:tab/>
      </w:r>
      <w:r w:rsidR="00B71089" w:rsidRPr="00BD77D8">
        <w:rPr>
          <w:rFonts w:eastAsia="Arial" w:cs="Times New Roman"/>
          <w:sz w:val="18"/>
          <w:szCs w:val="22"/>
          <w:lang w:val="en-US" w:eastAsia="en-US"/>
        </w:rPr>
        <w:t>11</w:t>
      </w:r>
    </w:p>
    <w:p w14:paraId="2D05448F" w14:textId="26B62B41" w:rsidR="00AF6CD7" w:rsidRPr="00BD77D8" w:rsidRDefault="00AF6CD7" w:rsidP="00702AE3">
      <w:pPr>
        <w:tabs>
          <w:tab w:val="left" w:pos="504"/>
          <w:tab w:val="right" w:pos="9781"/>
        </w:tabs>
        <w:spacing w:before="54" w:after="0" w:line="202"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A2</w:t>
      </w:r>
      <w:r w:rsidR="00B71089" w:rsidRPr="00BD77D8">
        <w:rPr>
          <w:rFonts w:eastAsia="Arial" w:cs="Times New Roman"/>
          <w:sz w:val="18"/>
          <w:szCs w:val="22"/>
          <w:lang w:val="en-US" w:eastAsia="en-US"/>
        </w:rPr>
        <w:t xml:space="preserve"> </w:t>
      </w:r>
      <w:r w:rsidRPr="00BD77D8">
        <w:rPr>
          <w:rFonts w:eastAsia="Arial" w:cs="Times New Roman"/>
          <w:sz w:val="18"/>
          <w:szCs w:val="22"/>
          <w:lang w:val="en-US" w:eastAsia="en-US"/>
        </w:rPr>
        <w:t>Basis of Financial Statement Preparation</w:t>
      </w:r>
      <w:r w:rsidRPr="00BD77D8">
        <w:rPr>
          <w:rFonts w:eastAsia="Arial" w:cs="Times New Roman"/>
          <w:sz w:val="18"/>
          <w:szCs w:val="22"/>
          <w:lang w:val="en-US" w:eastAsia="en-US"/>
        </w:rPr>
        <w:tab/>
        <w:t>1</w:t>
      </w:r>
      <w:r w:rsidR="00B71089" w:rsidRPr="00BD77D8">
        <w:rPr>
          <w:rFonts w:eastAsia="Arial" w:cs="Times New Roman"/>
          <w:sz w:val="18"/>
          <w:szCs w:val="22"/>
          <w:lang w:val="en-US" w:eastAsia="en-US"/>
        </w:rPr>
        <w:t>1</w:t>
      </w:r>
    </w:p>
    <w:p w14:paraId="3E23F2CC" w14:textId="417BB4BB" w:rsidR="00AF6CD7" w:rsidRPr="00BD77D8" w:rsidRDefault="00AF6CD7" w:rsidP="00702AE3">
      <w:pPr>
        <w:tabs>
          <w:tab w:val="left" w:pos="504"/>
          <w:tab w:val="right" w:pos="9781"/>
        </w:tabs>
        <w:spacing w:before="68"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A3</w:t>
      </w:r>
      <w:r w:rsidR="00B71089" w:rsidRPr="00BD77D8">
        <w:rPr>
          <w:rFonts w:eastAsia="Arial" w:cs="Times New Roman"/>
          <w:sz w:val="18"/>
          <w:szCs w:val="22"/>
          <w:lang w:val="en-US" w:eastAsia="en-US"/>
        </w:rPr>
        <w:t xml:space="preserve"> National Disability Insurance Scheme</w:t>
      </w:r>
      <w:r w:rsidRPr="00BD77D8">
        <w:rPr>
          <w:rFonts w:eastAsia="Arial" w:cs="Times New Roman"/>
          <w:sz w:val="18"/>
          <w:szCs w:val="22"/>
          <w:lang w:val="en-US" w:eastAsia="en-US"/>
        </w:rPr>
        <w:tab/>
        <w:t>1</w:t>
      </w:r>
      <w:r w:rsidR="00B71089" w:rsidRPr="00BD77D8">
        <w:rPr>
          <w:rFonts w:eastAsia="Arial" w:cs="Times New Roman"/>
          <w:sz w:val="18"/>
          <w:szCs w:val="22"/>
          <w:lang w:val="en-US" w:eastAsia="en-US"/>
        </w:rPr>
        <w:t>3</w:t>
      </w:r>
    </w:p>
    <w:p w14:paraId="04265594" w14:textId="5B03C881" w:rsidR="00AF6CD7" w:rsidRPr="00BD77D8" w:rsidRDefault="00AF6CD7" w:rsidP="00702AE3">
      <w:pPr>
        <w:tabs>
          <w:tab w:val="left" w:pos="504"/>
          <w:tab w:val="right" w:pos="9781"/>
        </w:tabs>
        <w:spacing w:before="63"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A4</w:t>
      </w:r>
      <w:r w:rsidR="00B71089" w:rsidRPr="00BD77D8">
        <w:rPr>
          <w:rFonts w:eastAsia="Arial" w:cs="Times New Roman"/>
          <w:sz w:val="18"/>
          <w:szCs w:val="22"/>
          <w:lang w:val="en-US" w:eastAsia="en-US"/>
        </w:rPr>
        <w:t xml:space="preserve"> Machinery-of-Government (</w:t>
      </w:r>
      <w:proofErr w:type="spellStart"/>
      <w:r w:rsidR="005D1832" w:rsidRPr="00BD77D8">
        <w:rPr>
          <w:rFonts w:eastAsia="Arial" w:cs="Times New Roman"/>
          <w:sz w:val="18"/>
          <w:szCs w:val="22"/>
          <w:lang w:val="en-US" w:eastAsia="en-US"/>
        </w:rPr>
        <w:t>M</w:t>
      </w:r>
      <w:r w:rsidR="00B71089" w:rsidRPr="00BD77D8">
        <w:rPr>
          <w:rFonts w:eastAsia="Arial" w:cs="Times New Roman"/>
          <w:sz w:val="18"/>
          <w:szCs w:val="22"/>
          <w:lang w:val="en-US" w:eastAsia="en-US"/>
        </w:rPr>
        <w:t>oG</w:t>
      </w:r>
      <w:proofErr w:type="spellEnd"/>
      <w:r w:rsidR="00B71089" w:rsidRPr="00BD77D8">
        <w:rPr>
          <w:rFonts w:eastAsia="Arial" w:cs="Times New Roman"/>
          <w:sz w:val="18"/>
          <w:szCs w:val="22"/>
          <w:lang w:val="en-US" w:eastAsia="en-US"/>
        </w:rPr>
        <w:t>) Changes</w:t>
      </w:r>
      <w:r w:rsidRPr="00BD77D8">
        <w:rPr>
          <w:rFonts w:eastAsia="Arial" w:cs="Times New Roman"/>
          <w:sz w:val="18"/>
          <w:szCs w:val="22"/>
          <w:lang w:val="en-US" w:eastAsia="en-US"/>
        </w:rPr>
        <w:tab/>
        <w:t>1</w:t>
      </w:r>
      <w:r w:rsidR="00B71089" w:rsidRPr="00BD77D8">
        <w:rPr>
          <w:rFonts w:eastAsia="Arial" w:cs="Times New Roman"/>
          <w:sz w:val="18"/>
          <w:szCs w:val="22"/>
          <w:lang w:val="en-US" w:eastAsia="en-US"/>
        </w:rPr>
        <w:t>3</w:t>
      </w:r>
    </w:p>
    <w:p w14:paraId="4DADBD98" w14:textId="7135F0D0" w:rsidR="00AF6CD7" w:rsidRPr="00BD77D8" w:rsidRDefault="00AF6CD7" w:rsidP="00702AE3">
      <w:pPr>
        <w:tabs>
          <w:tab w:val="right" w:pos="9781"/>
        </w:tabs>
        <w:spacing w:before="70" w:after="0" w:line="200" w:lineRule="exact"/>
        <w:ind w:left="142"/>
        <w:textAlignment w:val="baseline"/>
        <w:rPr>
          <w:rFonts w:eastAsia="Arial" w:cs="Times New Roman"/>
          <w:b/>
          <w:sz w:val="18"/>
          <w:szCs w:val="22"/>
          <w:lang w:val="en-US" w:eastAsia="en-US"/>
        </w:rPr>
      </w:pPr>
      <w:r w:rsidRPr="00BD77D8">
        <w:rPr>
          <w:rFonts w:eastAsia="Arial" w:cs="Times New Roman"/>
          <w:b/>
          <w:sz w:val="18"/>
          <w:szCs w:val="22"/>
          <w:lang w:val="en-US" w:eastAsia="en-US"/>
        </w:rPr>
        <w:t>Our Performance</w:t>
      </w:r>
      <w:r w:rsidRPr="00BD77D8">
        <w:rPr>
          <w:rFonts w:eastAsia="Arial" w:cs="Times New Roman"/>
          <w:b/>
          <w:sz w:val="18"/>
          <w:szCs w:val="22"/>
          <w:lang w:val="en-US" w:eastAsia="en-US"/>
        </w:rPr>
        <w:tab/>
      </w:r>
      <w:r w:rsidRPr="00BD77D8">
        <w:rPr>
          <w:rFonts w:eastAsia="Arial" w:cs="Times New Roman"/>
          <w:sz w:val="18"/>
          <w:szCs w:val="22"/>
          <w:lang w:val="en-US" w:eastAsia="en-US"/>
        </w:rPr>
        <w:t>1</w:t>
      </w:r>
      <w:r w:rsidR="00B71089" w:rsidRPr="00BD77D8">
        <w:rPr>
          <w:rFonts w:eastAsia="Arial" w:cs="Times New Roman"/>
          <w:sz w:val="18"/>
          <w:szCs w:val="22"/>
          <w:lang w:val="en-US" w:eastAsia="en-US"/>
        </w:rPr>
        <w:t>4</w:t>
      </w:r>
    </w:p>
    <w:p w14:paraId="1D4F5E37" w14:textId="4D0A6C92" w:rsidR="00AF6CD7" w:rsidRPr="00BD77D8" w:rsidRDefault="00AF6CD7" w:rsidP="00702AE3">
      <w:pPr>
        <w:tabs>
          <w:tab w:val="right" w:pos="9781"/>
        </w:tabs>
        <w:spacing w:before="58"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B1 Revenue</w:t>
      </w:r>
      <w:r w:rsidRPr="00BD77D8">
        <w:rPr>
          <w:rFonts w:eastAsia="Arial" w:cs="Times New Roman"/>
          <w:sz w:val="18"/>
          <w:szCs w:val="22"/>
          <w:lang w:val="en-US" w:eastAsia="en-US"/>
        </w:rPr>
        <w:tab/>
        <w:t>1</w:t>
      </w:r>
      <w:r w:rsidR="00B71089" w:rsidRPr="00BD77D8">
        <w:rPr>
          <w:rFonts w:eastAsia="Arial" w:cs="Times New Roman"/>
          <w:sz w:val="18"/>
          <w:szCs w:val="22"/>
          <w:lang w:val="en-US" w:eastAsia="en-US"/>
        </w:rPr>
        <w:t>4</w:t>
      </w:r>
    </w:p>
    <w:p w14:paraId="08DE3056" w14:textId="6002968A" w:rsidR="00AF6CD7" w:rsidRPr="00BD77D8" w:rsidRDefault="00AF6CD7" w:rsidP="00702AE3">
      <w:pPr>
        <w:tabs>
          <w:tab w:val="right" w:pos="9781"/>
        </w:tabs>
        <w:spacing w:before="64"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B2 Expenses</w:t>
      </w:r>
      <w:r w:rsidRPr="00BD77D8">
        <w:rPr>
          <w:rFonts w:eastAsia="Arial" w:cs="Times New Roman"/>
          <w:sz w:val="18"/>
          <w:szCs w:val="22"/>
          <w:lang w:val="en-US" w:eastAsia="en-US"/>
        </w:rPr>
        <w:tab/>
        <w:t>1</w:t>
      </w:r>
      <w:r w:rsidR="00B71089" w:rsidRPr="00BD77D8">
        <w:rPr>
          <w:rFonts w:eastAsia="Arial" w:cs="Times New Roman"/>
          <w:sz w:val="18"/>
          <w:szCs w:val="22"/>
          <w:lang w:val="en-US" w:eastAsia="en-US"/>
        </w:rPr>
        <w:t>7</w:t>
      </w:r>
    </w:p>
    <w:p w14:paraId="4EF10A3D" w14:textId="4A3152A2" w:rsidR="00AF6CD7" w:rsidRPr="00BD77D8" w:rsidRDefault="00AF6CD7" w:rsidP="00702AE3">
      <w:pPr>
        <w:tabs>
          <w:tab w:val="right" w:pos="9781"/>
        </w:tabs>
        <w:spacing w:before="67" w:after="0" w:line="200" w:lineRule="exact"/>
        <w:ind w:left="142"/>
        <w:textAlignment w:val="baseline"/>
        <w:rPr>
          <w:rFonts w:eastAsia="Arial" w:cs="Times New Roman"/>
          <w:b/>
          <w:sz w:val="18"/>
          <w:szCs w:val="22"/>
          <w:lang w:val="en-US" w:eastAsia="en-US"/>
        </w:rPr>
      </w:pPr>
      <w:r w:rsidRPr="00BD77D8">
        <w:rPr>
          <w:rFonts w:eastAsia="Arial" w:cs="Times New Roman"/>
          <w:b/>
          <w:sz w:val="18"/>
          <w:szCs w:val="22"/>
          <w:lang w:val="en-US" w:eastAsia="en-US"/>
        </w:rPr>
        <w:t>Our Financial Position</w:t>
      </w:r>
      <w:r w:rsidRPr="00BD77D8">
        <w:rPr>
          <w:rFonts w:eastAsia="Arial" w:cs="Times New Roman"/>
          <w:b/>
          <w:sz w:val="18"/>
          <w:szCs w:val="22"/>
          <w:lang w:val="en-US" w:eastAsia="en-US"/>
        </w:rPr>
        <w:tab/>
      </w:r>
      <w:r w:rsidRPr="00BD77D8">
        <w:rPr>
          <w:rFonts w:eastAsia="Arial" w:cs="Times New Roman"/>
          <w:sz w:val="18"/>
          <w:szCs w:val="22"/>
          <w:lang w:val="en-US" w:eastAsia="en-US"/>
        </w:rPr>
        <w:t>2</w:t>
      </w:r>
      <w:r w:rsidR="00A04862" w:rsidRPr="00BD77D8">
        <w:rPr>
          <w:rFonts w:eastAsia="Arial" w:cs="Times New Roman"/>
          <w:sz w:val="18"/>
          <w:szCs w:val="22"/>
          <w:lang w:val="en-US" w:eastAsia="en-US"/>
        </w:rPr>
        <w:t>0</w:t>
      </w:r>
    </w:p>
    <w:p w14:paraId="1022AC71" w14:textId="6E3416E3" w:rsidR="00AF6CD7" w:rsidRPr="00BD77D8" w:rsidRDefault="00AF6CD7" w:rsidP="00702AE3">
      <w:pPr>
        <w:tabs>
          <w:tab w:val="left" w:pos="504"/>
          <w:tab w:val="right" w:pos="9781"/>
        </w:tabs>
        <w:spacing w:before="63"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C</w:t>
      </w:r>
      <w:r w:rsidR="00012D14" w:rsidRPr="00BD77D8">
        <w:rPr>
          <w:rFonts w:eastAsia="Arial" w:cs="Times New Roman"/>
          <w:sz w:val="18"/>
          <w:szCs w:val="22"/>
          <w:lang w:val="en-US" w:eastAsia="en-US"/>
        </w:rPr>
        <w:t>1</w:t>
      </w:r>
      <w:r w:rsidR="00B71089" w:rsidRPr="00BD77D8">
        <w:rPr>
          <w:rFonts w:eastAsia="Arial" w:cs="Times New Roman"/>
          <w:sz w:val="18"/>
          <w:szCs w:val="22"/>
          <w:lang w:val="en-US" w:eastAsia="en-US"/>
        </w:rPr>
        <w:t xml:space="preserve"> </w:t>
      </w:r>
      <w:r w:rsidRPr="00BD77D8">
        <w:rPr>
          <w:rFonts w:eastAsia="Arial" w:cs="Times New Roman"/>
          <w:sz w:val="18"/>
          <w:szCs w:val="22"/>
          <w:lang w:val="en-US" w:eastAsia="en-US"/>
        </w:rPr>
        <w:t>Cash and Cash Equivalents</w:t>
      </w:r>
      <w:r w:rsidRPr="00BD77D8">
        <w:rPr>
          <w:rFonts w:eastAsia="Arial" w:cs="Times New Roman"/>
          <w:sz w:val="18"/>
          <w:szCs w:val="22"/>
          <w:lang w:val="en-US" w:eastAsia="en-US"/>
        </w:rPr>
        <w:tab/>
        <w:t>2</w:t>
      </w:r>
      <w:r w:rsidR="00A04862" w:rsidRPr="00BD77D8">
        <w:rPr>
          <w:rFonts w:eastAsia="Arial" w:cs="Times New Roman"/>
          <w:sz w:val="18"/>
          <w:szCs w:val="22"/>
          <w:lang w:val="en-US" w:eastAsia="en-US"/>
        </w:rPr>
        <w:t>0</w:t>
      </w:r>
    </w:p>
    <w:p w14:paraId="1D3E1C35" w14:textId="65642335" w:rsidR="00AF6CD7" w:rsidRPr="00BD77D8" w:rsidRDefault="00AF6CD7" w:rsidP="00702AE3">
      <w:pPr>
        <w:tabs>
          <w:tab w:val="right" w:pos="9781"/>
        </w:tabs>
        <w:spacing w:before="59"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C2 Receivables</w:t>
      </w:r>
      <w:r w:rsidRPr="00BD77D8">
        <w:rPr>
          <w:rFonts w:eastAsia="Arial" w:cs="Times New Roman"/>
          <w:sz w:val="18"/>
          <w:szCs w:val="22"/>
          <w:lang w:val="en-US" w:eastAsia="en-US"/>
        </w:rPr>
        <w:tab/>
        <w:t>2</w:t>
      </w:r>
      <w:r w:rsidR="00A04862" w:rsidRPr="00BD77D8">
        <w:rPr>
          <w:rFonts w:eastAsia="Arial" w:cs="Times New Roman"/>
          <w:sz w:val="18"/>
          <w:szCs w:val="22"/>
          <w:lang w:val="en-US" w:eastAsia="en-US"/>
        </w:rPr>
        <w:t>0</w:t>
      </w:r>
    </w:p>
    <w:p w14:paraId="72CCD6B9" w14:textId="76FCFF1E" w:rsidR="00AF6CD7" w:rsidRPr="00BD77D8" w:rsidRDefault="00AF6CD7" w:rsidP="00702AE3">
      <w:pPr>
        <w:tabs>
          <w:tab w:val="left" w:pos="504"/>
          <w:tab w:val="right" w:pos="9781"/>
        </w:tabs>
        <w:spacing w:before="64"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C3</w:t>
      </w:r>
      <w:r w:rsidR="00B71089" w:rsidRPr="00BD77D8">
        <w:rPr>
          <w:rFonts w:eastAsia="Arial" w:cs="Times New Roman"/>
          <w:sz w:val="18"/>
          <w:szCs w:val="22"/>
          <w:lang w:val="en-US" w:eastAsia="en-US"/>
        </w:rPr>
        <w:t xml:space="preserve"> </w:t>
      </w:r>
      <w:r w:rsidRPr="00BD77D8">
        <w:rPr>
          <w:rFonts w:eastAsia="Arial" w:cs="Times New Roman"/>
          <w:sz w:val="18"/>
          <w:szCs w:val="22"/>
          <w:lang w:val="en-US" w:eastAsia="en-US"/>
        </w:rPr>
        <w:t>Non-Current Assets Held for Sale</w:t>
      </w:r>
      <w:r w:rsidRPr="00BD77D8">
        <w:rPr>
          <w:rFonts w:eastAsia="Arial" w:cs="Times New Roman"/>
          <w:sz w:val="18"/>
          <w:szCs w:val="22"/>
          <w:lang w:val="en-US" w:eastAsia="en-US"/>
        </w:rPr>
        <w:tab/>
        <w:t>2</w:t>
      </w:r>
      <w:r w:rsidR="00A04862" w:rsidRPr="00BD77D8">
        <w:rPr>
          <w:rFonts w:eastAsia="Arial" w:cs="Times New Roman"/>
          <w:sz w:val="18"/>
          <w:szCs w:val="22"/>
          <w:lang w:val="en-US" w:eastAsia="en-US"/>
        </w:rPr>
        <w:t>1</w:t>
      </w:r>
    </w:p>
    <w:p w14:paraId="37565D43" w14:textId="338EE6D5" w:rsidR="00AF6CD7" w:rsidRPr="00BD77D8" w:rsidRDefault="00AF6CD7" w:rsidP="00702AE3">
      <w:pPr>
        <w:tabs>
          <w:tab w:val="left" w:pos="504"/>
          <w:tab w:val="right" w:pos="9781"/>
        </w:tabs>
        <w:spacing w:before="65"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C4</w:t>
      </w:r>
      <w:r w:rsidR="00B71089" w:rsidRPr="00BD77D8">
        <w:rPr>
          <w:rFonts w:eastAsia="Arial" w:cs="Times New Roman"/>
          <w:sz w:val="18"/>
          <w:szCs w:val="22"/>
          <w:lang w:val="en-US" w:eastAsia="en-US"/>
        </w:rPr>
        <w:t xml:space="preserve"> </w:t>
      </w:r>
      <w:r w:rsidRPr="00BD77D8">
        <w:rPr>
          <w:rFonts w:eastAsia="Arial" w:cs="Times New Roman"/>
          <w:sz w:val="18"/>
          <w:szCs w:val="22"/>
          <w:lang w:val="en-US" w:eastAsia="en-US"/>
        </w:rPr>
        <w:t>Property, Plant and Equipment</w:t>
      </w:r>
      <w:r w:rsidR="00A04862" w:rsidRPr="00BD77D8">
        <w:rPr>
          <w:rFonts w:eastAsia="Arial" w:cs="Times New Roman"/>
          <w:sz w:val="18"/>
          <w:szCs w:val="22"/>
          <w:lang w:val="en-US" w:eastAsia="en-US"/>
        </w:rPr>
        <w:t xml:space="preserve"> and Depreciation Expenses</w:t>
      </w:r>
      <w:r w:rsidRPr="00BD77D8">
        <w:rPr>
          <w:rFonts w:eastAsia="Arial" w:cs="Times New Roman"/>
          <w:sz w:val="18"/>
          <w:szCs w:val="22"/>
          <w:lang w:val="en-US" w:eastAsia="en-US"/>
        </w:rPr>
        <w:tab/>
        <w:t>2</w:t>
      </w:r>
      <w:r w:rsidR="00A04862" w:rsidRPr="00BD77D8">
        <w:rPr>
          <w:rFonts w:eastAsia="Arial" w:cs="Times New Roman"/>
          <w:sz w:val="18"/>
          <w:szCs w:val="22"/>
          <w:lang w:val="en-US" w:eastAsia="en-US"/>
        </w:rPr>
        <w:t>1</w:t>
      </w:r>
    </w:p>
    <w:p w14:paraId="0744961B" w14:textId="33C2A696" w:rsidR="00AF6CD7" w:rsidRPr="00BD77D8" w:rsidRDefault="00AF6CD7" w:rsidP="00702AE3">
      <w:pPr>
        <w:tabs>
          <w:tab w:val="right" w:pos="9781"/>
        </w:tabs>
        <w:spacing w:before="69"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C5 Intangibles</w:t>
      </w:r>
      <w:r w:rsidRPr="00BD77D8">
        <w:rPr>
          <w:rFonts w:eastAsia="Arial" w:cs="Times New Roman"/>
          <w:sz w:val="18"/>
          <w:szCs w:val="22"/>
          <w:lang w:val="en-US" w:eastAsia="en-US"/>
        </w:rPr>
        <w:tab/>
      </w:r>
      <w:r w:rsidR="00A04862" w:rsidRPr="00BD77D8">
        <w:rPr>
          <w:rFonts w:eastAsia="Arial" w:cs="Times New Roman"/>
          <w:sz w:val="18"/>
          <w:szCs w:val="22"/>
          <w:lang w:val="en-US" w:eastAsia="en-US"/>
        </w:rPr>
        <w:t>27</w:t>
      </w:r>
    </w:p>
    <w:p w14:paraId="6D3F3736" w14:textId="2E78189C" w:rsidR="00AF6CD7" w:rsidRPr="00BD77D8" w:rsidRDefault="00AF6CD7" w:rsidP="00702AE3">
      <w:pPr>
        <w:tabs>
          <w:tab w:val="right" w:pos="9781"/>
        </w:tabs>
        <w:spacing w:before="63"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C6 Payables</w:t>
      </w:r>
      <w:r w:rsidRPr="00BD77D8">
        <w:rPr>
          <w:rFonts w:eastAsia="Arial" w:cs="Times New Roman"/>
          <w:sz w:val="18"/>
          <w:szCs w:val="22"/>
          <w:lang w:val="en-US" w:eastAsia="en-US"/>
        </w:rPr>
        <w:tab/>
      </w:r>
      <w:r w:rsidR="00A04862" w:rsidRPr="00BD77D8">
        <w:rPr>
          <w:rFonts w:eastAsia="Arial" w:cs="Times New Roman"/>
          <w:sz w:val="18"/>
          <w:szCs w:val="22"/>
          <w:lang w:val="en-US" w:eastAsia="en-US"/>
        </w:rPr>
        <w:t>29</w:t>
      </w:r>
    </w:p>
    <w:p w14:paraId="2D3615AB" w14:textId="3BDF4CB1" w:rsidR="00AF6CD7" w:rsidRPr="00BD77D8" w:rsidRDefault="00AF6CD7" w:rsidP="00702AE3">
      <w:pPr>
        <w:tabs>
          <w:tab w:val="left" w:pos="504"/>
          <w:tab w:val="right" w:pos="9781"/>
        </w:tabs>
        <w:spacing w:before="59"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C7</w:t>
      </w:r>
      <w:r w:rsidR="00A04862" w:rsidRPr="00BD77D8">
        <w:rPr>
          <w:rFonts w:eastAsia="Arial" w:cs="Times New Roman"/>
          <w:sz w:val="18"/>
          <w:szCs w:val="22"/>
          <w:lang w:val="en-US" w:eastAsia="en-US"/>
        </w:rPr>
        <w:t xml:space="preserve"> </w:t>
      </w:r>
      <w:r w:rsidRPr="00BD77D8">
        <w:rPr>
          <w:rFonts w:eastAsia="Arial" w:cs="Times New Roman"/>
          <w:sz w:val="18"/>
          <w:szCs w:val="22"/>
          <w:lang w:val="en-US" w:eastAsia="en-US"/>
        </w:rPr>
        <w:t>Accrued Employee Benefits</w:t>
      </w:r>
      <w:r w:rsidRPr="00BD77D8">
        <w:rPr>
          <w:rFonts w:eastAsia="Arial" w:cs="Times New Roman"/>
          <w:sz w:val="18"/>
          <w:szCs w:val="22"/>
          <w:lang w:val="en-US" w:eastAsia="en-US"/>
        </w:rPr>
        <w:tab/>
      </w:r>
      <w:r w:rsidR="00A04862" w:rsidRPr="00BD77D8">
        <w:rPr>
          <w:rFonts w:eastAsia="Arial" w:cs="Times New Roman"/>
          <w:sz w:val="18"/>
          <w:szCs w:val="22"/>
          <w:lang w:val="en-US" w:eastAsia="en-US"/>
        </w:rPr>
        <w:t>29</w:t>
      </w:r>
    </w:p>
    <w:p w14:paraId="0EEA0F20" w14:textId="47C68C6E" w:rsidR="00AF6CD7" w:rsidRPr="00BD77D8" w:rsidRDefault="00AF6CD7" w:rsidP="00702AE3">
      <w:pPr>
        <w:tabs>
          <w:tab w:val="right" w:pos="9781"/>
        </w:tabs>
        <w:spacing w:before="65"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C8 Equity</w:t>
      </w:r>
      <w:r w:rsidRPr="00BD77D8">
        <w:rPr>
          <w:rFonts w:eastAsia="Arial" w:cs="Times New Roman"/>
          <w:sz w:val="18"/>
          <w:szCs w:val="22"/>
          <w:lang w:val="en-US" w:eastAsia="en-US"/>
        </w:rPr>
        <w:tab/>
      </w:r>
      <w:r w:rsidR="00A04862" w:rsidRPr="00BD77D8">
        <w:rPr>
          <w:rFonts w:eastAsia="Arial" w:cs="Times New Roman"/>
          <w:sz w:val="18"/>
          <w:szCs w:val="22"/>
          <w:lang w:val="en-US" w:eastAsia="en-US"/>
        </w:rPr>
        <w:t>29</w:t>
      </w:r>
    </w:p>
    <w:p w14:paraId="4452F579" w14:textId="534093F3" w:rsidR="00AF6CD7" w:rsidRPr="00BD77D8" w:rsidRDefault="00A04862" w:rsidP="00702AE3">
      <w:pPr>
        <w:tabs>
          <w:tab w:val="right" w:pos="9781"/>
        </w:tabs>
        <w:spacing w:before="65" w:after="0" w:line="200" w:lineRule="exact"/>
        <w:ind w:left="142"/>
        <w:textAlignment w:val="baseline"/>
        <w:rPr>
          <w:rFonts w:eastAsia="Arial" w:cs="Times New Roman"/>
          <w:b/>
          <w:sz w:val="18"/>
          <w:szCs w:val="22"/>
          <w:lang w:val="en-US" w:eastAsia="en-US"/>
        </w:rPr>
      </w:pPr>
      <w:r w:rsidRPr="00BD77D8">
        <w:rPr>
          <w:rFonts w:eastAsia="Arial" w:cs="Times New Roman"/>
          <w:b/>
          <w:sz w:val="18"/>
          <w:szCs w:val="22"/>
          <w:lang w:val="en-US" w:eastAsia="en-US"/>
        </w:rPr>
        <w:t xml:space="preserve">Risks and Other Accounting Uncertainties </w:t>
      </w:r>
      <w:r w:rsidR="00AF6CD7" w:rsidRPr="00BD77D8">
        <w:rPr>
          <w:rFonts w:eastAsia="Arial" w:cs="Times New Roman"/>
          <w:b/>
          <w:sz w:val="18"/>
          <w:szCs w:val="22"/>
          <w:lang w:val="en-US" w:eastAsia="en-US"/>
        </w:rPr>
        <w:tab/>
      </w:r>
      <w:r w:rsidR="00AF6CD7" w:rsidRPr="00BD77D8">
        <w:rPr>
          <w:rFonts w:eastAsia="Arial" w:cs="Times New Roman"/>
          <w:sz w:val="18"/>
          <w:szCs w:val="22"/>
          <w:lang w:val="en-US" w:eastAsia="en-US"/>
        </w:rPr>
        <w:t>3</w:t>
      </w:r>
      <w:r w:rsidRPr="00BD77D8">
        <w:rPr>
          <w:rFonts w:eastAsia="Arial" w:cs="Times New Roman"/>
          <w:sz w:val="18"/>
          <w:szCs w:val="22"/>
          <w:lang w:val="en-US" w:eastAsia="en-US"/>
        </w:rPr>
        <w:t>0</w:t>
      </w:r>
    </w:p>
    <w:p w14:paraId="3D9FFB4C" w14:textId="1A54A9F8" w:rsidR="00AF6CD7" w:rsidRPr="00BD77D8" w:rsidRDefault="00AF6CD7" w:rsidP="00702AE3">
      <w:pPr>
        <w:tabs>
          <w:tab w:val="left" w:pos="504"/>
          <w:tab w:val="right" w:pos="9781"/>
        </w:tabs>
        <w:spacing w:before="60"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D1</w:t>
      </w:r>
      <w:r w:rsidR="00A04862" w:rsidRPr="00BD77D8">
        <w:rPr>
          <w:rFonts w:eastAsia="Arial" w:cs="Times New Roman"/>
          <w:sz w:val="18"/>
          <w:szCs w:val="22"/>
          <w:lang w:val="en-US" w:eastAsia="en-US"/>
        </w:rPr>
        <w:t xml:space="preserve"> </w:t>
      </w:r>
      <w:r w:rsidRPr="00BD77D8">
        <w:rPr>
          <w:rFonts w:eastAsia="Arial" w:cs="Times New Roman"/>
          <w:sz w:val="18"/>
          <w:szCs w:val="22"/>
          <w:lang w:val="en-US" w:eastAsia="en-US"/>
        </w:rPr>
        <w:t>Financial Risk Disclosures</w:t>
      </w:r>
      <w:r w:rsidRPr="00BD77D8">
        <w:rPr>
          <w:rFonts w:eastAsia="Arial" w:cs="Times New Roman"/>
          <w:sz w:val="18"/>
          <w:szCs w:val="22"/>
          <w:lang w:val="en-US" w:eastAsia="en-US"/>
        </w:rPr>
        <w:tab/>
        <w:t>3</w:t>
      </w:r>
      <w:r w:rsidR="00A04862" w:rsidRPr="00BD77D8">
        <w:rPr>
          <w:rFonts w:eastAsia="Arial" w:cs="Times New Roman"/>
          <w:sz w:val="18"/>
          <w:szCs w:val="22"/>
          <w:lang w:val="en-US" w:eastAsia="en-US"/>
        </w:rPr>
        <w:t>0</w:t>
      </w:r>
    </w:p>
    <w:p w14:paraId="3D78725E" w14:textId="2842E197" w:rsidR="00AF6CD7" w:rsidRPr="00BD77D8" w:rsidRDefault="00AF6CD7" w:rsidP="00702AE3">
      <w:pPr>
        <w:tabs>
          <w:tab w:val="right" w:pos="9781"/>
        </w:tabs>
        <w:spacing w:before="65"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D2 Contingencies</w:t>
      </w:r>
      <w:r w:rsidRPr="00BD77D8">
        <w:rPr>
          <w:rFonts w:eastAsia="Arial" w:cs="Times New Roman"/>
          <w:sz w:val="18"/>
          <w:szCs w:val="22"/>
          <w:lang w:val="en-US" w:eastAsia="en-US"/>
        </w:rPr>
        <w:tab/>
        <w:t>3</w:t>
      </w:r>
      <w:r w:rsidR="00A04862" w:rsidRPr="00BD77D8">
        <w:rPr>
          <w:rFonts w:eastAsia="Arial" w:cs="Times New Roman"/>
          <w:sz w:val="18"/>
          <w:szCs w:val="22"/>
          <w:lang w:val="en-US" w:eastAsia="en-US"/>
        </w:rPr>
        <w:t>1</w:t>
      </w:r>
    </w:p>
    <w:p w14:paraId="63A0BC83" w14:textId="52CCF697" w:rsidR="00A04862" w:rsidRPr="00BD77D8" w:rsidRDefault="00AF6CD7" w:rsidP="00702AE3">
      <w:pPr>
        <w:tabs>
          <w:tab w:val="right" w:pos="9781"/>
        </w:tabs>
        <w:spacing w:before="64"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D3 Commitments</w:t>
      </w:r>
      <w:r w:rsidR="00A04862" w:rsidRPr="00BD77D8">
        <w:rPr>
          <w:rFonts w:eastAsia="Arial" w:cs="Times New Roman"/>
          <w:sz w:val="18"/>
          <w:szCs w:val="22"/>
          <w:lang w:val="en-US" w:eastAsia="en-US"/>
        </w:rPr>
        <w:tab/>
        <w:t>31</w:t>
      </w:r>
    </w:p>
    <w:p w14:paraId="50C85F3B" w14:textId="2C4F3990" w:rsidR="00AF6CD7" w:rsidRPr="00BD77D8" w:rsidRDefault="00A04862" w:rsidP="00702AE3">
      <w:pPr>
        <w:tabs>
          <w:tab w:val="right" w:pos="9781"/>
        </w:tabs>
        <w:spacing w:before="64" w:after="0" w:line="200" w:lineRule="exact"/>
        <w:ind w:left="142"/>
        <w:textAlignment w:val="baseline"/>
        <w:rPr>
          <w:rFonts w:eastAsia="Arial" w:cs="Times New Roman"/>
          <w:sz w:val="18"/>
          <w:szCs w:val="22"/>
          <w:lang w:val="en-US" w:eastAsia="en-US"/>
        </w:rPr>
      </w:pPr>
      <w:r w:rsidRPr="00BD77D8">
        <w:rPr>
          <w:rFonts w:eastAsia="Arial" w:cs="Times New Roman"/>
          <w:b/>
          <w:sz w:val="18"/>
          <w:szCs w:val="22"/>
          <w:lang w:val="en-US" w:eastAsia="en-US"/>
        </w:rPr>
        <w:t>Performance compared to Budget</w:t>
      </w:r>
      <w:r w:rsidR="00AF6CD7" w:rsidRPr="00BD77D8">
        <w:rPr>
          <w:rFonts w:eastAsia="Arial" w:cs="Times New Roman"/>
          <w:sz w:val="18"/>
          <w:szCs w:val="22"/>
          <w:lang w:val="en-US" w:eastAsia="en-US"/>
        </w:rPr>
        <w:tab/>
        <w:t>3</w:t>
      </w:r>
      <w:r w:rsidRPr="00BD77D8">
        <w:rPr>
          <w:rFonts w:eastAsia="Arial" w:cs="Times New Roman"/>
          <w:sz w:val="18"/>
          <w:szCs w:val="22"/>
          <w:lang w:val="en-US" w:eastAsia="en-US"/>
        </w:rPr>
        <w:t>2</w:t>
      </w:r>
    </w:p>
    <w:p w14:paraId="6996F1DD" w14:textId="56D45B75" w:rsidR="00AF6CD7" w:rsidRPr="00BD77D8" w:rsidRDefault="00AF6CD7" w:rsidP="00702AE3">
      <w:pPr>
        <w:tabs>
          <w:tab w:val="left" w:pos="504"/>
          <w:tab w:val="right" w:pos="9781"/>
        </w:tabs>
        <w:spacing w:before="66"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E</w:t>
      </w:r>
      <w:r w:rsidR="00012D14" w:rsidRPr="00BD77D8">
        <w:rPr>
          <w:rFonts w:eastAsia="Arial" w:cs="Times New Roman"/>
          <w:sz w:val="18"/>
          <w:szCs w:val="22"/>
          <w:lang w:val="en-US" w:eastAsia="en-US"/>
        </w:rPr>
        <w:t>1</w:t>
      </w:r>
      <w:r w:rsidR="00A04862" w:rsidRPr="00BD77D8">
        <w:rPr>
          <w:rFonts w:eastAsia="Arial" w:cs="Times New Roman"/>
          <w:sz w:val="18"/>
          <w:szCs w:val="22"/>
          <w:lang w:val="en-US" w:eastAsia="en-US"/>
        </w:rPr>
        <w:t xml:space="preserve"> </w:t>
      </w:r>
      <w:r w:rsidRPr="00BD77D8">
        <w:rPr>
          <w:rFonts w:eastAsia="Arial" w:cs="Times New Roman"/>
          <w:sz w:val="18"/>
          <w:szCs w:val="22"/>
          <w:lang w:val="en-US" w:eastAsia="en-US"/>
        </w:rPr>
        <w:t>Budgetary Reporting Disclosures</w:t>
      </w:r>
      <w:r w:rsidRPr="00BD77D8">
        <w:rPr>
          <w:rFonts w:eastAsia="Arial" w:cs="Times New Roman"/>
          <w:sz w:val="18"/>
          <w:szCs w:val="22"/>
          <w:lang w:val="en-US" w:eastAsia="en-US"/>
        </w:rPr>
        <w:tab/>
        <w:t>3</w:t>
      </w:r>
      <w:r w:rsidR="00A04862" w:rsidRPr="00BD77D8">
        <w:rPr>
          <w:rFonts w:eastAsia="Arial" w:cs="Times New Roman"/>
          <w:sz w:val="18"/>
          <w:szCs w:val="22"/>
          <w:lang w:val="en-US" w:eastAsia="en-US"/>
        </w:rPr>
        <w:t>2</w:t>
      </w:r>
    </w:p>
    <w:p w14:paraId="0271ABA9" w14:textId="32511180" w:rsidR="00A04862" w:rsidRPr="00BD77D8" w:rsidRDefault="00A04862" w:rsidP="00702AE3">
      <w:pPr>
        <w:tabs>
          <w:tab w:val="left" w:pos="504"/>
          <w:tab w:val="right" w:pos="9781"/>
        </w:tabs>
        <w:spacing w:before="62" w:after="0" w:line="200" w:lineRule="exact"/>
        <w:ind w:left="142"/>
        <w:textAlignment w:val="baseline"/>
        <w:rPr>
          <w:rFonts w:eastAsia="Arial" w:cs="Times New Roman"/>
          <w:b/>
          <w:bCs/>
          <w:sz w:val="18"/>
          <w:szCs w:val="22"/>
          <w:lang w:val="en-US" w:eastAsia="en-US"/>
        </w:rPr>
      </w:pPr>
      <w:r w:rsidRPr="00BD77D8">
        <w:rPr>
          <w:rFonts w:eastAsia="Arial" w:cs="Times New Roman"/>
          <w:b/>
          <w:bCs/>
          <w:sz w:val="18"/>
          <w:szCs w:val="22"/>
          <w:lang w:val="en-US" w:eastAsia="en-US"/>
        </w:rPr>
        <w:t>Other Key Information</w:t>
      </w:r>
      <w:r w:rsidRPr="00BD77D8">
        <w:rPr>
          <w:rFonts w:eastAsia="Arial" w:cs="Times New Roman"/>
          <w:b/>
          <w:bCs/>
          <w:sz w:val="18"/>
          <w:szCs w:val="22"/>
          <w:lang w:val="en-US" w:eastAsia="en-US"/>
        </w:rPr>
        <w:tab/>
      </w:r>
      <w:r w:rsidRPr="00BD77D8">
        <w:rPr>
          <w:rFonts w:eastAsia="Arial" w:cs="Times New Roman"/>
          <w:sz w:val="18"/>
          <w:szCs w:val="22"/>
          <w:lang w:val="en-US" w:eastAsia="en-US"/>
        </w:rPr>
        <w:t>35</w:t>
      </w:r>
    </w:p>
    <w:p w14:paraId="5EC993BC" w14:textId="54A20036" w:rsidR="00AF6CD7" w:rsidRPr="00BD77D8" w:rsidRDefault="00AF6CD7" w:rsidP="00702AE3">
      <w:pPr>
        <w:tabs>
          <w:tab w:val="left" w:pos="504"/>
          <w:tab w:val="right" w:pos="9781"/>
        </w:tabs>
        <w:spacing w:before="62"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F</w:t>
      </w:r>
      <w:r w:rsidR="00012D14" w:rsidRPr="00BD77D8">
        <w:rPr>
          <w:rFonts w:eastAsia="Arial" w:cs="Times New Roman"/>
          <w:sz w:val="18"/>
          <w:szCs w:val="22"/>
          <w:lang w:val="en-US" w:eastAsia="en-US"/>
        </w:rPr>
        <w:t>1</w:t>
      </w:r>
      <w:r w:rsidR="00A04862" w:rsidRPr="00BD77D8">
        <w:rPr>
          <w:rFonts w:eastAsia="Arial" w:cs="Times New Roman"/>
          <w:sz w:val="18"/>
          <w:szCs w:val="22"/>
          <w:lang w:val="en-US" w:eastAsia="en-US"/>
        </w:rPr>
        <w:t xml:space="preserve"> </w:t>
      </w:r>
      <w:r w:rsidRPr="00BD77D8">
        <w:rPr>
          <w:rFonts w:eastAsia="Arial" w:cs="Times New Roman"/>
          <w:sz w:val="18"/>
          <w:szCs w:val="22"/>
          <w:lang w:val="en-US" w:eastAsia="en-US"/>
        </w:rPr>
        <w:t>Key Management Personnel Disclosures</w:t>
      </w:r>
      <w:r w:rsidRPr="00BD77D8">
        <w:rPr>
          <w:rFonts w:eastAsia="Arial" w:cs="Times New Roman"/>
          <w:sz w:val="18"/>
          <w:szCs w:val="22"/>
          <w:lang w:val="en-US" w:eastAsia="en-US"/>
        </w:rPr>
        <w:tab/>
        <w:t>3</w:t>
      </w:r>
      <w:r w:rsidR="00A04862" w:rsidRPr="00BD77D8">
        <w:rPr>
          <w:rFonts w:eastAsia="Arial" w:cs="Times New Roman"/>
          <w:sz w:val="18"/>
          <w:szCs w:val="22"/>
          <w:lang w:val="en-US" w:eastAsia="en-US"/>
        </w:rPr>
        <w:t>5</w:t>
      </w:r>
    </w:p>
    <w:p w14:paraId="76357513" w14:textId="4CBE1D7E" w:rsidR="00AF6CD7" w:rsidRPr="00BD77D8" w:rsidRDefault="00AF6CD7" w:rsidP="00702AE3">
      <w:pPr>
        <w:tabs>
          <w:tab w:val="left" w:pos="504"/>
          <w:tab w:val="right" w:pos="9781"/>
        </w:tabs>
        <w:spacing w:before="65"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F2</w:t>
      </w:r>
      <w:r w:rsidR="00A04862" w:rsidRPr="00BD77D8">
        <w:rPr>
          <w:rFonts w:eastAsia="Arial" w:cs="Times New Roman"/>
          <w:sz w:val="18"/>
          <w:szCs w:val="22"/>
          <w:lang w:val="en-US" w:eastAsia="en-US"/>
        </w:rPr>
        <w:t xml:space="preserve"> </w:t>
      </w:r>
      <w:r w:rsidRPr="00BD77D8">
        <w:rPr>
          <w:rFonts w:eastAsia="Arial" w:cs="Times New Roman"/>
          <w:sz w:val="18"/>
          <w:szCs w:val="22"/>
          <w:lang w:val="en-US" w:eastAsia="en-US"/>
        </w:rPr>
        <w:t>Related Party Transaction</w:t>
      </w:r>
      <w:r w:rsidR="00A04862" w:rsidRPr="00BD77D8">
        <w:rPr>
          <w:rFonts w:eastAsia="Arial" w:cs="Times New Roman"/>
          <w:sz w:val="18"/>
          <w:szCs w:val="22"/>
          <w:lang w:val="en-US" w:eastAsia="en-US"/>
        </w:rPr>
        <w:t>s</w:t>
      </w:r>
      <w:r w:rsidRPr="00BD77D8">
        <w:rPr>
          <w:rFonts w:eastAsia="Arial" w:cs="Times New Roman"/>
          <w:sz w:val="18"/>
          <w:szCs w:val="22"/>
          <w:lang w:val="en-US" w:eastAsia="en-US"/>
        </w:rPr>
        <w:tab/>
        <w:t>3</w:t>
      </w:r>
      <w:r w:rsidR="00A04862" w:rsidRPr="00BD77D8">
        <w:rPr>
          <w:rFonts w:eastAsia="Arial" w:cs="Times New Roman"/>
          <w:sz w:val="18"/>
          <w:szCs w:val="22"/>
          <w:lang w:val="en-US" w:eastAsia="en-US"/>
        </w:rPr>
        <w:t>7</w:t>
      </w:r>
    </w:p>
    <w:p w14:paraId="6688BC22" w14:textId="7FAB5075" w:rsidR="00A04862" w:rsidRPr="00BD77D8" w:rsidRDefault="00AF6CD7" w:rsidP="00702AE3">
      <w:pPr>
        <w:tabs>
          <w:tab w:val="left" w:pos="504"/>
          <w:tab w:val="right" w:pos="9781"/>
        </w:tabs>
        <w:spacing w:before="64"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F3</w:t>
      </w:r>
      <w:r w:rsidR="00A04862" w:rsidRPr="00BD77D8">
        <w:rPr>
          <w:rFonts w:eastAsia="Arial" w:cs="Times New Roman"/>
          <w:sz w:val="18"/>
          <w:szCs w:val="22"/>
          <w:lang w:val="en-US" w:eastAsia="en-US"/>
        </w:rPr>
        <w:t xml:space="preserve"> First Year Application of New Accounting Standards or Change in Accounting Policy </w:t>
      </w:r>
      <w:r w:rsidR="00A04862" w:rsidRPr="00BD77D8">
        <w:rPr>
          <w:rFonts w:eastAsia="Arial" w:cs="Times New Roman"/>
          <w:sz w:val="18"/>
          <w:szCs w:val="22"/>
          <w:lang w:val="en-US" w:eastAsia="en-US"/>
        </w:rPr>
        <w:tab/>
        <w:t>38</w:t>
      </w:r>
    </w:p>
    <w:p w14:paraId="7BD95BAD" w14:textId="5C721796" w:rsidR="00AF6CD7" w:rsidRPr="00BD77D8" w:rsidRDefault="00A04862" w:rsidP="00702AE3">
      <w:pPr>
        <w:tabs>
          <w:tab w:val="left" w:pos="504"/>
          <w:tab w:val="right" w:pos="9781"/>
        </w:tabs>
        <w:spacing w:before="64"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 xml:space="preserve">F4 </w:t>
      </w:r>
      <w:r w:rsidR="00AF6CD7" w:rsidRPr="00BD77D8">
        <w:rPr>
          <w:rFonts w:eastAsia="Arial" w:cs="Times New Roman"/>
          <w:sz w:val="18"/>
          <w:szCs w:val="22"/>
          <w:lang w:val="en-US" w:eastAsia="en-US"/>
        </w:rPr>
        <w:t xml:space="preserve">Climate Risk </w:t>
      </w:r>
      <w:r w:rsidRPr="00BD77D8">
        <w:rPr>
          <w:rFonts w:eastAsia="Arial" w:cs="Times New Roman"/>
          <w:sz w:val="18"/>
          <w:szCs w:val="22"/>
          <w:lang w:val="en-US" w:eastAsia="en-US"/>
        </w:rPr>
        <w:t>Assessment</w:t>
      </w:r>
      <w:r w:rsidR="00AF6CD7" w:rsidRPr="00BD77D8">
        <w:rPr>
          <w:rFonts w:eastAsia="Arial" w:cs="Times New Roman"/>
          <w:sz w:val="18"/>
          <w:szCs w:val="22"/>
          <w:lang w:val="en-US" w:eastAsia="en-US"/>
        </w:rPr>
        <w:tab/>
      </w:r>
      <w:r w:rsidRPr="00BD77D8">
        <w:rPr>
          <w:rFonts w:eastAsia="Arial" w:cs="Times New Roman"/>
          <w:sz w:val="18"/>
          <w:szCs w:val="22"/>
          <w:lang w:val="en-US" w:eastAsia="en-US"/>
        </w:rPr>
        <w:t>39</w:t>
      </w:r>
    </w:p>
    <w:p w14:paraId="5C9EECC3" w14:textId="447B8839" w:rsidR="00AF6CD7" w:rsidRPr="00BD77D8" w:rsidRDefault="00AF6CD7" w:rsidP="00702AE3">
      <w:pPr>
        <w:tabs>
          <w:tab w:val="left" w:pos="504"/>
          <w:tab w:val="right" w:pos="9781"/>
        </w:tabs>
        <w:spacing w:before="62"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F</w:t>
      </w:r>
      <w:r w:rsidR="00A04862" w:rsidRPr="00BD77D8">
        <w:rPr>
          <w:rFonts w:eastAsia="Arial" w:cs="Times New Roman"/>
          <w:sz w:val="18"/>
          <w:szCs w:val="22"/>
          <w:lang w:val="en-US" w:eastAsia="en-US"/>
        </w:rPr>
        <w:t xml:space="preserve">5 </w:t>
      </w:r>
      <w:r w:rsidRPr="00BD77D8">
        <w:rPr>
          <w:rFonts w:eastAsia="Arial" w:cs="Times New Roman"/>
          <w:sz w:val="18"/>
          <w:szCs w:val="22"/>
          <w:lang w:val="en-US" w:eastAsia="en-US"/>
        </w:rPr>
        <w:t xml:space="preserve">Impact of COVID-19 </w:t>
      </w:r>
      <w:r w:rsidR="00A04862" w:rsidRPr="00BD77D8">
        <w:rPr>
          <w:rFonts w:eastAsia="Arial" w:cs="Times New Roman"/>
          <w:sz w:val="18"/>
          <w:szCs w:val="22"/>
          <w:lang w:val="en-US" w:eastAsia="en-US"/>
        </w:rPr>
        <w:t>P</w:t>
      </w:r>
      <w:r w:rsidRPr="00BD77D8">
        <w:rPr>
          <w:rFonts w:eastAsia="Arial" w:cs="Times New Roman"/>
          <w:sz w:val="18"/>
          <w:szCs w:val="22"/>
          <w:lang w:val="en-US" w:eastAsia="en-US"/>
        </w:rPr>
        <w:t>andemic</w:t>
      </w:r>
      <w:r w:rsidRPr="00BD77D8">
        <w:rPr>
          <w:rFonts w:eastAsia="Arial" w:cs="Times New Roman"/>
          <w:sz w:val="18"/>
          <w:szCs w:val="22"/>
          <w:lang w:val="en-US" w:eastAsia="en-US"/>
        </w:rPr>
        <w:tab/>
      </w:r>
      <w:r w:rsidR="00A04862" w:rsidRPr="00BD77D8">
        <w:rPr>
          <w:rFonts w:eastAsia="Arial" w:cs="Times New Roman"/>
          <w:sz w:val="18"/>
          <w:szCs w:val="22"/>
          <w:lang w:val="en-US" w:eastAsia="en-US"/>
        </w:rPr>
        <w:t>39</w:t>
      </w:r>
    </w:p>
    <w:p w14:paraId="57EDEADA" w14:textId="77777777" w:rsidR="00AF6CD7" w:rsidRPr="00BD77D8" w:rsidRDefault="00AF6CD7" w:rsidP="00702AE3">
      <w:pPr>
        <w:tabs>
          <w:tab w:val="right" w:pos="9781"/>
        </w:tabs>
        <w:spacing w:before="68" w:after="0" w:line="200" w:lineRule="exact"/>
        <w:ind w:left="142"/>
        <w:textAlignment w:val="baseline"/>
        <w:rPr>
          <w:rFonts w:eastAsia="Arial" w:cs="Times New Roman"/>
          <w:b/>
          <w:sz w:val="18"/>
          <w:szCs w:val="22"/>
          <w:lang w:val="en-US" w:eastAsia="en-US"/>
        </w:rPr>
      </w:pPr>
      <w:r w:rsidRPr="00BD77D8">
        <w:rPr>
          <w:rFonts w:eastAsia="Arial" w:cs="Times New Roman"/>
          <w:b/>
          <w:sz w:val="18"/>
          <w:szCs w:val="22"/>
          <w:lang w:val="en-US" w:eastAsia="en-US"/>
        </w:rPr>
        <w:t>What We Look After On Behalf of Whole-of-Government</w:t>
      </w:r>
      <w:r w:rsidRPr="00BD77D8">
        <w:rPr>
          <w:rFonts w:eastAsia="Arial" w:cs="Times New Roman"/>
          <w:b/>
          <w:sz w:val="18"/>
          <w:szCs w:val="22"/>
          <w:lang w:val="en-US" w:eastAsia="en-US"/>
        </w:rPr>
        <w:tab/>
      </w:r>
      <w:r w:rsidRPr="00BD77D8">
        <w:rPr>
          <w:rFonts w:eastAsia="Arial" w:cs="Times New Roman"/>
          <w:sz w:val="18"/>
          <w:szCs w:val="22"/>
          <w:lang w:val="en-US" w:eastAsia="en-US"/>
        </w:rPr>
        <w:t>40</w:t>
      </w:r>
    </w:p>
    <w:p w14:paraId="31140D07" w14:textId="4D23AB35" w:rsidR="00A04862" w:rsidRPr="00BD77D8" w:rsidRDefault="00AF6CD7" w:rsidP="00702AE3">
      <w:pPr>
        <w:tabs>
          <w:tab w:val="right" w:pos="9781"/>
        </w:tabs>
        <w:spacing w:before="57"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G1</w:t>
      </w:r>
      <w:r w:rsidR="00A04862" w:rsidRPr="00BD77D8">
        <w:rPr>
          <w:rFonts w:eastAsia="Arial" w:cs="Times New Roman"/>
          <w:sz w:val="18"/>
          <w:szCs w:val="22"/>
          <w:lang w:val="en-US" w:eastAsia="en-US"/>
        </w:rPr>
        <w:t>-1 Schedule of</w:t>
      </w:r>
      <w:r w:rsidRPr="00BD77D8">
        <w:rPr>
          <w:rFonts w:eastAsia="Arial" w:cs="Times New Roman"/>
          <w:sz w:val="18"/>
          <w:szCs w:val="22"/>
          <w:lang w:val="en-US" w:eastAsia="en-US"/>
        </w:rPr>
        <w:t xml:space="preserve"> Administered</w:t>
      </w:r>
      <w:r w:rsidR="00A04862" w:rsidRPr="00BD77D8">
        <w:rPr>
          <w:rFonts w:eastAsia="Arial" w:cs="Times New Roman"/>
          <w:sz w:val="18"/>
          <w:szCs w:val="22"/>
          <w:lang w:val="en-US" w:eastAsia="en-US"/>
        </w:rPr>
        <w:t xml:space="preserve"> Income and Expenses</w:t>
      </w:r>
      <w:r w:rsidR="007D6F7F" w:rsidRPr="00BD77D8">
        <w:rPr>
          <w:rFonts w:eastAsia="Arial" w:cs="Times New Roman"/>
          <w:sz w:val="18"/>
          <w:szCs w:val="22"/>
          <w:lang w:val="en-US" w:eastAsia="en-US"/>
        </w:rPr>
        <w:tab/>
        <w:t>40</w:t>
      </w:r>
    </w:p>
    <w:p w14:paraId="2B83E327" w14:textId="2E4D4060" w:rsidR="00A04862" w:rsidRPr="00BD77D8" w:rsidRDefault="00A04862" w:rsidP="00702AE3">
      <w:pPr>
        <w:tabs>
          <w:tab w:val="right" w:pos="9781"/>
        </w:tabs>
        <w:spacing w:before="57"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G1-2 Schedule of Administered Assets and Liabilities</w:t>
      </w:r>
      <w:r w:rsidR="007D6F7F" w:rsidRPr="00BD77D8">
        <w:rPr>
          <w:rFonts w:eastAsia="Arial" w:cs="Times New Roman"/>
          <w:sz w:val="18"/>
          <w:szCs w:val="22"/>
          <w:lang w:val="en-US" w:eastAsia="en-US"/>
        </w:rPr>
        <w:tab/>
        <w:t>40</w:t>
      </w:r>
    </w:p>
    <w:p w14:paraId="5DE54AE4" w14:textId="77FFBEA8" w:rsidR="00A04862" w:rsidRPr="00BD77D8" w:rsidRDefault="00A04862" w:rsidP="00702AE3">
      <w:pPr>
        <w:tabs>
          <w:tab w:val="right" w:pos="9781"/>
        </w:tabs>
        <w:spacing w:before="57"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G1-3 Appropriation Revenue</w:t>
      </w:r>
      <w:r w:rsidR="007D6F7F" w:rsidRPr="00BD77D8">
        <w:rPr>
          <w:rFonts w:eastAsia="Arial" w:cs="Times New Roman"/>
          <w:sz w:val="18"/>
          <w:szCs w:val="22"/>
          <w:lang w:val="en-US" w:eastAsia="en-US"/>
        </w:rPr>
        <w:tab/>
        <w:t>41</w:t>
      </w:r>
    </w:p>
    <w:p w14:paraId="06F93E1B" w14:textId="1E78D377" w:rsidR="007D6F7F" w:rsidRPr="00BD77D8" w:rsidRDefault="00A04862" w:rsidP="00702AE3">
      <w:pPr>
        <w:tabs>
          <w:tab w:val="right" w:pos="9781"/>
        </w:tabs>
        <w:spacing w:before="57"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G</w:t>
      </w:r>
      <w:r w:rsidR="007D6F7F" w:rsidRPr="00BD77D8">
        <w:rPr>
          <w:rFonts w:eastAsia="Arial" w:cs="Times New Roman"/>
          <w:sz w:val="18"/>
          <w:szCs w:val="22"/>
          <w:lang w:val="en-US" w:eastAsia="en-US"/>
        </w:rPr>
        <w:t>1-4 Grants and Other Contributions</w:t>
      </w:r>
      <w:r w:rsidR="007D6F7F" w:rsidRPr="00BD77D8">
        <w:rPr>
          <w:rFonts w:eastAsia="Arial" w:cs="Times New Roman"/>
          <w:sz w:val="18"/>
          <w:szCs w:val="22"/>
          <w:lang w:val="en-US" w:eastAsia="en-US"/>
        </w:rPr>
        <w:tab/>
        <w:t>42</w:t>
      </w:r>
    </w:p>
    <w:p w14:paraId="5D578A41" w14:textId="44613122" w:rsidR="00AF6CD7" w:rsidRPr="00BD77D8" w:rsidRDefault="007D6F7F" w:rsidP="00702AE3">
      <w:pPr>
        <w:tabs>
          <w:tab w:val="right" w:pos="9781"/>
        </w:tabs>
        <w:spacing w:before="57"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G1-5 Supplies and Services</w:t>
      </w:r>
      <w:r w:rsidR="00AF6CD7" w:rsidRPr="00BD77D8">
        <w:rPr>
          <w:rFonts w:eastAsia="Arial" w:cs="Times New Roman"/>
          <w:sz w:val="18"/>
          <w:szCs w:val="22"/>
          <w:lang w:val="en-US" w:eastAsia="en-US"/>
        </w:rPr>
        <w:tab/>
        <w:t>4</w:t>
      </w:r>
      <w:r w:rsidRPr="00BD77D8">
        <w:rPr>
          <w:rFonts w:eastAsia="Arial" w:cs="Times New Roman"/>
          <w:sz w:val="18"/>
          <w:szCs w:val="22"/>
          <w:lang w:val="en-US" w:eastAsia="en-US"/>
        </w:rPr>
        <w:t>2</w:t>
      </w:r>
    </w:p>
    <w:p w14:paraId="6BF4EC81" w14:textId="77777777" w:rsidR="009C02E1" w:rsidRPr="00BD77D8" w:rsidRDefault="009C02E1" w:rsidP="00702AE3">
      <w:pPr>
        <w:tabs>
          <w:tab w:val="right" w:pos="9781"/>
        </w:tabs>
        <w:spacing w:before="57" w:after="0" w:line="200" w:lineRule="exact"/>
        <w:ind w:left="142"/>
        <w:textAlignment w:val="baseline"/>
        <w:rPr>
          <w:rFonts w:eastAsia="Arial" w:cs="Times New Roman"/>
          <w:sz w:val="18"/>
          <w:szCs w:val="22"/>
          <w:lang w:val="en-US" w:eastAsia="en-US"/>
        </w:rPr>
      </w:pPr>
    </w:p>
    <w:p w14:paraId="6B9C6EDB" w14:textId="77777777" w:rsidR="009C02E1" w:rsidRPr="00BD77D8" w:rsidRDefault="009C02E1" w:rsidP="00702AE3">
      <w:pPr>
        <w:tabs>
          <w:tab w:val="right" w:pos="9781"/>
        </w:tabs>
        <w:spacing w:before="57" w:after="0" w:line="200" w:lineRule="exact"/>
        <w:ind w:left="142"/>
        <w:textAlignment w:val="baseline"/>
        <w:rPr>
          <w:rFonts w:eastAsia="Arial" w:cs="Times New Roman"/>
          <w:sz w:val="18"/>
          <w:szCs w:val="22"/>
          <w:lang w:val="en-US" w:eastAsia="en-US"/>
        </w:rPr>
      </w:pPr>
    </w:p>
    <w:p w14:paraId="50F222CC" w14:textId="4F2131EC" w:rsidR="009C02E1" w:rsidRPr="00BD77D8" w:rsidRDefault="00702AE3" w:rsidP="00702AE3">
      <w:pPr>
        <w:tabs>
          <w:tab w:val="right" w:pos="9781"/>
        </w:tabs>
        <w:spacing w:before="57" w:after="0" w:line="200" w:lineRule="exact"/>
        <w:ind w:left="142" w:right="688"/>
        <w:jc w:val="right"/>
        <w:textAlignment w:val="baseline"/>
        <w:rPr>
          <w:rFonts w:eastAsia="Arial" w:cs="Times New Roman"/>
          <w:sz w:val="18"/>
          <w:szCs w:val="22"/>
          <w:lang w:val="en-US" w:eastAsia="en-US"/>
        </w:rPr>
      </w:pPr>
      <w:r w:rsidRPr="00BD77D8">
        <w:rPr>
          <w:rFonts w:eastAsia="Arial" w:cs="Times New Roman"/>
          <w:sz w:val="18"/>
          <w:szCs w:val="22"/>
          <w:lang w:val="en-US" w:eastAsia="en-US"/>
        </w:rPr>
        <w:t>Page 2 of 45</w:t>
      </w:r>
    </w:p>
    <w:p w14:paraId="1A29D74C" w14:textId="77777777" w:rsidR="009C02E1" w:rsidRPr="00BD77D8" w:rsidRDefault="009C02E1" w:rsidP="00702AE3">
      <w:pPr>
        <w:tabs>
          <w:tab w:val="right" w:pos="9781"/>
        </w:tabs>
        <w:spacing w:before="57" w:after="0" w:line="200" w:lineRule="exact"/>
        <w:ind w:left="142"/>
        <w:textAlignment w:val="baseline"/>
        <w:rPr>
          <w:rFonts w:eastAsia="Arial" w:cs="Times New Roman"/>
          <w:sz w:val="18"/>
          <w:szCs w:val="22"/>
          <w:lang w:val="en-US" w:eastAsia="en-US"/>
        </w:rPr>
      </w:pPr>
    </w:p>
    <w:p w14:paraId="612DA0DD" w14:textId="77777777" w:rsidR="009C02E1" w:rsidRPr="00BD77D8" w:rsidRDefault="009C02E1" w:rsidP="00702AE3">
      <w:pPr>
        <w:tabs>
          <w:tab w:val="right" w:pos="9781"/>
        </w:tabs>
        <w:spacing w:before="57" w:after="0" w:line="200" w:lineRule="exact"/>
        <w:ind w:left="142"/>
        <w:textAlignment w:val="baseline"/>
        <w:rPr>
          <w:rFonts w:eastAsia="Arial" w:cs="Times New Roman"/>
          <w:sz w:val="18"/>
          <w:szCs w:val="22"/>
          <w:lang w:val="en-US" w:eastAsia="en-US"/>
        </w:rPr>
      </w:pPr>
    </w:p>
    <w:p w14:paraId="5FA6AE68" w14:textId="3575FABB" w:rsidR="007D6F7F" w:rsidRPr="00BD77D8" w:rsidRDefault="009C02E1" w:rsidP="00702AE3">
      <w:pPr>
        <w:tabs>
          <w:tab w:val="right" w:pos="9781"/>
        </w:tabs>
        <w:spacing w:before="57"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lastRenderedPageBreak/>
        <w:t>G1-6 Grants and Subsides</w:t>
      </w:r>
      <w:r w:rsidRPr="00BD77D8">
        <w:rPr>
          <w:rFonts w:eastAsia="Arial" w:cs="Times New Roman"/>
          <w:sz w:val="18"/>
          <w:szCs w:val="22"/>
          <w:lang w:val="en-US" w:eastAsia="en-US"/>
        </w:rPr>
        <w:tab/>
        <w:t>43</w:t>
      </w:r>
    </w:p>
    <w:p w14:paraId="748B255E" w14:textId="14AAAA0A" w:rsidR="009C02E1" w:rsidRPr="00BD77D8" w:rsidRDefault="009C02E1" w:rsidP="00702AE3">
      <w:pPr>
        <w:tabs>
          <w:tab w:val="right" w:pos="9781"/>
        </w:tabs>
        <w:spacing w:before="57"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G1-7 Receivables</w:t>
      </w:r>
      <w:r w:rsidRPr="00BD77D8">
        <w:rPr>
          <w:rFonts w:eastAsia="Arial" w:cs="Times New Roman"/>
          <w:sz w:val="18"/>
          <w:szCs w:val="22"/>
          <w:lang w:val="en-US" w:eastAsia="en-US"/>
        </w:rPr>
        <w:tab/>
        <w:t>43</w:t>
      </w:r>
    </w:p>
    <w:p w14:paraId="724A0464" w14:textId="2E87E8EF" w:rsidR="009C02E1" w:rsidRPr="00BD77D8" w:rsidRDefault="009C02E1" w:rsidP="00702AE3">
      <w:pPr>
        <w:tabs>
          <w:tab w:val="right" w:pos="9781"/>
        </w:tabs>
        <w:spacing w:before="57"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G1-8 Payables</w:t>
      </w:r>
      <w:r w:rsidRPr="00BD77D8">
        <w:rPr>
          <w:rFonts w:eastAsia="Arial" w:cs="Times New Roman"/>
          <w:sz w:val="18"/>
          <w:szCs w:val="22"/>
          <w:lang w:val="en-US" w:eastAsia="en-US"/>
        </w:rPr>
        <w:tab/>
        <w:t>43</w:t>
      </w:r>
    </w:p>
    <w:p w14:paraId="2EFFDC43" w14:textId="0CE5A584" w:rsidR="009C02E1" w:rsidRPr="00BD77D8" w:rsidRDefault="009C02E1" w:rsidP="00702AE3">
      <w:pPr>
        <w:tabs>
          <w:tab w:val="right" w:pos="9781"/>
        </w:tabs>
        <w:spacing w:before="57"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G1-9 Financial Instruments</w:t>
      </w:r>
      <w:r w:rsidRPr="00BD77D8">
        <w:rPr>
          <w:rFonts w:eastAsia="Arial" w:cs="Times New Roman"/>
          <w:sz w:val="18"/>
          <w:szCs w:val="22"/>
          <w:lang w:val="en-US" w:eastAsia="en-US"/>
        </w:rPr>
        <w:tab/>
        <w:t>43</w:t>
      </w:r>
    </w:p>
    <w:p w14:paraId="610B811B" w14:textId="422310D7" w:rsidR="009C02E1" w:rsidRPr="00BD77D8" w:rsidRDefault="009C02E1" w:rsidP="00702AE3">
      <w:pPr>
        <w:tabs>
          <w:tab w:val="right" w:pos="9781"/>
        </w:tabs>
        <w:spacing w:before="57" w:after="0" w:line="200" w:lineRule="exact"/>
        <w:ind w:left="142"/>
        <w:textAlignment w:val="baseline"/>
        <w:rPr>
          <w:rFonts w:eastAsia="Arial" w:cs="Times New Roman"/>
          <w:sz w:val="18"/>
          <w:szCs w:val="22"/>
          <w:lang w:val="en-US" w:eastAsia="en-US"/>
        </w:rPr>
      </w:pPr>
      <w:r w:rsidRPr="00BD77D8">
        <w:rPr>
          <w:rFonts w:eastAsia="Arial" w:cs="Times New Roman"/>
          <w:sz w:val="18"/>
          <w:szCs w:val="22"/>
          <w:lang w:val="en-US" w:eastAsia="en-US"/>
        </w:rPr>
        <w:t>G1-10 Administered Budgetary Reporting Disclosures</w:t>
      </w:r>
      <w:r w:rsidRPr="00BD77D8">
        <w:rPr>
          <w:rFonts w:eastAsia="Arial" w:cs="Times New Roman"/>
          <w:sz w:val="18"/>
          <w:szCs w:val="22"/>
          <w:lang w:val="en-US" w:eastAsia="en-US"/>
        </w:rPr>
        <w:tab/>
        <w:t>44</w:t>
      </w:r>
    </w:p>
    <w:p w14:paraId="509E5F7F" w14:textId="11FA7194" w:rsidR="009C02E1" w:rsidRPr="00BD77D8" w:rsidRDefault="00AF6CD7" w:rsidP="00702AE3">
      <w:pPr>
        <w:tabs>
          <w:tab w:val="right" w:pos="9781"/>
        </w:tabs>
        <w:spacing w:before="11" w:after="1052" w:line="200" w:lineRule="exact"/>
        <w:ind w:left="142"/>
        <w:textAlignment w:val="baseline"/>
        <w:rPr>
          <w:rFonts w:eastAsia="Arial" w:cs="Times New Roman"/>
          <w:sz w:val="18"/>
          <w:szCs w:val="22"/>
          <w:lang w:val="en-US" w:eastAsia="en-US"/>
        </w:rPr>
      </w:pPr>
      <w:r w:rsidRPr="00BD77D8">
        <w:rPr>
          <w:rFonts w:eastAsia="Arial" w:cs="Times New Roman"/>
          <w:b/>
          <w:bCs/>
          <w:sz w:val="18"/>
          <w:szCs w:val="22"/>
          <w:lang w:val="en-US" w:eastAsia="en-US"/>
        </w:rPr>
        <w:t>Management Certificate</w:t>
      </w:r>
      <w:r w:rsidRPr="00BD77D8">
        <w:rPr>
          <w:rFonts w:eastAsia="Arial" w:cs="Times New Roman"/>
          <w:sz w:val="18"/>
          <w:szCs w:val="22"/>
          <w:lang w:val="en-US" w:eastAsia="en-US"/>
        </w:rPr>
        <w:tab/>
        <w:t>4</w:t>
      </w:r>
      <w:r w:rsidR="009C02E1" w:rsidRPr="00BD77D8">
        <w:rPr>
          <w:rFonts w:eastAsia="Arial" w:cs="Times New Roman"/>
          <w:sz w:val="18"/>
          <w:szCs w:val="22"/>
          <w:lang w:val="en-US" w:eastAsia="en-US"/>
        </w:rPr>
        <w:t>5</w:t>
      </w:r>
    </w:p>
    <w:p w14:paraId="1043F799" w14:textId="77777777" w:rsidR="00B9311E" w:rsidRPr="00BD77D8" w:rsidRDefault="009C02E1" w:rsidP="00702AE3">
      <w:pPr>
        <w:spacing w:after="0" w:line="240" w:lineRule="auto"/>
        <w:textAlignment w:val="baseline"/>
        <w:rPr>
          <w:rFonts w:eastAsia="Arial"/>
          <w:b/>
          <w:bCs/>
          <w:sz w:val="18"/>
          <w:szCs w:val="18"/>
          <w:lang w:eastAsia="en-US"/>
        </w:rPr>
      </w:pPr>
      <w:r w:rsidRPr="00BD77D8">
        <w:rPr>
          <w:rFonts w:eastAsia="Arial" w:cs="Times New Roman"/>
          <w:sz w:val="18"/>
          <w:szCs w:val="22"/>
          <w:lang w:val="en-US" w:eastAsia="en-US"/>
        </w:rPr>
        <w:br w:type="page"/>
      </w:r>
      <w:r w:rsidR="00B9311E" w:rsidRPr="00BD77D8">
        <w:rPr>
          <w:rFonts w:eastAsia="Arial"/>
          <w:b/>
          <w:bCs/>
          <w:sz w:val="18"/>
          <w:szCs w:val="18"/>
          <w:lang w:eastAsia="en-US"/>
        </w:rPr>
        <w:lastRenderedPageBreak/>
        <w:t>Department of Seniors, Disability Services and Aboriginal and Torres Strait Islander Partnerships</w:t>
      </w:r>
    </w:p>
    <w:p w14:paraId="1A7E638E" w14:textId="77777777" w:rsidR="00B9311E" w:rsidRPr="00BD77D8" w:rsidRDefault="00B9311E" w:rsidP="00F70507">
      <w:pPr>
        <w:spacing w:after="0" w:line="240" w:lineRule="auto"/>
        <w:textAlignment w:val="baseline"/>
        <w:rPr>
          <w:rFonts w:eastAsia="Arial"/>
          <w:b/>
          <w:bCs/>
          <w:sz w:val="18"/>
          <w:szCs w:val="18"/>
          <w:lang w:eastAsia="en-US"/>
        </w:rPr>
      </w:pPr>
      <w:bookmarkStart w:id="1" w:name="_Toc111494792"/>
      <w:bookmarkStart w:id="2" w:name="_Toc111540664"/>
      <w:bookmarkStart w:id="3" w:name="_Toc111559227"/>
      <w:bookmarkStart w:id="4" w:name="_Toc113196499"/>
      <w:bookmarkStart w:id="5" w:name="_Toc113196847"/>
      <w:r w:rsidRPr="00BD77D8">
        <w:rPr>
          <w:rFonts w:eastAsia="Arial"/>
          <w:b/>
          <w:bCs/>
          <w:sz w:val="18"/>
          <w:szCs w:val="18"/>
          <w:lang w:eastAsia="en-US"/>
        </w:rPr>
        <w:t>Statement of Comprehensive Income - Controlled</w:t>
      </w:r>
      <w:bookmarkEnd w:id="1"/>
      <w:bookmarkEnd w:id="2"/>
      <w:bookmarkEnd w:id="3"/>
      <w:bookmarkEnd w:id="4"/>
      <w:bookmarkEnd w:id="5"/>
    </w:p>
    <w:p w14:paraId="7DBDF02F" w14:textId="77777777" w:rsidR="00B9311E" w:rsidRPr="00BD77D8" w:rsidRDefault="00B9311E" w:rsidP="00702AE3">
      <w:pPr>
        <w:spacing w:after="0" w:line="240" w:lineRule="auto"/>
        <w:textAlignment w:val="baseline"/>
        <w:rPr>
          <w:rFonts w:eastAsia="Arial"/>
          <w:b/>
          <w:bCs/>
          <w:sz w:val="18"/>
          <w:szCs w:val="18"/>
          <w:lang w:eastAsia="en-US"/>
        </w:rPr>
      </w:pPr>
      <w:r w:rsidRPr="00BD77D8">
        <w:rPr>
          <w:rFonts w:eastAsia="Arial"/>
          <w:b/>
          <w:bCs/>
          <w:sz w:val="18"/>
          <w:szCs w:val="18"/>
          <w:lang w:eastAsia="en-US"/>
        </w:rPr>
        <w:t>for the year ended 30 June 2022</w:t>
      </w:r>
    </w:p>
    <w:p w14:paraId="7AB444B7"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70BD143E" w14:textId="77777777" w:rsidR="00B9311E" w:rsidRPr="00BD77D8" w:rsidRDefault="00B9311E" w:rsidP="00B9311E">
      <w:pPr>
        <w:spacing w:after="0" w:line="20" w:lineRule="exact"/>
        <w:jc w:val="center"/>
        <w:rPr>
          <w:rFonts w:eastAsia="PMingLiU"/>
          <w:sz w:val="18"/>
          <w:szCs w:val="18"/>
          <w:lang w:eastAsia="en-US"/>
        </w:rPr>
      </w:pPr>
    </w:p>
    <w:p w14:paraId="20BE80CB" w14:textId="77777777" w:rsidR="00B9311E" w:rsidRPr="00BD77D8" w:rsidRDefault="00B9311E" w:rsidP="00B9311E">
      <w:pPr>
        <w:tabs>
          <w:tab w:val="left" w:pos="360"/>
        </w:tabs>
        <w:spacing w:after="0" w:line="240" w:lineRule="auto"/>
        <w:textAlignment w:val="baseline"/>
        <w:rPr>
          <w:rFonts w:eastAsia="PMingLiU"/>
          <w:sz w:val="18"/>
          <w:szCs w:val="22"/>
          <w:lang w:val="en-US" w:eastAsia="en-US"/>
        </w:rPr>
      </w:pPr>
    </w:p>
    <w:tbl>
      <w:tblPr>
        <w:tblW w:w="10469" w:type="dxa"/>
        <w:tblCellMar>
          <w:left w:w="0" w:type="dxa"/>
          <w:right w:w="0" w:type="dxa"/>
        </w:tblCellMar>
        <w:tblLook w:val="04A0" w:firstRow="1" w:lastRow="0" w:firstColumn="1" w:lastColumn="0" w:noHBand="0" w:noVBand="1"/>
      </w:tblPr>
      <w:tblGrid>
        <w:gridCol w:w="3926"/>
        <w:gridCol w:w="1163"/>
        <w:gridCol w:w="1387"/>
        <w:gridCol w:w="1433"/>
        <w:gridCol w:w="1369"/>
        <w:gridCol w:w="1191"/>
      </w:tblGrid>
      <w:tr w:rsidR="00BD77D8" w:rsidRPr="00BD77D8" w14:paraId="704E651E" w14:textId="77777777" w:rsidTr="003057FB">
        <w:trPr>
          <w:trHeight w:val="690"/>
        </w:trPr>
        <w:tc>
          <w:tcPr>
            <w:tcW w:w="3945" w:type="dxa"/>
            <w:tcBorders>
              <w:top w:val="nil"/>
              <w:left w:val="nil"/>
              <w:bottom w:val="nil"/>
              <w:right w:val="nil"/>
            </w:tcBorders>
            <w:shd w:val="clear" w:color="auto" w:fill="auto"/>
            <w:noWrap/>
            <w:vAlign w:val="bottom"/>
            <w:hideMark/>
          </w:tcPr>
          <w:p w14:paraId="475F9F5F" w14:textId="77777777" w:rsidR="00B9311E" w:rsidRPr="00BD77D8" w:rsidRDefault="00B9311E" w:rsidP="00B9311E">
            <w:pPr>
              <w:spacing w:after="0" w:line="240" w:lineRule="auto"/>
              <w:rPr>
                <w:rFonts w:ascii="Times New Roman" w:hAnsi="Times New Roman" w:cs="Times New Roman"/>
                <w:sz w:val="24"/>
                <w:szCs w:val="24"/>
              </w:rPr>
            </w:pPr>
          </w:p>
        </w:tc>
        <w:tc>
          <w:tcPr>
            <w:tcW w:w="1158" w:type="dxa"/>
            <w:tcBorders>
              <w:top w:val="nil"/>
              <w:left w:val="nil"/>
              <w:bottom w:val="nil"/>
              <w:right w:val="nil"/>
            </w:tcBorders>
            <w:shd w:val="clear" w:color="auto" w:fill="auto"/>
            <w:noWrap/>
            <w:vAlign w:val="bottom"/>
            <w:hideMark/>
          </w:tcPr>
          <w:p w14:paraId="3A71DF1F" w14:textId="77777777" w:rsidR="00B9311E" w:rsidRPr="00BD77D8" w:rsidRDefault="00B9311E" w:rsidP="00B9311E">
            <w:pPr>
              <w:spacing w:after="0" w:line="240" w:lineRule="auto"/>
              <w:jc w:val="center"/>
              <w:rPr>
                <w:b/>
                <w:bCs/>
                <w:sz w:val="18"/>
                <w:szCs w:val="18"/>
              </w:rPr>
            </w:pPr>
            <w:r w:rsidRPr="00BD77D8">
              <w:rPr>
                <w:b/>
                <w:bCs/>
                <w:sz w:val="18"/>
                <w:szCs w:val="18"/>
              </w:rPr>
              <w:t xml:space="preserve"> Note </w:t>
            </w:r>
          </w:p>
        </w:tc>
        <w:tc>
          <w:tcPr>
            <w:tcW w:w="1384" w:type="dxa"/>
            <w:tcBorders>
              <w:top w:val="nil"/>
              <w:left w:val="nil"/>
              <w:bottom w:val="nil"/>
              <w:right w:val="nil"/>
            </w:tcBorders>
            <w:shd w:val="clear" w:color="auto" w:fill="auto"/>
            <w:vAlign w:val="bottom"/>
            <w:hideMark/>
          </w:tcPr>
          <w:p w14:paraId="3D897969" w14:textId="77777777" w:rsidR="00B9311E" w:rsidRPr="00BD77D8" w:rsidRDefault="00B9311E" w:rsidP="00B9311E">
            <w:pPr>
              <w:spacing w:after="0" w:line="240" w:lineRule="auto"/>
              <w:jc w:val="right"/>
              <w:rPr>
                <w:b/>
                <w:bCs/>
                <w:sz w:val="18"/>
                <w:szCs w:val="18"/>
              </w:rPr>
            </w:pPr>
            <w:r w:rsidRPr="00BD77D8">
              <w:rPr>
                <w:b/>
                <w:bCs/>
                <w:sz w:val="18"/>
                <w:szCs w:val="18"/>
              </w:rPr>
              <w:t>Actual</w:t>
            </w:r>
            <w:r w:rsidRPr="00BD77D8">
              <w:rPr>
                <w:b/>
                <w:bCs/>
                <w:sz w:val="18"/>
                <w:szCs w:val="18"/>
              </w:rPr>
              <w:br/>
              <w:t xml:space="preserve">2022 </w:t>
            </w:r>
          </w:p>
        </w:tc>
        <w:tc>
          <w:tcPr>
            <w:tcW w:w="1430" w:type="dxa"/>
            <w:tcBorders>
              <w:top w:val="nil"/>
              <w:left w:val="nil"/>
              <w:bottom w:val="nil"/>
              <w:right w:val="nil"/>
            </w:tcBorders>
            <w:shd w:val="clear" w:color="auto" w:fill="auto"/>
            <w:vAlign w:val="bottom"/>
            <w:hideMark/>
          </w:tcPr>
          <w:p w14:paraId="5E03801E" w14:textId="77777777" w:rsidR="00B9311E" w:rsidRPr="00BD77D8" w:rsidRDefault="00B9311E" w:rsidP="00B9311E">
            <w:pPr>
              <w:spacing w:after="0" w:line="240" w:lineRule="auto"/>
              <w:jc w:val="right"/>
              <w:rPr>
                <w:b/>
                <w:bCs/>
                <w:sz w:val="18"/>
                <w:szCs w:val="18"/>
              </w:rPr>
            </w:pPr>
            <w:r w:rsidRPr="00BD77D8">
              <w:rPr>
                <w:b/>
                <w:bCs/>
                <w:sz w:val="18"/>
                <w:szCs w:val="18"/>
              </w:rPr>
              <w:t xml:space="preserve"> Original Budget^</w:t>
            </w:r>
            <w:r w:rsidRPr="00BD77D8">
              <w:rPr>
                <w:b/>
                <w:bCs/>
                <w:sz w:val="18"/>
                <w:szCs w:val="18"/>
              </w:rPr>
              <w:br/>
              <w:t xml:space="preserve">2022  </w:t>
            </w:r>
          </w:p>
        </w:tc>
        <w:tc>
          <w:tcPr>
            <w:tcW w:w="1366" w:type="dxa"/>
            <w:tcBorders>
              <w:top w:val="nil"/>
              <w:left w:val="nil"/>
              <w:bottom w:val="nil"/>
              <w:right w:val="nil"/>
            </w:tcBorders>
            <w:shd w:val="clear" w:color="auto" w:fill="auto"/>
            <w:vAlign w:val="bottom"/>
            <w:hideMark/>
          </w:tcPr>
          <w:p w14:paraId="4756E9F9" w14:textId="77777777" w:rsidR="00B9311E" w:rsidRPr="00BD77D8" w:rsidRDefault="00B9311E" w:rsidP="00B9311E">
            <w:pPr>
              <w:spacing w:after="0" w:line="240" w:lineRule="auto"/>
              <w:jc w:val="right"/>
              <w:rPr>
                <w:b/>
                <w:bCs/>
                <w:sz w:val="18"/>
                <w:szCs w:val="18"/>
              </w:rPr>
            </w:pPr>
            <w:r w:rsidRPr="00BD77D8">
              <w:rPr>
                <w:b/>
                <w:bCs/>
                <w:sz w:val="18"/>
                <w:szCs w:val="18"/>
              </w:rPr>
              <w:t xml:space="preserve"> Budget Variance*</w:t>
            </w:r>
            <w:r w:rsidRPr="00BD77D8">
              <w:rPr>
                <w:b/>
                <w:bCs/>
                <w:sz w:val="18"/>
                <w:szCs w:val="18"/>
              </w:rPr>
              <w:br/>
              <w:t xml:space="preserve">2022  </w:t>
            </w:r>
          </w:p>
        </w:tc>
        <w:tc>
          <w:tcPr>
            <w:tcW w:w="1186" w:type="dxa"/>
            <w:tcBorders>
              <w:top w:val="nil"/>
              <w:left w:val="nil"/>
              <w:bottom w:val="nil"/>
              <w:right w:val="nil"/>
            </w:tcBorders>
            <w:shd w:val="clear" w:color="auto" w:fill="auto"/>
            <w:vAlign w:val="bottom"/>
            <w:hideMark/>
          </w:tcPr>
          <w:p w14:paraId="6C5ABE96" w14:textId="77777777" w:rsidR="00B9311E" w:rsidRPr="00BD77D8" w:rsidRDefault="00B9311E" w:rsidP="00B9311E">
            <w:pPr>
              <w:spacing w:after="0" w:line="240" w:lineRule="auto"/>
              <w:jc w:val="right"/>
              <w:rPr>
                <w:b/>
                <w:bCs/>
                <w:sz w:val="18"/>
                <w:szCs w:val="18"/>
              </w:rPr>
            </w:pPr>
            <w:r w:rsidRPr="00BD77D8">
              <w:rPr>
                <w:b/>
                <w:bCs/>
                <w:sz w:val="18"/>
                <w:szCs w:val="18"/>
              </w:rPr>
              <w:t xml:space="preserve"> Actual</w:t>
            </w:r>
            <w:r w:rsidRPr="00BD77D8">
              <w:rPr>
                <w:b/>
                <w:bCs/>
                <w:sz w:val="18"/>
                <w:szCs w:val="18"/>
              </w:rPr>
              <w:br/>
              <w:t xml:space="preserve">2021 </w:t>
            </w:r>
          </w:p>
        </w:tc>
      </w:tr>
      <w:tr w:rsidR="00BD77D8" w:rsidRPr="00BD77D8" w14:paraId="76EC0388" w14:textId="77777777" w:rsidTr="003057FB">
        <w:trPr>
          <w:trHeight w:val="315"/>
        </w:trPr>
        <w:tc>
          <w:tcPr>
            <w:tcW w:w="3945" w:type="dxa"/>
            <w:tcBorders>
              <w:top w:val="nil"/>
              <w:left w:val="nil"/>
              <w:bottom w:val="nil"/>
              <w:right w:val="nil"/>
            </w:tcBorders>
            <w:shd w:val="clear" w:color="auto" w:fill="auto"/>
            <w:noWrap/>
            <w:vAlign w:val="bottom"/>
            <w:hideMark/>
          </w:tcPr>
          <w:p w14:paraId="0A8A2E02" w14:textId="77777777" w:rsidR="00B9311E" w:rsidRPr="00BD77D8" w:rsidRDefault="00B9311E" w:rsidP="00B9311E">
            <w:pPr>
              <w:spacing w:after="0" w:line="240" w:lineRule="auto"/>
              <w:jc w:val="right"/>
              <w:rPr>
                <w:sz w:val="18"/>
                <w:szCs w:val="18"/>
              </w:rPr>
            </w:pPr>
          </w:p>
        </w:tc>
        <w:tc>
          <w:tcPr>
            <w:tcW w:w="1158" w:type="dxa"/>
            <w:tcBorders>
              <w:top w:val="nil"/>
              <w:left w:val="nil"/>
              <w:bottom w:val="nil"/>
              <w:right w:val="nil"/>
            </w:tcBorders>
            <w:shd w:val="clear" w:color="auto" w:fill="auto"/>
            <w:noWrap/>
            <w:vAlign w:val="bottom"/>
            <w:hideMark/>
          </w:tcPr>
          <w:p w14:paraId="7213AACF" w14:textId="77777777" w:rsidR="00B9311E" w:rsidRPr="00BD77D8" w:rsidRDefault="00B9311E" w:rsidP="00B9311E">
            <w:pPr>
              <w:spacing w:after="0" w:line="240" w:lineRule="auto"/>
              <w:rPr>
                <w:rFonts w:ascii="Times New Roman" w:hAnsi="Times New Roman" w:cs="Times New Roman"/>
                <w:b/>
                <w:bCs/>
                <w:sz w:val="20"/>
                <w:szCs w:val="20"/>
              </w:rPr>
            </w:pPr>
          </w:p>
        </w:tc>
        <w:tc>
          <w:tcPr>
            <w:tcW w:w="1384" w:type="dxa"/>
            <w:tcBorders>
              <w:top w:val="nil"/>
              <w:left w:val="nil"/>
              <w:bottom w:val="single" w:sz="4" w:space="0" w:color="auto"/>
              <w:right w:val="nil"/>
            </w:tcBorders>
            <w:shd w:val="clear" w:color="auto" w:fill="auto"/>
            <w:vAlign w:val="bottom"/>
            <w:hideMark/>
          </w:tcPr>
          <w:p w14:paraId="778CCE38"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430" w:type="dxa"/>
            <w:tcBorders>
              <w:top w:val="nil"/>
              <w:left w:val="nil"/>
              <w:bottom w:val="single" w:sz="4" w:space="0" w:color="auto"/>
              <w:right w:val="nil"/>
            </w:tcBorders>
            <w:shd w:val="clear" w:color="auto" w:fill="auto"/>
            <w:vAlign w:val="bottom"/>
            <w:hideMark/>
          </w:tcPr>
          <w:p w14:paraId="6FD02078"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366" w:type="dxa"/>
            <w:tcBorders>
              <w:top w:val="nil"/>
              <w:left w:val="nil"/>
              <w:bottom w:val="single" w:sz="4" w:space="0" w:color="auto"/>
              <w:right w:val="nil"/>
            </w:tcBorders>
            <w:shd w:val="clear" w:color="auto" w:fill="auto"/>
            <w:vAlign w:val="bottom"/>
            <w:hideMark/>
          </w:tcPr>
          <w:p w14:paraId="1E7A8B9D"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186" w:type="dxa"/>
            <w:tcBorders>
              <w:top w:val="nil"/>
              <w:left w:val="nil"/>
              <w:bottom w:val="single" w:sz="4" w:space="0" w:color="auto"/>
              <w:right w:val="nil"/>
            </w:tcBorders>
            <w:shd w:val="clear" w:color="auto" w:fill="auto"/>
            <w:vAlign w:val="bottom"/>
            <w:hideMark/>
          </w:tcPr>
          <w:p w14:paraId="5E4ACECA"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7290295F" w14:textId="77777777" w:rsidTr="003057FB">
        <w:trPr>
          <w:trHeight w:val="286"/>
        </w:trPr>
        <w:tc>
          <w:tcPr>
            <w:tcW w:w="3945" w:type="dxa"/>
            <w:tcBorders>
              <w:top w:val="single" w:sz="4" w:space="0" w:color="auto"/>
              <w:left w:val="nil"/>
              <w:bottom w:val="nil"/>
              <w:right w:val="nil"/>
            </w:tcBorders>
            <w:shd w:val="clear" w:color="auto" w:fill="auto"/>
            <w:noWrap/>
            <w:vAlign w:val="bottom"/>
            <w:hideMark/>
          </w:tcPr>
          <w:p w14:paraId="575064AD" w14:textId="77777777" w:rsidR="00B9311E" w:rsidRPr="00BD77D8" w:rsidRDefault="00B9311E" w:rsidP="00B9311E">
            <w:pPr>
              <w:spacing w:after="0" w:line="240" w:lineRule="auto"/>
              <w:rPr>
                <w:sz w:val="18"/>
                <w:szCs w:val="18"/>
              </w:rPr>
            </w:pPr>
            <w:r w:rsidRPr="00BD77D8">
              <w:rPr>
                <w:sz w:val="18"/>
                <w:szCs w:val="18"/>
              </w:rPr>
              <w:t> </w:t>
            </w:r>
          </w:p>
        </w:tc>
        <w:tc>
          <w:tcPr>
            <w:tcW w:w="1158" w:type="dxa"/>
            <w:tcBorders>
              <w:top w:val="single" w:sz="4" w:space="0" w:color="auto"/>
              <w:left w:val="nil"/>
              <w:bottom w:val="nil"/>
              <w:right w:val="nil"/>
            </w:tcBorders>
            <w:shd w:val="clear" w:color="auto" w:fill="auto"/>
            <w:noWrap/>
            <w:vAlign w:val="bottom"/>
            <w:hideMark/>
          </w:tcPr>
          <w:p w14:paraId="42332CD2" w14:textId="77777777" w:rsidR="00B9311E" w:rsidRPr="00BD77D8" w:rsidRDefault="00B9311E" w:rsidP="00B9311E">
            <w:pPr>
              <w:spacing w:after="0" w:line="240" w:lineRule="auto"/>
              <w:jc w:val="center"/>
              <w:rPr>
                <w:sz w:val="18"/>
                <w:szCs w:val="18"/>
              </w:rPr>
            </w:pPr>
            <w:r w:rsidRPr="00BD77D8">
              <w:rPr>
                <w:sz w:val="18"/>
                <w:szCs w:val="18"/>
              </w:rPr>
              <w:t> </w:t>
            </w:r>
          </w:p>
        </w:tc>
        <w:tc>
          <w:tcPr>
            <w:tcW w:w="1384" w:type="dxa"/>
            <w:tcBorders>
              <w:top w:val="nil"/>
              <w:left w:val="nil"/>
              <w:bottom w:val="nil"/>
              <w:right w:val="nil"/>
            </w:tcBorders>
            <w:shd w:val="clear" w:color="auto" w:fill="auto"/>
            <w:noWrap/>
            <w:vAlign w:val="bottom"/>
            <w:hideMark/>
          </w:tcPr>
          <w:p w14:paraId="404B4450" w14:textId="77777777" w:rsidR="00B9311E" w:rsidRPr="00BD77D8" w:rsidRDefault="00B9311E" w:rsidP="00B9311E">
            <w:pPr>
              <w:spacing w:after="0" w:line="240" w:lineRule="auto"/>
              <w:jc w:val="center"/>
              <w:rPr>
                <w:sz w:val="18"/>
                <w:szCs w:val="18"/>
              </w:rPr>
            </w:pPr>
          </w:p>
        </w:tc>
        <w:tc>
          <w:tcPr>
            <w:tcW w:w="1430" w:type="dxa"/>
            <w:tcBorders>
              <w:top w:val="nil"/>
              <w:left w:val="nil"/>
              <w:bottom w:val="nil"/>
              <w:right w:val="nil"/>
            </w:tcBorders>
            <w:shd w:val="clear" w:color="auto" w:fill="auto"/>
            <w:noWrap/>
            <w:vAlign w:val="bottom"/>
            <w:hideMark/>
          </w:tcPr>
          <w:p w14:paraId="22888A9B"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366" w:type="dxa"/>
            <w:tcBorders>
              <w:top w:val="nil"/>
              <w:left w:val="nil"/>
              <w:bottom w:val="nil"/>
              <w:right w:val="nil"/>
            </w:tcBorders>
            <w:shd w:val="clear" w:color="auto" w:fill="auto"/>
            <w:noWrap/>
            <w:vAlign w:val="bottom"/>
            <w:hideMark/>
          </w:tcPr>
          <w:p w14:paraId="6B3A121B"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186" w:type="dxa"/>
            <w:tcBorders>
              <w:top w:val="nil"/>
              <w:left w:val="nil"/>
              <w:bottom w:val="nil"/>
              <w:right w:val="nil"/>
            </w:tcBorders>
            <w:shd w:val="clear" w:color="auto" w:fill="auto"/>
            <w:noWrap/>
            <w:vAlign w:val="bottom"/>
            <w:hideMark/>
          </w:tcPr>
          <w:p w14:paraId="2DD57FAF" w14:textId="77777777" w:rsidR="00B9311E" w:rsidRPr="00BD77D8" w:rsidRDefault="00B9311E" w:rsidP="00B9311E">
            <w:pPr>
              <w:spacing w:after="0" w:line="240" w:lineRule="auto"/>
              <w:jc w:val="center"/>
              <w:rPr>
                <w:rFonts w:ascii="Times New Roman" w:hAnsi="Times New Roman" w:cs="Times New Roman"/>
                <w:sz w:val="20"/>
                <w:szCs w:val="20"/>
              </w:rPr>
            </w:pPr>
          </w:p>
        </w:tc>
      </w:tr>
      <w:tr w:rsidR="00BD77D8" w:rsidRPr="00BD77D8" w14:paraId="718071E2" w14:textId="77777777" w:rsidTr="003057FB">
        <w:trPr>
          <w:trHeight w:val="286"/>
        </w:trPr>
        <w:tc>
          <w:tcPr>
            <w:tcW w:w="3945" w:type="dxa"/>
            <w:tcBorders>
              <w:top w:val="nil"/>
              <w:left w:val="nil"/>
              <w:bottom w:val="nil"/>
              <w:right w:val="nil"/>
            </w:tcBorders>
            <w:shd w:val="clear" w:color="auto" w:fill="auto"/>
            <w:noWrap/>
            <w:vAlign w:val="bottom"/>
            <w:hideMark/>
          </w:tcPr>
          <w:p w14:paraId="1F9028AF" w14:textId="77777777" w:rsidR="00B9311E" w:rsidRPr="00BD77D8" w:rsidRDefault="00B9311E" w:rsidP="00B9311E">
            <w:pPr>
              <w:spacing w:after="0" w:line="240" w:lineRule="auto"/>
              <w:rPr>
                <w:b/>
                <w:bCs/>
                <w:sz w:val="18"/>
                <w:szCs w:val="18"/>
              </w:rPr>
            </w:pPr>
            <w:r w:rsidRPr="00BD77D8">
              <w:rPr>
                <w:b/>
                <w:bCs/>
                <w:sz w:val="18"/>
                <w:szCs w:val="18"/>
              </w:rPr>
              <w:t xml:space="preserve"> Income from Continuing Operations </w:t>
            </w:r>
          </w:p>
        </w:tc>
        <w:tc>
          <w:tcPr>
            <w:tcW w:w="1158" w:type="dxa"/>
            <w:tcBorders>
              <w:top w:val="nil"/>
              <w:left w:val="nil"/>
              <w:bottom w:val="nil"/>
              <w:right w:val="nil"/>
            </w:tcBorders>
            <w:shd w:val="clear" w:color="auto" w:fill="auto"/>
            <w:noWrap/>
            <w:vAlign w:val="bottom"/>
            <w:hideMark/>
          </w:tcPr>
          <w:p w14:paraId="78758F1F" w14:textId="77777777" w:rsidR="00B9311E" w:rsidRPr="00BD77D8" w:rsidRDefault="00B9311E" w:rsidP="00B9311E">
            <w:pPr>
              <w:spacing w:after="0" w:line="240" w:lineRule="auto"/>
              <w:rPr>
                <w:sz w:val="18"/>
                <w:szCs w:val="18"/>
              </w:rPr>
            </w:pPr>
          </w:p>
        </w:tc>
        <w:tc>
          <w:tcPr>
            <w:tcW w:w="1384" w:type="dxa"/>
            <w:tcBorders>
              <w:top w:val="nil"/>
              <w:left w:val="nil"/>
              <w:bottom w:val="nil"/>
              <w:right w:val="nil"/>
            </w:tcBorders>
            <w:shd w:val="clear" w:color="auto" w:fill="auto"/>
            <w:noWrap/>
            <w:vAlign w:val="bottom"/>
            <w:hideMark/>
          </w:tcPr>
          <w:p w14:paraId="51009863"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430" w:type="dxa"/>
            <w:tcBorders>
              <w:top w:val="nil"/>
              <w:left w:val="nil"/>
              <w:bottom w:val="nil"/>
              <w:right w:val="nil"/>
            </w:tcBorders>
            <w:shd w:val="clear" w:color="auto" w:fill="auto"/>
            <w:noWrap/>
            <w:vAlign w:val="bottom"/>
            <w:hideMark/>
          </w:tcPr>
          <w:p w14:paraId="1EE2FF2F" w14:textId="77777777" w:rsidR="00B9311E" w:rsidRPr="00BD77D8" w:rsidRDefault="00B9311E" w:rsidP="00B9311E">
            <w:pPr>
              <w:spacing w:after="0" w:line="240" w:lineRule="auto"/>
              <w:rPr>
                <w:rFonts w:ascii="Times New Roman" w:hAnsi="Times New Roman" w:cs="Times New Roman"/>
                <w:sz w:val="20"/>
                <w:szCs w:val="20"/>
              </w:rPr>
            </w:pPr>
          </w:p>
        </w:tc>
        <w:tc>
          <w:tcPr>
            <w:tcW w:w="1366" w:type="dxa"/>
            <w:tcBorders>
              <w:top w:val="nil"/>
              <w:left w:val="nil"/>
              <w:bottom w:val="nil"/>
              <w:right w:val="nil"/>
            </w:tcBorders>
            <w:shd w:val="clear" w:color="auto" w:fill="auto"/>
            <w:noWrap/>
            <w:vAlign w:val="bottom"/>
            <w:hideMark/>
          </w:tcPr>
          <w:p w14:paraId="05647329"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186" w:type="dxa"/>
            <w:tcBorders>
              <w:top w:val="nil"/>
              <w:left w:val="nil"/>
              <w:bottom w:val="nil"/>
              <w:right w:val="nil"/>
            </w:tcBorders>
            <w:shd w:val="clear" w:color="auto" w:fill="auto"/>
            <w:noWrap/>
            <w:vAlign w:val="bottom"/>
            <w:hideMark/>
          </w:tcPr>
          <w:p w14:paraId="79A2B180" w14:textId="77777777" w:rsidR="00B9311E" w:rsidRPr="00BD77D8" w:rsidRDefault="00B9311E" w:rsidP="00B9311E">
            <w:pPr>
              <w:spacing w:after="0" w:line="240" w:lineRule="auto"/>
              <w:jc w:val="center"/>
              <w:rPr>
                <w:rFonts w:ascii="Times New Roman" w:hAnsi="Times New Roman" w:cs="Times New Roman"/>
                <w:sz w:val="20"/>
                <w:szCs w:val="20"/>
              </w:rPr>
            </w:pPr>
          </w:p>
        </w:tc>
      </w:tr>
      <w:tr w:rsidR="00BD77D8" w:rsidRPr="00BD77D8" w14:paraId="5D07A526" w14:textId="77777777" w:rsidTr="003057FB">
        <w:trPr>
          <w:trHeight w:val="286"/>
        </w:trPr>
        <w:tc>
          <w:tcPr>
            <w:tcW w:w="3945" w:type="dxa"/>
            <w:tcBorders>
              <w:top w:val="nil"/>
              <w:left w:val="nil"/>
              <w:bottom w:val="nil"/>
              <w:right w:val="nil"/>
            </w:tcBorders>
            <w:shd w:val="clear" w:color="000000" w:fill="FFFFFF"/>
            <w:noWrap/>
            <w:vAlign w:val="bottom"/>
            <w:hideMark/>
          </w:tcPr>
          <w:p w14:paraId="679DEB01"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Appropriation revenue </w:t>
            </w:r>
          </w:p>
        </w:tc>
        <w:tc>
          <w:tcPr>
            <w:tcW w:w="1158" w:type="dxa"/>
            <w:tcBorders>
              <w:top w:val="nil"/>
              <w:left w:val="nil"/>
              <w:bottom w:val="nil"/>
              <w:right w:val="nil"/>
            </w:tcBorders>
            <w:shd w:val="clear" w:color="auto" w:fill="auto"/>
            <w:noWrap/>
            <w:vAlign w:val="bottom"/>
            <w:hideMark/>
          </w:tcPr>
          <w:p w14:paraId="304D619A" w14:textId="77777777" w:rsidR="00B9311E" w:rsidRPr="00BD77D8" w:rsidRDefault="0028582B" w:rsidP="00B9311E">
            <w:pPr>
              <w:spacing w:after="0" w:line="240" w:lineRule="auto"/>
              <w:jc w:val="center"/>
              <w:rPr>
                <w:rFonts w:eastAsia="PMingLiU"/>
                <w:b/>
                <w:bCs/>
                <w:sz w:val="18"/>
                <w:szCs w:val="22"/>
                <w:lang w:eastAsia="en-US"/>
              </w:rPr>
            </w:pPr>
            <w:hyperlink r:id="rId11" w:anchor="'Note B1-1'!A5" w:history="1">
              <w:r w:rsidR="00B9311E" w:rsidRPr="00BD77D8">
                <w:rPr>
                  <w:rFonts w:eastAsia="PMingLiU"/>
                  <w:b/>
                  <w:bCs/>
                  <w:sz w:val="18"/>
                  <w:szCs w:val="22"/>
                  <w:lang w:eastAsia="en-US"/>
                </w:rPr>
                <w:t>B1-1</w:t>
              </w:r>
            </w:hyperlink>
          </w:p>
        </w:tc>
        <w:tc>
          <w:tcPr>
            <w:tcW w:w="1384" w:type="dxa"/>
            <w:tcBorders>
              <w:top w:val="nil"/>
              <w:left w:val="nil"/>
              <w:bottom w:val="nil"/>
              <w:right w:val="nil"/>
            </w:tcBorders>
            <w:shd w:val="clear" w:color="auto" w:fill="auto"/>
            <w:vAlign w:val="bottom"/>
            <w:hideMark/>
          </w:tcPr>
          <w:p w14:paraId="23A61B6D" w14:textId="77777777" w:rsidR="00B9311E" w:rsidRPr="00BD77D8" w:rsidRDefault="00B9311E" w:rsidP="00B9311E">
            <w:pPr>
              <w:spacing w:after="0" w:line="240" w:lineRule="auto"/>
              <w:jc w:val="right"/>
              <w:rPr>
                <w:b/>
                <w:bCs/>
                <w:sz w:val="18"/>
                <w:szCs w:val="18"/>
              </w:rPr>
            </w:pPr>
            <w:r w:rsidRPr="00BD77D8">
              <w:rPr>
                <w:b/>
                <w:bCs/>
                <w:sz w:val="18"/>
                <w:szCs w:val="18"/>
              </w:rPr>
              <w:t xml:space="preserve">           282,968 </w:t>
            </w:r>
          </w:p>
        </w:tc>
        <w:tc>
          <w:tcPr>
            <w:tcW w:w="1430" w:type="dxa"/>
            <w:tcBorders>
              <w:top w:val="nil"/>
              <w:left w:val="nil"/>
              <w:bottom w:val="nil"/>
              <w:right w:val="nil"/>
            </w:tcBorders>
            <w:shd w:val="clear" w:color="auto" w:fill="auto"/>
            <w:vAlign w:val="bottom"/>
            <w:hideMark/>
          </w:tcPr>
          <w:p w14:paraId="3676ED34" w14:textId="77777777" w:rsidR="00B9311E" w:rsidRPr="00BD77D8" w:rsidRDefault="00B9311E" w:rsidP="00B9311E">
            <w:pPr>
              <w:spacing w:after="0" w:line="240" w:lineRule="auto"/>
              <w:jc w:val="right"/>
              <w:rPr>
                <w:sz w:val="18"/>
                <w:szCs w:val="18"/>
              </w:rPr>
            </w:pPr>
            <w:r w:rsidRPr="00BD77D8">
              <w:rPr>
                <w:sz w:val="18"/>
                <w:szCs w:val="18"/>
              </w:rPr>
              <w:t xml:space="preserve">           297,144 </w:t>
            </w:r>
          </w:p>
        </w:tc>
        <w:tc>
          <w:tcPr>
            <w:tcW w:w="1366" w:type="dxa"/>
            <w:tcBorders>
              <w:top w:val="nil"/>
              <w:left w:val="nil"/>
              <w:bottom w:val="nil"/>
              <w:right w:val="nil"/>
            </w:tcBorders>
            <w:shd w:val="clear" w:color="auto" w:fill="auto"/>
            <w:vAlign w:val="bottom"/>
            <w:hideMark/>
          </w:tcPr>
          <w:p w14:paraId="0B76BE1C" w14:textId="77777777" w:rsidR="00B9311E" w:rsidRPr="00BD77D8" w:rsidRDefault="00B9311E" w:rsidP="00B9311E">
            <w:pPr>
              <w:spacing w:after="0" w:line="240" w:lineRule="auto"/>
              <w:jc w:val="right"/>
              <w:rPr>
                <w:sz w:val="18"/>
                <w:szCs w:val="18"/>
              </w:rPr>
            </w:pPr>
            <w:r w:rsidRPr="00BD77D8">
              <w:rPr>
                <w:sz w:val="18"/>
                <w:szCs w:val="18"/>
              </w:rPr>
              <w:t xml:space="preserve">          (14,176)</w:t>
            </w:r>
          </w:p>
        </w:tc>
        <w:tc>
          <w:tcPr>
            <w:tcW w:w="1186" w:type="dxa"/>
            <w:tcBorders>
              <w:top w:val="nil"/>
              <w:left w:val="nil"/>
              <w:bottom w:val="nil"/>
              <w:right w:val="nil"/>
            </w:tcBorders>
            <w:shd w:val="clear" w:color="auto" w:fill="auto"/>
            <w:vAlign w:val="bottom"/>
            <w:hideMark/>
          </w:tcPr>
          <w:p w14:paraId="6567DFF5" w14:textId="77777777" w:rsidR="00B9311E" w:rsidRPr="00BD77D8" w:rsidRDefault="00B9311E" w:rsidP="00B9311E">
            <w:pPr>
              <w:spacing w:after="0" w:line="240" w:lineRule="auto"/>
              <w:jc w:val="right"/>
              <w:rPr>
                <w:sz w:val="18"/>
                <w:szCs w:val="18"/>
              </w:rPr>
            </w:pPr>
            <w:r w:rsidRPr="00BD77D8">
              <w:rPr>
                <w:sz w:val="18"/>
                <w:szCs w:val="18"/>
              </w:rPr>
              <w:t xml:space="preserve">        320,736 </w:t>
            </w:r>
          </w:p>
        </w:tc>
      </w:tr>
      <w:tr w:rsidR="00BD77D8" w:rsidRPr="00BD77D8" w14:paraId="308DED84" w14:textId="77777777" w:rsidTr="003057FB">
        <w:trPr>
          <w:trHeight w:val="286"/>
        </w:trPr>
        <w:tc>
          <w:tcPr>
            <w:tcW w:w="3945" w:type="dxa"/>
            <w:tcBorders>
              <w:top w:val="nil"/>
              <w:left w:val="nil"/>
              <w:bottom w:val="nil"/>
              <w:right w:val="nil"/>
            </w:tcBorders>
            <w:shd w:val="clear" w:color="auto" w:fill="auto"/>
            <w:noWrap/>
            <w:vAlign w:val="bottom"/>
            <w:hideMark/>
          </w:tcPr>
          <w:p w14:paraId="09579945"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User charges and fees </w:t>
            </w:r>
          </w:p>
        </w:tc>
        <w:tc>
          <w:tcPr>
            <w:tcW w:w="1158" w:type="dxa"/>
            <w:tcBorders>
              <w:top w:val="nil"/>
              <w:left w:val="nil"/>
              <w:bottom w:val="nil"/>
              <w:right w:val="nil"/>
            </w:tcBorders>
            <w:shd w:val="clear" w:color="auto" w:fill="auto"/>
            <w:noWrap/>
            <w:vAlign w:val="bottom"/>
            <w:hideMark/>
          </w:tcPr>
          <w:p w14:paraId="009FA637" w14:textId="77777777" w:rsidR="00B9311E" w:rsidRPr="00BD77D8" w:rsidRDefault="0028582B" w:rsidP="00B9311E">
            <w:pPr>
              <w:spacing w:after="0" w:line="240" w:lineRule="auto"/>
              <w:jc w:val="center"/>
              <w:rPr>
                <w:rFonts w:eastAsia="PMingLiU"/>
                <w:b/>
                <w:bCs/>
                <w:sz w:val="18"/>
                <w:szCs w:val="22"/>
                <w:lang w:eastAsia="en-US"/>
              </w:rPr>
            </w:pPr>
            <w:hyperlink r:id="rId12" w:anchor="'Note B1-2'!A5" w:history="1">
              <w:r w:rsidR="00B9311E" w:rsidRPr="00BD77D8">
                <w:rPr>
                  <w:rFonts w:eastAsia="PMingLiU"/>
                  <w:b/>
                  <w:bCs/>
                  <w:sz w:val="18"/>
                  <w:szCs w:val="22"/>
                  <w:lang w:eastAsia="en-US"/>
                </w:rPr>
                <w:t>B1-2</w:t>
              </w:r>
            </w:hyperlink>
          </w:p>
        </w:tc>
        <w:tc>
          <w:tcPr>
            <w:tcW w:w="1384" w:type="dxa"/>
            <w:tcBorders>
              <w:top w:val="nil"/>
              <w:left w:val="nil"/>
              <w:bottom w:val="nil"/>
              <w:right w:val="nil"/>
            </w:tcBorders>
            <w:shd w:val="clear" w:color="auto" w:fill="auto"/>
            <w:vAlign w:val="bottom"/>
            <w:hideMark/>
          </w:tcPr>
          <w:p w14:paraId="07B83DA9" w14:textId="77777777" w:rsidR="00B9311E" w:rsidRPr="00BD77D8" w:rsidRDefault="00B9311E" w:rsidP="00B9311E">
            <w:pPr>
              <w:spacing w:after="0" w:line="240" w:lineRule="auto"/>
              <w:jc w:val="right"/>
              <w:rPr>
                <w:b/>
                <w:bCs/>
                <w:sz w:val="18"/>
                <w:szCs w:val="18"/>
              </w:rPr>
            </w:pPr>
            <w:r w:rsidRPr="00BD77D8">
              <w:rPr>
                <w:b/>
                <w:bCs/>
                <w:sz w:val="18"/>
                <w:szCs w:val="18"/>
              </w:rPr>
              <w:t xml:space="preserve">              10,412 </w:t>
            </w:r>
          </w:p>
        </w:tc>
        <w:tc>
          <w:tcPr>
            <w:tcW w:w="1430" w:type="dxa"/>
            <w:tcBorders>
              <w:top w:val="nil"/>
              <w:left w:val="nil"/>
              <w:bottom w:val="nil"/>
              <w:right w:val="nil"/>
            </w:tcBorders>
            <w:shd w:val="clear" w:color="auto" w:fill="auto"/>
            <w:vAlign w:val="bottom"/>
            <w:hideMark/>
          </w:tcPr>
          <w:p w14:paraId="42224048" w14:textId="77777777" w:rsidR="00B9311E" w:rsidRPr="00BD77D8" w:rsidRDefault="00B9311E" w:rsidP="00B9311E">
            <w:pPr>
              <w:spacing w:after="0" w:line="240" w:lineRule="auto"/>
              <w:jc w:val="right"/>
              <w:rPr>
                <w:sz w:val="18"/>
                <w:szCs w:val="18"/>
              </w:rPr>
            </w:pPr>
            <w:r w:rsidRPr="00BD77D8">
              <w:rPr>
                <w:sz w:val="18"/>
                <w:szCs w:val="18"/>
              </w:rPr>
              <w:t xml:space="preserve">                1,149 </w:t>
            </w:r>
          </w:p>
        </w:tc>
        <w:tc>
          <w:tcPr>
            <w:tcW w:w="1366" w:type="dxa"/>
            <w:tcBorders>
              <w:top w:val="nil"/>
              <w:left w:val="nil"/>
              <w:bottom w:val="nil"/>
              <w:right w:val="nil"/>
            </w:tcBorders>
            <w:shd w:val="clear" w:color="auto" w:fill="auto"/>
            <w:vAlign w:val="bottom"/>
            <w:hideMark/>
          </w:tcPr>
          <w:p w14:paraId="3708DEDD" w14:textId="77777777" w:rsidR="00B9311E" w:rsidRPr="00BD77D8" w:rsidRDefault="00B9311E" w:rsidP="00B9311E">
            <w:pPr>
              <w:spacing w:after="0" w:line="240" w:lineRule="auto"/>
              <w:jc w:val="right"/>
              <w:rPr>
                <w:sz w:val="18"/>
                <w:szCs w:val="18"/>
              </w:rPr>
            </w:pPr>
            <w:r w:rsidRPr="00BD77D8">
              <w:rPr>
                <w:sz w:val="18"/>
                <w:szCs w:val="18"/>
              </w:rPr>
              <w:t xml:space="preserve">              9,263 </w:t>
            </w:r>
          </w:p>
        </w:tc>
        <w:tc>
          <w:tcPr>
            <w:tcW w:w="1186" w:type="dxa"/>
            <w:tcBorders>
              <w:top w:val="nil"/>
              <w:left w:val="nil"/>
              <w:bottom w:val="nil"/>
              <w:right w:val="nil"/>
            </w:tcBorders>
            <w:shd w:val="clear" w:color="auto" w:fill="auto"/>
            <w:vAlign w:val="bottom"/>
            <w:hideMark/>
          </w:tcPr>
          <w:p w14:paraId="6A5A9834" w14:textId="77777777" w:rsidR="00B9311E" w:rsidRPr="00BD77D8" w:rsidRDefault="00B9311E" w:rsidP="00B9311E">
            <w:pPr>
              <w:spacing w:after="0" w:line="240" w:lineRule="auto"/>
              <w:jc w:val="right"/>
              <w:rPr>
                <w:sz w:val="18"/>
                <w:szCs w:val="18"/>
              </w:rPr>
            </w:pPr>
            <w:r w:rsidRPr="00BD77D8">
              <w:rPr>
                <w:sz w:val="18"/>
                <w:szCs w:val="18"/>
              </w:rPr>
              <w:t xml:space="preserve">          10,178 </w:t>
            </w:r>
          </w:p>
        </w:tc>
      </w:tr>
      <w:tr w:rsidR="00BD77D8" w:rsidRPr="00BD77D8" w14:paraId="1AE84C86" w14:textId="77777777" w:rsidTr="003057FB">
        <w:trPr>
          <w:trHeight w:val="286"/>
        </w:trPr>
        <w:tc>
          <w:tcPr>
            <w:tcW w:w="3945" w:type="dxa"/>
            <w:tcBorders>
              <w:top w:val="nil"/>
              <w:left w:val="nil"/>
              <w:bottom w:val="nil"/>
              <w:right w:val="nil"/>
            </w:tcBorders>
            <w:shd w:val="clear" w:color="auto" w:fill="auto"/>
            <w:noWrap/>
            <w:vAlign w:val="bottom"/>
            <w:hideMark/>
          </w:tcPr>
          <w:p w14:paraId="4FDDA6A3"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Grants and other contributions </w:t>
            </w:r>
          </w:p>
        </w:tc>
        <w:bookmarkStart w:id="6" w:name="RANGE!B10"/>
        <w:tc>
          <w:tcPr>
            <w:tcW w:w="1158" w:type="dxa"/>
            <w:tcBorders>
              <w:top w:val="nil"/>
              <w:left w:val="nil"/>
              <w:bottom w:val="nil"/>
              <w:right w:val="nil"/>
            </w:tcBorders>
            <w:shd w:val="clear" w:color="auto" w:fill="auto"/>
            <w:noWrap/>
            <w:vAlign w:val="bottom"/>
            <w:hideMark/>
          </w:tcPr>
          <w:p w14:paraId="054E9236" w14:textId="77777777" w:rsidR="00B9311E" w:rsidRPr="00BD77D8" w:rsidRDefault="00B9311E" w:rsidP="00B9311E">
            <w:pPr>
              <w:spacing w:after="0" w:line="240" w:lineRule="auto"/>
              <w:jc w:val="center"/>
              <w:rPr>
                <w:rFonts w:eastAsia="PMingLiU"/>
                <w:b/>
                <w:bCs/>
                <w:sz w:val="18"/>
                <w:szCs w:val="22"/>
                <w:lang w:eastAsia="en-US"/>
              </w:rPr>
            </w:pPr>
            <w:r w:rsidRPr="00BD77D8">
              <w:rPr>
                <w:rFonts w:eastAsia="PMingLiU"/>
                <w:b/>
                <w:bCs/>
                <w:sz w:val="18"/>
                <w:szCs w:val="22"/>
                <w:lang w:eastAsia="en-US"/>
              </w:rPr>
              <w:fldChar w:fldCharType="begin"/>
            </w:r>
            <w:r w:rsidRPr="00BD77D8">
              <w:rPr>
                <w:rFonts w:eastAsia="PMingLiU"/>
                <w:b/>
                <w:bCs/>
                <w:sz w:val="18"/>
                <w:szCs w:val="22"/>
                <w:lang w:eastAsia="en-US"/>
              </w:rPr>
              <w:instrText xml:space="preserve"> HYPERLINK "file:///C:\\Users\\lzwelsh\\AppData\\Local\\Microsoft\\Windows\\INetCache\\Content.MSO\\EE9A0631.xlsx" \l "'Note B1-3'!A5" </w:instrText>
            </w:r>
            <w:r w:rsidRPr="00BD77D8">
              <w:rPr>
                <w:rFonts w:eastAsia="PMingLiU"/>
                <w:b/>
                <w:bCs/>
                <w:sz w:val="18"/>
                <w:szCs w:val="22"/>
                <w:lang w:eastAsia="en-US"/>
              </w:rPr>
              <w:fldChar w:fldCharType="separate"/>
            </w:r>
            <w:r w:rsidRPr="00BD77D8">
              <w:rPr>
                <w:rFonts w:eastAsia="PMingLiU"/>
                <w:b/>
                <w:bCs/>
                <w:sz w:val="18"/>
                <w:szCs w:val="22"/>
                <w:lang w:eastAsia="en-US"/>
              </w:rPr>
              <w:t>B1-3</w:t>
            </w:r>
            <w:r w:rsidRPr="00BD77D8">
              <w:rPr>
                <w:rFonts w:eastAsia="PMingLiU"/>
                <w:b/>
                <w:bCs/>
                <w:sz w:val="18"/>
                <w:szCs w:val="22"/>
                <w:lang w:eastAsia="en-US"/>
              </w:rPr>
              <w:fldChar w:fldCharType="end"/>
            </w:r>
            <w:bookmarkEnd w:id="6"/>
          </w:p>
        </w:tc>
        <w:tc>
          <w:tcPr>
            <w:tcW w:w="1384" w:type="dxa"/>
            <w:tcBorders>
              <w:top w:val="nil"/>
              <w:left w:val="nil"/>
              <w:bottom w:val="nil"/>
              <w:right w:val="nil"/>
            </w:tcBorders>
            <w:shd w:val="clear" w:color="auto" w:fill="auto"/>
            <w:vAlign w:val="bottom"/>
            <w:hideMark/>
          </w:tcPr>
          <w:p w14:paraId="324BD0AC" w14:textId="77777777" w:rsidR="00B9311E" w:rsidRPr="00BD77D8" w:rsidRDefault="00B9311E" w:rsidP="00B9311E">
            <w:pPr>
              <w:spacing w:after="0" w:line="240" w:lineRule="auto"/>
              <w:jc w:val="right"/>
              <w:rPr>
                <w:b/>
                <w:bCs/>
                <w:sz w:val="18"/>
                <w:szCs w:val="18"/>
              </w:rPr>
            </w:pPr>
            <w:r w:rsidRPr="00BD77D8">
              <w:rPr>
                <w:b/>
                <w:bCs/>
                <w:sz w:val="18"/>
                <w:szCs w:val="18"/>
              </w:rPr>
              <w:t xml:space="preserve">              11,209 </w:t>
            </w:r>
          </w:p>
        </w:tc>
        <w:tc>
          <w:tcPr>
            <w:tcW w:w="1430" w:type="dxa"/>
            <w:tcBorders>
              <w:top w:val="nil"/>
              <w:left w:val="nil"/>
              <w:bottom w:val="nil"/>
              <w:right w:val="nil"/>
            </w:tcBorders>
            <w:shd w:val="clear" w:color="auto" w:fill="auto"/>
            <w:vAlign w:val="bottom"/>
            <w:hideMark/>
          </w:tcPr>
          <w:p w14:paraId="21913306" w14:textId="77777777" w:rsidR="00B9311E" w:rsidRPr="00BD77D8" w:rsidRDefault="00B9311E" w:rsidP="00B9311E">
            <w:pPr>
              <w:spacing w:after="0" w:line="240" w:lineRule="auto"/>
              <w:jc w:val="right"/>
              <w:rPr>
                <w:sz w:val="18"/>
                <w:szCs w:val="18"/>
              </w:rPr>
            </w:pPr>
            <w:r w:rsidRPr="00BD77D8">
              <w:rPr>
                <w:sz w:val="18"/>
                <w:szCs w:val="18"/>
              </w:rPr>
              <w:t xml:space="preserve">             12,373 </w:t>
            </w:r>
          </w:p>
        </w:tc>
        <w:tc>
          <w:tcPr>
            <w:tcW w:w="1366" w:type="dxa"/>
            <w:tcBorders>
              <w:top w:val="nil"/>
              <w:left w:val="nil"/>
              <w:bottom w:val="nil"/>
              <w:right w:val="nil"/>
            </w:tcBorders>
            <w:shd w:val="clear" w:color="auto" w:fill="auto"/>
            <w:vAlign w:val="bottom"/>
            <w:hideMark/>
          </w:tcPr>
          <w:p w14:paraId="5A5F2D2B" w14:textId="77777777" w:rsidR="00B9311E" w:rsidRPr="00BD77D8" w:rsidRDefault="00B9311E" w:rsidP="00B9311E">
            <w:pPr>
              <w:spacing w:after="0" w:line="240" w:lineRule="auto"/>
              <w:jc w:val="right"/>
              <w:rPr>
                <w:sz w:val="18"/>
                <w:szCs w:val="18"/>
              </w:rPr>
            </w:pPr>
            <w:r w:rsidRPr="00BD77D8">
              <w:rPr>
                <w:sz w:val="18"/>
                <w:szCs w:val="18"/>
              </w:rPr>
              <w:t xml:space="preserve">             (1,164)</w:t>
            </w:r>
          </w:p>
        </w:tc>
        <w:tc>
          <w:tcPr>
            <w:tcW w:w="1186" w:type="dxa"/>
            <w:tcBorders>
              <w:top w:val="nil"/>
              <w:left w:val="nil"/>
              <w:bottom w:val="nil"/>
              <w:right w:val="nil"/>
            </w:tcBorders>
            <w:shd w:val="clear" w:color="auto" w:fill="auto"/>
            <w:vAlign w:val="bottom"/>
            <w:hideMark/>
          </w:tcPr>
          <w:p w14:paraId="1054A91C" w14:textId="77777777" w:rsidR="00B9311E" w:rsidRPr="00BD77D8" w:rsidRDefault="00B9311E" w:rsidP="00B9311E">
            <w:pPr>
              <w:spacing w:after="0" w:line="240" w:lineRule="auto"/>
              <w:jc w:val="right"/>
              <w:rPr>
                <w:sz w:val="18"/>
                <w:szCs w:val="18"/>
              </w:rPr>
            </w:pPr>
            <w:r w:rsidRPr="00BD77D8">
              <w:rPr>
                <w:sz w:val="18"/>
                <w:szCs w:val="18"/>
              </w:rPr>
              <w:t xml:space="preserve">          13,489 </w:t>
            </w:r>
          </w:p>
        </w:tc>
      </w:tr>
      <w:tr w:rsidR="00BD77D8" w:rsidRPr="00BD77D8" w14:paraId="7B9249F8" w14:textId="77777777" w:rsidTr="003057FB">
        <w:trPr>
          <w:trHeight w:val="286"/>
        </w:trPr>
        <w:tc>
          <w:tcPr>
            <w:tcW w:w="3945" w:type="dxa"/>
            <w:tcBorders>
              <w:top w:val="nil"/>
              <w:left w:val="nil"/>
              <w:bottom w:val="nil"/>
              <w:right w:val="nil"/>
            </w:tcBorders>
            <w:shd w:val="clear" w:color="auto" w:fill="auto"/>
            <w:noWrap/>
            <w:vAlign w:val="bottom"/>
            <w:hideMark/>
          </w:tcPr>
          <w:p w14:paraId="5CCC70BE"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Interest </w:t>
            </w:r>
          </w:p>
        </w:tc>
        <w:tc>
          <w:tcPr>
            <w:tcW w:w="1158" w:type="dxa"/>
            <w:tcBorders>
              <w:top w:val="nil"/>
              <w:left w:val="nil"/>
              <w:bottom w:val="nil"/>
              <w:right w:val="nil"/>
            </w:tcBorders>
            <w:shd w:val="clear" w:color="auto" w:fill="auto"/>
            <w:noWrap/>
            <w:vAlign w:val="bottom"/>
            <w:hideMark/>
          </w:tcPr>
          <w:p w14:paraId="2A0E0E7A" w14:textId="77777777" w:rsidR="00B9311E" w:rsidRPr="00BD77D8" w:rsidRDefault="00B9311E" w:rsidP="00B9311E">
            <w:pPr>
              <w:spacing w:after="0" w:line="240" w:lineRule="auto"/>
              <w:ind w:firstLineChars="100" w:firstLine="181"/>
              <w:rPr>
                <w:b/>
                <w:bCs/>
                <w:sz w:val="18"/>
                <w:szCs w:val="18"/>
              </w:rPr>
            </w:pPr>
          </w:p>
        </w:tc>
        <w:tc>
          <w:tcPr>
            <w:tcW w:w="1384" w:type="dxa"/>
            <w:tcBorders>
              <w:top w:val="nil"/>
              <w:left w:val="nil"/>
              <w:bottom w:val="nil"/>
              <w:right w:val="nil"/>
            </w:tcBorders>
            <w:shd w:val="clear" w:color="auto" w:fill="auto"/>
            <w:vAlign w:val="bottom"/>
            <w:hideMark/>
          </w:tcPr>
          <w:p w14:paraId="784E35E9"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430" w:type="dxa"/>
            <w:tcBorders>
              <w:top w:val="nil"/>
              <w:left w:val="nil"/>
              <w:bottom w:val="nil"/>
              <w:right w:val="nil"/>
            </w:tcBorders>
            <w:shd w:val="clear" w:color="auto" w:fill="auto"/>
            <w:vAlign w:val="bottom"/>
            <w:hideMark/>
          </w:tcPr>
          <w:p w14:paraId="6B771272"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366" w:type="dxa"/>
            <w:tcBorders>
              <w:top w:val="nil"/>
              <w:left w:val="nil"/>
              <w:bottom w:val="nil"/>
              <w:right w:val="nil"/>
            </w:tcBorders>
            <w:shd w:val="clear" w:color="auto" w:fill="auto"/>
            <w:vAlign w:val="bottom"/>
            <w:hideMark/>
          </w:tcPr>
          <w:p w14:paraId="520B8158"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86" w:type="dxa"/>
            <w:tcBorders>
              <w:top w:val="nil"/>
              <w:left w:val="nil"/>
              <w:bottom w:val="nil"/>
              <w:right w:val="nil"/>
            </w:tcBorders>
            <w:shd w:val="clear" w:color="auto" w:fill="auto"/>
            <w:vAlign w:val="bottom"/>
            <w:hideMark/>
          </w:tcPr>
          <w:p w14:paraId="1E6DF665" w14:textId="77777777" w:rsidR="00B9311E" w:rsidRPr="00BD77D8" w:rsidRDefault="00B9311E" w:rsidP="00B9311E">
            <w:pPr>
              <w:spacing w:after="0" w:line="240" w:lineRule="auto"/>
              <w:jc w:val="right"/>
              <w:rPr>
                <w:sz w:val="18"/>
                <w:szCs w:val="18"/>
              </w:rPr>
            </w:pPr>
            <w:r w:rsidRPr="00BD77D8">
              <w:rPr>
                <w:sz w:val="18"/>
                <w:szCs w:val="18"/>
              </w:rPr>
              <w:t xml:space="preserve">                    3 </w:t>
            </w:r>
          </w:p>
        </w:tc>
      </w:tr>
      <w:tr w:rsidR="00BD77D8" w:rsidRPr="00BD77D8" w14:paraId="2EC54D35" w14:textId="77777777" w:rsidTr="003057FB">
        <w:trPr>
          <w:trHeight w:val="286"/>
        </w:trPr>
        <w:tc>
          <w:tcPr>
            <w:tcW w:w="3945" w:type="dxa"/>
            <w:tcBorders>
              <w:top w:val="nil"/>
              <w:left w:val="nil"/>
              <w:bottom w:val="nil"/>
              <w:right w:val="nil"/>
            </w:tcBorders>
            <w:shd w:val="clear" w:color="auto" w:fill="auto"/>
            <w:noWrap/>
            <w:vAlign w:val="bottom"/>
            <w:hideMark/>
          </w:tcPr>
          <w:p w14:paraId="362CA1A9"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Reversal of revaluation decrement </w:t>
            </w:r>
          </w:p>
        </w:tc>
        <w:bookmarkStart w:id="7" w:name="RANGE!B12"/>
        <w:tc>
          <w:tcPr>
            <w:tcW w:w="1158" w:type="dxa"/>
            <w:tcBorders>
              <w:top w:val="nil"/>
              <w:left w:val="nil"/>
              <w:bottom w:val="nil"/>
              <w:right w:val="nil"/>
            </w:tcBorders>
            <w:shd w:val="clear" w:color="auto" w:fill="auto"/>
            <w:noWrap/>
            <w:vAlign w:val="bottom"/>
            <w:hideMark/>
          </w:tcPr>
          <w:p w14:paraId="69429FE4" w14:textId="77777777" w:rsidR="00B9311E" w:rsidRPr="00BD77D8" w:rsidRDefault="00B9311E" w:rsidP="00B9311E">
            <w:pPr>
              <w:spacing w:after="0" w:line="240" w:lineRule="auto"/>
              <w:jc w:val="center"/>
              <w:rPr>
                <w:rFonts w:eastAsia="PMingLiU"/>
                <w:b/>
                <w:bCs/>
                <w:sz w:val="18"/>
                <w:szCs w:val="22"/>
                <w:lang w:eastAsia="en-US"/>
              </w:rPr>
            </w:pPr>
            <w:r w:rsidRPr="00BD77D8">
              <w:rPr>
                <w:rFonts w:eastAsia="PMingLiU"/>
                <w:b/>
                <w:bCs/>
                <w:sz w:val="18"/>
                <w:szCs w:val="22"/>
                <w:lang w:eastAsia="en-US"/>
              </w:rPr>
              <w:fldChar w:fldCharType="begin"/>
            </w:r>
            <w:r w:rsidRPr="00BD77D8">
              <w:rPr>
                <w:rFonts w:eastAsia="PMingLiU"/>
                <w:b/>
                <w:bCs/>
                <w:sz w:val="18"/>
                <w:szCs w:val="22"/>
                <w:lang w:eastAsia="en-US"/>
              </w:rPr>
              <w:instrText xml:space="preserve"> HYPERLINK "file:///C:\\Users\\lzwelsh\\AppData\\Local\\Microsoft\\Windows\\INetCache\\Content.MSO\\EE9A0631.xlsx" \l "'Note C4-1 Cont'!G24" </w:instrText>
            </w:r>
            <w:r w:rsidRPr="00BD77D8">
              <w:rPr>
                <w:rFonts w:eastAsia="PMingLiU"/>
                <w:b/>
                <w:bCs/>
                <w:sz w:val="18"/>
                <w:szCs w:val="22"/>
                <w:lang w:eastAsia="en-US"/>
              </w:rPr>
              <w:fldChar w:fldCharType="separate"/>
            </w:r>
            <w:r w:rsidRPr="00BD77D8">
              <w:rPr>
                <w:rFonts w:eastAsia="PMingLiU"/>
                <w:b/>
                <w:bCs/>
                <w:sz w:val="18"/>
                <w:szCs w:val="22"/>
                <w:lang w:eastAsia="en-US"/>
              </w:rPr>
              <w:t>C4-1</w:t>
            </w:r>
            <w:r w:rsidRPr="00BD77D8">
              <w:rPr>
                <w:rFonts w:eastAsia="PMingLiU"/>
                <w:b/>
                <w:bCs/>
                <w:sz w:val="18"/>
                <w:szCs w:val="22"/>
                <w:lang w:eastAsia="en-US"/>
              </w:rPr>
              <w:fldChar w:fldCharType="end"/>
            </w:r>
            <w:bookmarkEnd w:id="7"/>
          </w:p>
        </w:tc>
        <w:tc>
          <w:tcPr>
            <w:tcW w:w="1384" w:type="dxa"/>
            <w:tcBorders>
              <w:top w:val="nil"/>
              <w:left w:val="nil"/>
              <w:bottom w:val="nil"/>
              <w:right w:val="nil"/>
            </w:tcBorders>
            <w:shd w:val="clear" w:color="auto" w:fill="auto"/>
            <w:vAlign w:val="bottom"/>
            <w:hideMark/>
          </w:tcPr>
          <w:p w14:paraId="3BFCE351" w14:textId="77777777" w:rsidR="00B9311E" w:rsidRPr="00BD77D8" w:rsidRDefault="00B9311E" w:rsidP="00B9311E">
            <w:pPr>
              <w:spacing w:after="0" w:line="240" w:lineRule="auto"/>
              <w:jc w:val="right"/>
              <w:rPr>
                <w:b/>
                <w:bCs/>
                <w:sz w:val="18"/>
                <w:szCs w:val="18"/>
              </w:rPr>
            </w:pPr>
            <w:r w:rsidRPr="00BD77D8">
              <w:rPr>
                <w:b/>
                <w:bCs/>
                <w:sz w:val="18"/>
                <w:szCs w:val="18"/>
              </w:rPr>
              <w:t xml:space="preserve">              28,569 </w:t>
            </w:r>
          </w:p>
        </w:tc>
        <w:tc>
          <w:tcPr>
            <w:tcW w:w="1430" w:type="dxa"/>
            <w:tcBorders>
              <w:top w:val="nil"/>
              <w:left w:val="nil"/>
              <w:bottom w:val="nil"/>
              <w:right w:val="nil"/>
            </w:tcBorders>
            <w:shd w:val="clear" w:color="auto" w:fill="auto"/>
            <w:vAlign w:val="bottom"/>
            <w:hideMark/>
          </w:tcPr>
          <w:p w14:paraId="6FA96D12"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366" w:type="dxa"/>
            <w:tcBorders>
              <w:top w:val="nil"/>
              <w:left w:val="nil"/>
              <w:bottom w:val="nil"/>
              <w:right w:val="nil"/>
            </w:tcBorders>
            <w:shd w:val="clear" w:color="auto" w:fill="auto"/>
            <w:vAlign w:val="bottom"/>
            <w:hideMark/>
          </w:tcPr>
          <w:p w14:paraId="51CA32CA" w14:textId="77777777" w:rsidR="00B9311E" w:rsidRPr="00BD77D8" w:rsidRDefault="00B9311E" w:rsidP="00B9311E">
            <w:pPr>
              <w:spacing w:after="0" w:line="240" w:lineRule="auto"/>
              <w:jc w:val="right"/>
              <w:rPr>
                <w:sz w:val="18"/>
                <w:szCs w:val="18"/>
              </w:rPr>
            </w:pPr>
            <w:r w:rsidRPr="00BD77D8">
              <w:rPr>
                <w:sz w:val="18"/>
                <w:szCs w:val="18"/>
              </w:rPr>
              <w:t xml:space="preserve">            28,569 </w:t>
            </w:r>
          </w:p>
        </w:tc>
        <w:tc>
          <w:tcPr>
            <w:tcW w:w="1186" w:type="dxa"/>
            <w:tcBorders>
              <w:top w:val="nil"/>
              <w:left w:val="nil"/>
              <w:bottom w:val="nil"/>
              <w:right w:val="nil"/>
            </w:tcBorders>
            <w:shd w:val="clear" w:color="auto" w:fill="auto"/>
            <w:vAlign w:val="bottom"/>
            <w:hideMark/>
          </w:tcPr>
          <w:p w14:paraId="550B54E9" w14:textId="77777777" w:rsidR="00B9311E" w:rsidRPr="00BD77D8" w:rsidRDefault="00B9311E" w:rsidP="00B9311E">
            <w:pPr>
              <w:spacing w:after="0" w:line="240" w:lineRule="auto"/>
              <w:jc w:val="right"/>
              <w:rPr>
                <w:sz w:val="18"/>
                <w:szCs w:val="18"/>
              </w:rPr>
            </w:pPr>
            <w:r w:rsidRPr="00BD77D8">
              <w:rPr>
                <w:sz w:val="18"/>
                <w:szCs w:val="18"/>
              </w:rPr>
              <w:t xml:space="preserve">            1,229 </w:t>
            </w:r>
          </w:p>
        </w:tc>
      </w:tr>
      <w:tr w:rsidR="00BD77D8" w:rsidRPr="00BD77D8" w14:paraId="2458F1BC" w14:textId="77777777" w:rsidTr="003057FB">
        <w:trPr>
          <w:trHeight w:val="286"/>
        </w:trPr>
        <w:tc>
          <w:tcPr>
            <w:tcW w:w="3945" w:type="dxa"/>
            <w:tcBorders>
              <w:top w:val="nil"/>
              <w:left w:val="nil"/>
              <w:bottom w:val="nil"/>
              <w:right w:val="nil"/>
            </w:tcBorders>
            <w:shd w:val="clear" w:color="auto" w:fill="auto"/>
            <w:noWrap/>
            <w:vAlign w:val="bottom"/>
            <w:hideMark/>
          </w:tcPr>
          <w:p w14:paraId="622FA692"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Other revenue </w:t>
            </w:r>
          </w:p>
        </w:tc>
        <w:bookmarkStart w:id="8" w:name="RANGE!B13"/>
        <w:tc>
          <w:tcPr>
            <w:tcW w:w="1158" w:type="dxa"/>
            <w:tcBorders>
              <w:top w:val="nil"/>
              <w:left w:val="nil"/>
              <w:bottom w:val="nil"/>
              <w:right w:val="nil"/>
            </w:tcBorders>
            <w:shd w:val="clear" w:color="auto" w:fill="auto"/>
            <w:noWrap/>
            <w:vAlign w:val="bottom"/>
            <w:hideMark/>
          </w:tcPr>
          <w:p w14:paraId="59161158" w14:textId="77777777" w:rsidR="00B9311E" w:rsidRPr="00BD77D8" w:rsidRDefault="00B9311E" w:rsidP="00B9311E">
            <w:pPr>
              <w:spacing w:after="0" w:line="240" w:lineRule="auto"/>
              <w:jc w:val="center"/>
              <w:rPr>
                <w:rFonts w:eastAsia="PMingLiU"/>
                <w:b/>
                <w:bCs/>
                <w:sz w:val="18"/>
                <w:szCs w:val="22"/>
                <w:lang w:eastAsia="en-US"/>
              </w:rPr>
            </w:pPr>
            <w:r w:rsidRPr="00BD77D8">
              <w:rPr>
                <w:rFonts w:eastAsia="PMingLiU"/>
                <w:b/>
                <w:bCs/>
                <w:sz w:val="18"/>
                <w:szCs w:val="22"/>
                <w:lang w:eastAsia="en-US"/>
              </w:rPr>
              <w:fldChar w:fldCharType="begin"/>
            </w:r>
            <w:r w:rsidRPr="00BD77D8">
              <w:rPr>
                <w:rFonts w:eastAsia="PMingLiU"/>
                <w:b/>
                <w:bCs/>
                <w:sz w:val="18"/>
                <w:szCs w:val="22"/>
                <w:lang w:eastAsia="en-US"/>
              </w:rPr>
              <w:instrText xml:space="preserve"> HYPERLINK "file:///C:\\Users\\lzwelsh\\AppData\\Local\\Microsoft\\Windows\\INetCache\\Content.MSO\\EE9A0631.xlsx" \l "'Note B1-4'!A5" </w:instrText>
            </w:r>
            <w:r w:rsidRPr="00BD77D8">
              <w:rPr>
                <w:rFonts w:eastAsia="PMingLiU"/>
                <w:b/>
                <w:bCs/>
                <w:sz w:val="18"/>
                <w:szCs w:val="22"/>
                <w:lang w:eastAsia="en-US"/>
              </w:rPr>
              <w:fldChar w:fldCharType="separate"/>
            </w:r>
            <w:r w:rsidRPr="00BD77D8">
              <w:rPr>
                <w:rFonts w:eastAsia="PMingLiU"/>
                <w:b/>
                <w:bCs/>
                <w:sz w:val="18"/>
                <w:szCs w:val="22"/>
                <w:lang w:eastAsia="en-US"/>
              </w:rPr>
              <w:t>B1-4</w:t>
            </w:r>
            <w:r w:rsidRPr="00BD77D8">
              <w:rPr>
                <w:rFonts w:eastAsia="PMingLiU"/>
                <w:b/>
                <w:bCs/>
                <w:sz w:val="18"/>
                <w:szCs w:val="22"/>
                <w:lang w:eastAsia="en-US"/>
              </w:rPr>
              <w:fldChar w:fldCharType="end"/>
            </w:r>
            <w:bookmarkEnd w:id="8"/>
          </w:p>
        </w:tc>
        <w:tc>
          <w:tcPr>
            <w:tcW w:w="1384" w:type="dxa"/>
            <w:tcBorders>
              <w:top w:val="nil"/>
              <w:left w:val="nil"/>
              <w:bottom w:val="nil"/>
              <w:right w:val="nil"/>
            </w:tcBorders>
            <w:shd w:val="clear" w:color="auto" w:fill="auto"/>
            <w:vAlign w:val="bottom"/>
            <w:hideMark/>
          </w:tcPr>
          <w:p w14:paraId="3EA442CC" w14:textId="77777777" w:rsidR="00B9311E" w:rsidRPr="00BD77D8" w:rsidRDefault="00B9311E" w:rsidP="00B9311E">
            <w:pPr>
              <w:spacing w:after="0" w:line="240" w:lineRule="auto"/>
              <w:jc w:val="right"/>
              <w:rPr>
                <w:b/>
                <w:bCs/>
                <w:sz w:val="18"/>
                <w:szCs w:val="18"/>
              </w:rPr>
            </w:pPr>
            <w:r w:rsidRPr="00BD77D8">
              <w:rPr>
                <w:b/>
                <w:bCs/>
                <w:sz w:val="18"/>
                <w:szCs w:val="18"/>
              </w:rPr>
              <w:t xml:space="preserve">                2,969 </w:t>
            </w:r>
          </w:p>
        </w:tc>
        <w:tc>
          <w:tcPr>
            <w:tcW w:w="1430" w:type="dxa"/>
            <w:tcBorders>
              <w:top w:val="nil"/>
              <w:left w:val="nil"/>
              <w:bottom w:val="nil"/>
              <w:right w:val="nil"/>
            </w:tcBorders>
            <w:shd w:val="clear" w:color="auto" w:fill="auto"/>
            <w:vAlign w:val="bottom"/>
            <w:hideMark/>
          </w:tcPr>
          <w:p w14:paraId="3EA3602E" w14:textId="77777777" w:rsidR="00B9311E" w:rsidRPr="00BD77D8" w:rsidRDefault="00B9311E" w:rsidP="00B9311E">
            <w:pPr>
              <w:spacing w:after="0" w:line="240" w:lineRule="auto"/>
              <w:jc w:val="right"/>
              <w:rPr>
                <w:sz w:val="18"/>
                <w:szCs w:val="18"/>
              </w:rPr>
            </w:pPr>
            <w:r w:rsidRPr="00BD77D8">
              <w:rPr>
                <w:sz w:val="18"/>
                <w:szCs w:val="18"/>
              </w:rPr>
              <w:t xml:space="preserve">                   864 </w:t>
            </w:r>
          </w:p>
        </w:tc>
        <w:tc>
          <w:tcPr>
            <w:tcW w:w="1366" w:type="dxa"/>
            <w:tcBorders>
              <w:top w:val="nil"/>
              <w:left w:val="nil"/>
              <w:bottom w:val="nil"/>
              <w:right w:val="nil"/>
            </w:tcBorders>
            <w:shd w:val="clear" w:color="auto" w:fill="auto"/>
            <w:vAlign w:val="bottom"/>
            <w:hideMark/>
          </w:tcPr>
          <w:p w14:paraId="1CAD96E9" w14:textId="77777777" w:rsidR="00B9311E" w:rsidRPr="00BD77D8" w:rsidRDefault="00B9311E" w:rsidP="00B9311E">
            <w:pPr>
              <w:spacing w:after="0" w:line="240" w:lineRule="auto"/>
              <w:jc w:val="right"/>
              <w:rPr>
                <w:sz w:val="18"/>
                <w:szCs w:val="18"/>
              </w:rPr>
            </w:pPr>
            <w:r w:rsidRPr="00BD77D8">
              <w:rPr>
                <w:sz w:val="18"/>
                <w:szCs w:val="18"/>
              </w:rPr>
              <w:t xml:space="preserve">              2,105 </w:t>
            </w:r>
          </w:p>
        </w:tc>
        <w:tc>
          <w:tcPr>
            <w:tcW w:w="1186" w:type="dxa"/>
            <w:tcBorders>
              <w:top w:val="nil"/>
              <w:left w:val="nil"/>
              <w:bottom w:val="nil"/>
              <w:right w:val="nil"/>
            </w:tcBorders>
            <w:shd w:val="clear" w:color="auto" w:fill="auto"/>
            <w:vAlign w:val="bottom"/>
            <w:hideMark/>
          </w:tcPr>
          <w:p w14:paraId="4A832616" w14:textId="77777777" w:rsidR="00B9311E" w:rsidRPr="00BD77D8" w:rsidRDefault="00B9311E" w:rsidP="00B9311E">
            <w:pPr>
              <w:spacing w:after="0" w:line="240" w:lineRule="auto"/>
              <w:jc w:val="right"/>
              <w:rPr>
                <w:sz w:val="18"/>
                <w:szCs w:val="18"/>
              </w:rPr>
            </w:pPr>
            <w:r w:rsidRPr="00BD77D8">
              <w:rPr>
                <w:sz w:val="18"/>
                <w:szCs w:val="18"/>
              </w:rPr>
              <w:t xml:space="preserve">            4,188 </w:t>
            </w:r>
          </w:p>
        </w:tc>
      </w:tr>
      <w:tr w:rsidR="00BD77D8" w:rsidRPr="00BD77D8" w14:paraId="0EC82D49" w14:textId="77777777" w:rsidTr="003057FB">
        <w:trPr>
          <w:trHeight w:val="286"/>
        </w:trPr>
        <w:tc>
          <w:tcPr>
            <w:tcW w:w="3945" w:type="dxa"/>
            <w:tcBorders>
              <w:top w:val="nil"/>
              <w:left w:val="nil"/>
              <w:bottom w:val="nil"/>
              <w:right w:val="nil"/>
            </w:tcBorders>
            <w:shd w:val="clear" w:color="auto" w:fill="auto"/>
            <w:noWrap/>
            <w:vAlign w:val="bottom"/>
            <w:hideMark/>
          </w:tcPr>
          <w:p w14:paraId="033E87AD" w14:textId="77777777" w:rsidR="00B9311E" w:rsidRPr="00BD77D8" w:rsidRDefault="00B9311E" w:rsidP="00B9311E">
            <w:pPr>
              <w:spacing w:after="0" w:line="240" w:lineRule="auto"/>
              <w:rPr>
                <w:b/>
                <w:bCs/>
                <w:sz w:val="18"/>
                <w:szCs w:val="18"/>
              </w:rPr>
            </w:pPr>
            <w:r w:rsidRPr="00BD77D8">
              <w:rPr>
                <w:b/>
                <w:bCs/>
                <w:sz w:val="18"/>
                <w:szCs w:val="18"/>
              </w:rPr>
              <w:t xml:space="preserve"> Total Income from Continuing Operations </w:t>
            </w:r>
          </w:p>
        </w:tc>
        <w:tc>
          <w:tcPr>
            <w:tcW w:w="1158" w:type="dxa"/>
            <w:tcBorders>
              <w:top w:val="nil"/>
              <w:left w:val="nil"/>
              <w:bottom w:val="nil"/>
              <w:right w:val="nil"/>
            </w:tcBorders>
            <w:shd w:val="clear" w:color="auto" w:fill="auto"/>
            <w:noWrap/>
            <w:vAlign w:val="bottom"/>
            <w:hideMark/>
          </w:tcPr>
          <w:p w14:paraId="10E7AB2D" w14:textId="77777777" w:rsidR="00B9311E" w:rsidRPr="00BD77D8" w:rsidRDefault="00B9311E" w:rsidP="00B9311E">
            <w:pPr>
              <w:spacing w:after="0" w:line="240" w:lineRule="auto"/>
              <w:rPr>
                <w:b/>
                <w:bCs/>
                <w:sz w:val="18"/>
                <w:szCs w:val="18"/>
              </w:rPr>
            </w:pPr>
          </w:p>
        </w:tc>
        <w:tc>
          <w:tcPr>
            <w:tcW w:w="1384" w:type="dxa"/>
            <w:tcBorders>
              <w:top w:val="single" w:sz="4" w:space="0" w:color="auto"/>
              <w:left w:val="nil"/>
              <w:bottom w:val="single" w:sz="4" w:space="0" w:color="auto"/>
              <w:right w:val="nil"/>
            </w:tcBorders>
            <w:shd w:val="clear" w:color="auto" w:fill="auto"/>
            <w:vAlign w:val="bottom"/>
            <w:hideMark/>
          </w:tcPr>
          <w:p w14:paraId="229EA116" w14:textId="77777777" w:rsidR="00B9311E" w:rsidRPr="00BD77D8" w:rsidRDefault="00B9311E" w:rsidP="00B9311E">
            <w:pPr>
              <w:spacing w:after="0" w:line="240" w:lineRule="auto"/>
              <w:jc w:val="right"/>
              <w:rPr>
                <w:b/>
                <w:bCs/>
                <w:sz w:val="18"/>
                <w:szCs w:val="18"/>
              </w:rPr>
            </w:pPr>
            <w:r w:rsidRPr="00BD77D8">
              <w:rPr>
                <w:b/>
                <w:bCs/>
                <w:sz w:val="18"/>
                <w:szCs w:val="18"/>
              </w:rPr>
              <w:t xml:space="preserve">           336,127 </w:t>
            </w:r>
          </w:p>
        </w:tc>
        <w:tc>
          <w:tcPr>
            <w:tcW w:w="1430" w:type="dxa"/>
            <w:tcBorders>
              <w:top w:val="single" w:sz="4" w:space="0" w:color="auto"/>
              <w:left w:val="nil"/>
              <w:bottom w:val="single" w:sz="4" w:space="0" w:color="auto"/>
              <w:right w:val="nil"/>
            </w:tcBorders>
            <w:shd w:val="clear" w:color="auto" w:fill="auto"/>
            <w:vAlign w:val="bottom"/>
            <w:hideMark/>
          </w:tcPr>
          <w:p w14:paraId="3A969B44" w14:textId="77777777" w:rsidR="00B9311E" w:rsidRPr="00BD77D8" w:rsidRDefault="00B9311E" w:rsidP="00B9311E">
            <w:pPr>
              <w:spacing w:after="0" w:line="240" w:lineRule="auto"/>
              <w:jc w:val="right"/>
              <w:rPr>
                <w:b/>
                <w:bCs/>
                <w:sz w:val="18"/>
                <w:szCs w:val="18"/>
              </w:rPr>
            </w:pPr>
            <w:r w:rsidRPr="00BD77D8">
              <w:rPr>
                <w:b/>
                <w:bCs/>
                <w:sz w:val="18"/>
                <w:szCs w:val="18"/>
              </w:rPr>
              <w:t xml:space="preserve">           311,530 </w:t>
            </w:r>
          </w:p>
        </w:tc>
        <w:tc>
          <w:tcPr>
            <w:tcW w:w="1366" w:type="dxa"/>
            <w:tcBorders>
              <w:top w:val="single" w:sz="4" w:space="0" w:color="auto"/>
              <w:left w:val="nil"/>
              <w:bottom w:val="single" w:sz="4" w:space="0" w:color="auto"/>
              <w:right w:val="nil"/>
            </w:tcBorders>
            <w:shd w:val="clear" w:color="auto" w:fill="auto"/>
            <w:vAlign w:val="bottom"/>
            <w:hideMark/>
          </w:tcPr>
          <w:p w14:paraId="3ECF441D" w14:textId="77777777" w:rsidR="00B9311E" w:rsidRPr="00BD77D8" w:rsidRDefault="00B9311E" w:rsidP="00B9311E">
            <w:pPr>
              <w:spacing w:after="0" w:line="240" w:lineRule="auto"/>
              <w:jc w:val="right"/>
              <w:rPr>
                <w:b/>
                <w:bCs/>
                <w:sz w:val="18"/>
                <w:szCs w:val="18"/>
              </w:rPr>
            </w:pPr>
            <w:r w:rsidRPr="00BD77D8">
              <w:rPr>
                <w:b/>
                <w:bCs/>
                <w:sz w:val="18"/>
                <w:szCs w:val="18"/>
              </w:rPr>
              <w:t xml:space="preserve">            24,597 </w:t>
            </w:r>
          </w:p>
        </w:tc>
        <w:tc>
          <w:tcPr>
            <w:tcW w:w="1186" w:type="dxa"/>
            <w:tcBorders>
              <w:top w:val="single" w:sz="4" w:space="0" w:color="auto"/>
              <w:left w:val="nil"/>
              <w:bottom w:val="single" w:sz="4" w:space="0" w:color="auto"/>
              <w:right w:val="nil"/>
            </w:tcBorders>
            <w:shd w:val="clear" w:color="auto" w:fill="auto"/>
            <w:vAlign w:val="bottom"/>
            <w:hideMark/>
          </w:tcPr>
          <w:p w14:paraId="3074E028" w14:textId="77777777" w:rsidR="00B9311E" w:rsidRPr="00BD77D8" w:rsidRDefault="00B9311E" w:rsidP="00B9311E">
            <w:pPr>
              <w:spacing w:after="0" w:line="240" w:lineRule="auto"/>
              <w:jc w:val="right"/>
              <w:rPr>
                <w:b/>
                <w:bCs/>
                <w:sz w:val="18"/>
                <w:szCs w:val="18"/>
              </w:rPr>
            </w:pPr>
            <w:r w:rsidRPr="00BD77D8">
              <w:rPr>
                <w:b/>
                <w:bCs/>
                <w:sz w:val="18"/>
                <w:szCs w:val="18"/>
              </w:rPr>
              <w:t xml:space="preserve">        349,823 </w:t>
            </w:r>
          </w:p>
        </w:tc>
      </w:tr>
      <w:tr w:rsidR="00BD77D8" w:rsidRPr="00BD77D8" w14:paraId="5B322594" w14:textId="77777777" w:rsidTr="003057FB">
        <w:trPr>
          <w:trHeight w:val="286"/>
        </w:trPr>
        <w:tc>
          <w:tcPr>
            <w:tcW w:w="3945" w:type="dxa"/>
            <w:tcBorders>
              <w:top w:val="nil"/>
              <w:left w:val="nil"/>
              <w:bottom w:val="nil"/>
              <w:right w:val="nil"/>
            </w:tcBorders>
            <w:shd w:val="clear" w:color="auto" w:fill="auto"/>
            <w:noWrap/>
            <w:vAlign w:val="bottom"/>
            <w:hideMark/>
          </w:tcPr>
          <w:p w14:paraId="307DF953" w14:textId="77777777" w:rsidR="00B9311E" w:rsidRPr="00BD77D8" w:rsidRDefault="00B9311E" w:rsidP="00B9311E">
            <w:pPr>
              <w:spacing w:after="0" w:line="240" w:lineRule="auto"/>
              <w:jc w:val="right"/>
              <w:rPr>
                <w:sz w:val="18"/>
                <w:szCs w:val="18"/>
              </w:rPr>
            </w:pPr>
          </w:p>
        </w:tc>
        <w:tc>
          <w:tcPr>
            <w:tcW w:w="1158" w:type="dxa"/>
            <w:tcBorders>
              <w:top w:val="nil"/>
              <w:left w:val="nil"/>
              <w:bottom w:val="nil"/>
              <w:right w:val="nil"/>
            </w:tcBorders>
            <w:shd w:val="clear" w:color="auto" w:fill="auto"/>
            <w:noWrap/>
            <w:vAlign w:val="bottom"/>
            <w:hideMark/>
          </w:tcPr>
          <w:p w14:paraId="6BD2BAA5" w14:textId="77777777" w:rsidR="00B9311E" w:rsidRPr="00BD77D8" w:rsidRDefault="00B9311E" w:rsidP="00B9311E">
            <w:pPr>
              <w:spacing w:after="0" w:line="240" w:lineRule="auto"/>
              <w:rPr>
                <w:rFonts w:ascii="Times New Roman" w:hAnsi="Times New Roman" w:cs="Times New Roman"/>
                <w:b/>
                <w:bCs/>
                <w:sz w:val="20"/>
                <w:szCs w:val="20"/>
              </w:rPr>
            </w:pPr>
          </w:p>
        </w:tc>
        <w:tc>
          <w:tcPr>
            <w:tcW w:w="1384" w:type="dxa"/>
            <w:tcBorders>
              <w:top w:val="nil"/>
              <w:left w:val="nil"/>
              <w:bottom w:val="nil"/>
              <w:right w:val="nil"/>
            </w:tcBorders>
            <w:shd w:val="clear" w:color="auto" w:fill="auto"/>
            <w:vAlign w:val="bottom"/>
            <w:hideMark/>
          </w:tcPr>
          <w:p w14:paraId="0E4F2F73"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430" w:type="dxa"/>
            <w:tcBorders>
              <w:top w:val="nil"/>
              <w:left w:val="nil"/>
              <w:bottom w:val="nil"/>
              <w:right w:val="nil"/>
            </w:tcBorders>
            <w:shd w:val="clear" w:color="FFFFFF" w:fill="FFFFFF"/>
            <w:vAlign w:val="bottom"/>
            <w:hideMark/>
          </w:tcPr>
          <w:p w14:paraId="0EDC0AA6" w14:textId="77777777" w:rsidR="00B9311E" w:rsidRPr="00BD77D8" w:rsidRDefault="00B9311E" w:rsidP="00B9311E">
            <w:pPr>
              <w:spacing w:after="0" w:line="240" w:lineRule="auto"/>
              <w:jc w:val="right"/>
              <w:rPr>
                <w:sz w:val="18"/>
                <w:szCs w:val="18"/>
              </w:rPr>
            </w:pPr>
            <w:r w:rsidRPr="00BD77D8">
              <w:rPr>
                <w:sz w:val="18"/>
                <w:szCs w:val="18"/>
              </w:rPr>
              <w:t> </w:t>
            </w:r>
          </w:p>
        </w:tc>
        <w:tc>
          <w:tcPr>
            <w:tcW w:w="1366" w:type="dxa"/>
            <w:tcBorders>
              <w:top w:val="nil"/>
              <w:left w:val="nil"/>
              <w:bottom w:val="nil"/>
              <w:right w:val="nil"/>
            </w:tcBorders>
            <w:shd w:val="clear" w:color="auto" w:fill="auto"/>
            <w:vAlign w:val="bottom"/>
            <w:hideMark/>
          </w:tcPr>
          <w:p w14:paraId="2A913ACD" w14:textId="77777777" w:rsidR="00B9311E" w:rsidRPr="00BD77D8" w:rsidRDefault="00B9311E" w:rsidP="00B9311E">
            <w:pPr>
              <w:spacing w:after="0" w:line="240" w:lineRule="auto"/>
              <w:jc w:val="right"/>
              <w:rPr>
                <w:sz w:val="18"/>
                <w:szCs w:val="18"/>
              </w:rPr>
            </w:pPr>
          </w:p>
        </w:tc>
        <w:tc>
          <w:tcPr>
            <w:tcW w:w="1186" w:type="dxa"/>
            <w:tcBorders>
              <w:top w:val="nil"/>
              <w:left w:val="nil"/>
              <w:bottom w:val="nil"/>
              <w:right w:val="nil"/>
            </w:tcBorders>
            <w:shd w:val="clear" w:color="auto" w:fill="auto"/>
            <w:vAlign w:val="bottom"/>
            <w:hideMark/>
          </w:tcPr>
          <w:p w14:paraId="2089A2AA"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3F12DB2F" w14:textId="77777777" w:rsidTr="003057FB">
        <w:trPr>
          <w:trHeight w:val="75"/>
        </w:trPr>
        <w:tc>
          <w:tcPr>
            <w:tcW w:w="3945" w:type="dxa"/>
            <w:tcBorders>
              <w:top w:val="nil"/>
              <w:left w:val="nil"/>
              <w:bottom w:val="nil"/>
              <w:right w:val="nil"/>
            </w:tcBorders>
            <w:shd w:val="clear" w:color="auto" w:fill="auto"/>
            <w:noWrap/>
            <w:vAlign w:val="bottom"/>
            <w:hideMark/>
          </w:tcPr>
          <w:p w14:paraId="2DD88618" w14:textId="77777777" w:rsidR="00B9311E" w:rsidRPr="00BD77D8" w:rsidRDefault="00B9311E" w:rsidP="00B9311E">
            <w:pPr>
              <w:spacing w:after="0" w:line="240" w:lineRule="auto"/>
              <w:rPr>
                <w:b/>
                <w:bCs/>
                <w:sz w:val="18"/>
                <w:szCs w:val="18"/>
              </w:rPr>
            </w:pPr>
            <w:r w:rsidRPr="00BD77D8">
              <w:rPr>
                <w:b/>
                <w:bCs/>
                <w:sz w:val="18"/>
                <w:szCs w:val="18"/>
              </w:rPr>
              <w:t xml:space="preserve"> Expenses from Continuing Operations </w:t>
            </w:r>
          </w:p>
        </w:tc>
        <w:tc>
          <w:tcPr>
            <w:tcW w:w="1158" w:type="dxa"/>
            <w:tcBorders>
              <w:top w:val="nil"/>
              <w:left w:val="nil"/>
              <w:bottom w:val="nil"/>
              <w:right w:val="nil"/>
            </w:tcBorders>
            <w:shd w:val="clear" w:color="auto" w:fill="auto"/>
            <w:noWrap/>
            <w:vAlign w:val="bottom"/>
            <w:hideMark/>
          </w:tcPr>
          <w:p w14:paraId="669D0CB3" w14:textId="77777777" w:rsidR="00B9311E" w:rsidRPr="00BD77D8" w:rsidRDefault="00B9311E" w:rsidP="00B9311E">
            <w:pPr>
              <w:spacing w:after="0" w:line="240" w:lineRule="auto"/>
              <w:rPr>
                <w:b/>
                <w:bCs/>
                <w:sz w:val="18"/>
                <w:szCs w:val="18"/>
              </w:rPr>
            </w:pPr>
          </w:p>
        </w:tc>
        <w:tc>
          <w:tcPr>
            <w:tcW w:w="1384" w:type="dxa"/>
            <w:tcBorders>
              <w:top w:val="nil"/>
              <w:left w:val="nil"/>
              <w:bottom w:val="nil"/>
              <w:right w:val="nil"/>
            </w:tcBorders>
            <w:shd w:val="clear" w:color="auto" w:fill="auto"/>
            <w:vAlign w:val="bottom"/>
            <w:hideMark/>
          </w:tcPr>
          <w:p w14:paraId="31FD21E5"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430" w:type="dxa"/>
            <w:tcBorders>
              <w:top w:val="nil"/>
              <w:left w:val="nil"/>
              <w:bottom w:val="nil"/>
              <w:right w:val="nil"/>
            </w:tcBorders>
            <w:shd w:val="clear" w:color="FFFFFF" w:fill="FFFFFF"/>
            <w:vAlign w:val="bottom"/>
            <w:hideMark/>
          </w:tcPr>
          <w:p w14:paraId="570A1320" w14:textId="77777777" w:rsidR="00B9311E" w:rsidRPr="00BD77D8" w:rsidRDefault="00B9311E" w:rsidP="00B9311E">
            <w:pPr>
              <w:spacing w:after="0" w:line="240" w:lineRule="auto"/>
              <w:jc w:val="right"/>
              <w:rPr>
                <w:b/>
                <w:bCs/>
                <w:sz w:val="18"/>
                <w:szCs w:val="18"/>
              </w:rPr>
            </w:pPr>
            <w:r w:rsidRPr="00BD77D8">
              <w:rPr>
                <w:b/>
                <w:bCs/>
                <w:sz w:val="18"/>
                <w:szCs w:val="18"/>
              </w:rPr>
              <w:t> </w:t>
            </w:r>
          </w:p>
        </w:tc>
        <w:tc>
          <w:tcPr>
            <w:tcW w:w="1366" w:type="dxa"/>
            <w:tcBorders>
              <w:top w:val="nil"/>
              <w:left w:val="nil"/>
              <w:bottom w:val="nil"/>
              <w:right w:val="nil"/>
            </w:tcBorders>
            <w:shd w:val="clear" w:color="auto" w:fill="auto"/>
            <w:vAlign w:val="bottom"/>
            <w:hideMark/>
          </w:tcPr>
          <w:p w14:paraId="388C90A9" w14:textId="77777777" w:rsidR="00B9311E" w:rsidRPr="00BD77D8" w:rsidRDefault="00B9311E" w:rsidP="00B9311E">
            <w:pPr>
              <w:spacing w:after="0" w:line="240" w:lineRule="auto"/>
              <w:jc w:val="right"/>
              <w:rPr>
                <w:b/>
                <w:bCs/>
                <w:sz w:val="18"/>
                <w:szCs w:val="18"/>
              </w:rPr>
            </w:pPr>
          </w:p>
        </w:tc>
        <w:tc>
          <w:tcPr>
            <w:tcW w:w="1186" w:type="dxa"/>
            <w:tcBorders>
              <w:top w:val="nil"/>
              <w:left w:val="nil"/>
              <w:bottom w:val="nil"/>
              <w:right w:val="nil"/>
            </w:tcBorders>
            <w:shd w:val="clear" w:color="auto" w:fill="auto"/>
            <w:vAlign w:val="bottom"/>
            <w:hideMark/>
          </w:tcPr>
          <w:p w14:paraId="03967BAA"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65DDB74B" w14:textId="77777777" w:rsidTr="003057FB">
        <w:trPr>
          <w:trHeight w:val="286"/>
        </w:trPr>
        <w:tc>
          <w:tcPr>
            <w:tcW w:w="3945" w:type="dxa"/>
            <w:tcBorders>
              <w:top w:val="nil"/>
              <w:left w:val="nil"/>
              <w:bottom w:val="nil"/>
              <w:right w:val="nil"/>
            </w:tcBorders>
            <w:shd w:val="clear" w:color="auto" w:fill="auto"/>
            <w:noWrap/>
            <w:vAlign w:val="bottom"/>
            <w:hideMark/>
          </w:tcPr>
          <w:p w14:paraId="516F7D47"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Employee expenses </w:t>
            </w:r>
          </w:p>
        </w:tc>
        <w:tc>
          <w:tcPr>
            <w:tcW w:w="1158" w:type="dxa"/>
            <w:tcBorders>
              <w:top w:val="nil"/>
              <w:left w:val="nil"/>
              <w:bottom w:val="nil"/>
              <w:right w:val="nil"/>
            </w:tcBorders>
            <w:shd w:val="clear" w:color="auto" w:fill="auto"/>
            <w:noWrap/>
            <w:vAlign w:val="bottom"/>
            <w:hideMark/>
          </w:tcPr>
          <w:p w14:paraId="3D25F984" w14:textId="77777777" w:rsidR="00B9311E" w:rsidRPr="00BD77D8" w:rsidRDefault="0028582B" w:rsidP="00B9311E">
            <w:pPr>
              <w:spacing w:after="0" w:line="240" w:lineRule="auto"/>
              <w:jc w:val="center"/>
              <w:rPr>
                <w:rFonts w:eastAsia="PMingLiU"/>
                <w:b/>
                <w:bCs/>
                <w:sz w:val="18"/>
                <w:szCs w:val="22"/>
                <w:lang w:eastAsia="en-US"/>
              </w:rPr>
            </w:pPr>
            <w:hyperlink r:id="rId13" w:anchor="'Note B2-1'!A5" w:history="1">
              <w:r w:rsidR="00B9311E" w:rsidRPr="00BD77D8">
                <w:rPr>
                  <w:rFonts w:eastAsia="PMingLiU"/>
                  <w:b/>
                  <w:bCs/>
                  <w:sz w:val="18"/>
                  <w:szCs w:val="22"/>
                  <w:lang w:eastAsia="en-US"/>
                </w:rPr>
                <w:t>B2-1</w:t>
              </w:r>
            </w:hyperlink>
          </w:p>
        </w:tc>
        <w:tc>
          <w:tcPr>
            <w:tcW w:w="1384" w:type="dxa"/>
            <w:tcBorders>
              <w:top w:val="nil"/>
              <w:left w:val="nil"/>
              <w:bottom w:val="nil"/>
              <w:right w:val="nil"/>
            </w:tcBorders>
            <w:shd w:val="clear" w:color="auto" w:fill="auto"/>
            <w:vAlign w:val="bottom"/>
            <w:hideMark/>
          </w:tcPr>
          <w:p w14:paraId="74E205EE" w14:textId="77777777" w:rsidR="00B9311E" w:rsidRPr="00BD77D8" w:rsidRDefault="00B9311E" w:rsidP="00B9311E">
            <w:pPr>
              <w:spacing w:after="0" w:line="240" w:lineRule="auto"/>
              <w:jc w:val="right"/>
              <w:rPr>
                <w:b/>
                <w:bCs/>
                <w:sz w:val="18"/>
                <w:szCs w:val="18"/>
              </w:rPr>
            </w:pPr>
            <w:r w:rsidRPr="00BD77D8">
              <w:rPr>
                <w:b/>
                <w:bCs/>
                <w:sz w:val="18"/>
                <w:szCs w:val="18"/>
              </w:rPr>
              <w:t xml:space="preserve">           214,908 </w:t>
            </w:r>
          </w:p>
        </w:tc>
        <w:tc>
          <w:tcPr>
            <w:tcW w:w="1430" w:type="dxa"/>
            <w:tcBorders>
              <w:top w:val="nil"/>
              <w:left w:val="nil"/>
              <w:bottom w:val="nil"/>
              <w:right w:val="nil"/>
            </w:tcBorders>
            <w:shd w:val="clear" w:color="FFFFFF" w:fill="FFFFFF"/>
            <w:vAlign w:val="bottom"/>
            <w:hideMark/>
          </w:tcPr>
          <w:p w14:paraId="1E0A7885" w14:textId="77777777" w:rsidR="00B9311E" w:rsidRPr="00BD77D8" w:rsidRDefault="00B9311E" w:rsidP="00B9311E">
            <w:pPr>
              <w:spacing w:after="0" w:line="240" w:lineRule="auto"/>
              <w:jc w:val="right"/>
              <w:rPr>
                <w:sz w:val="18"/>
                <w:szCs w:val="18"/>
              </w:rPr>
            </w:pPr>
            <w:r w:rsidRPr="00BD77D8">
              <w:rPr>
                <w:sz w:val="18"/>
                <w:szCs w:val="18"/>
              </w:rPr>
              <w:t xml:space="preserve">           203,793 </w:t>
            </w:r>
          </w:p>
        </w:tc>
        <w:tc>
          <w:tcPr>
            <w:tcW w:w="1366" w:type="dxa"/>
            <w:tcBorders>
              <w:top w:val="nil"/>
              <w:left w:val="nil"/>
              <w:bottom w:val="nil"/>
              <w:right w:val="nil"/>
            </w:tcBorders>
            <w:shd w:val="clear" w:color="auto" w:fill="auto"/>
            <w:vAlign w:val="bottom"/>
            <w:hideMark/>
          </w:tcPr>
          <w:p w14:paraId="12BE3FF0" w14:textId="77777777" w:rsidR="00B9311E" w:rsidRPr="00BD77D8" w:rsidRDefault="00B9311E" w:rsidP="00B9311E">
            <w:pPr>
              <w:spacing w:after="0" w:line="240" w:lineRule="auto"/>
              <w:jc w:val="right"/>
              <w:rPr>
                <w:sz w:val="18"/>
                <w:szCs w:val="18"/>
              </w:rPr>
            </w:pPr>
            <w:r w:rsidRPr="00BD77D8">
              <w:rPr>
                <w:sz w:val="18"/>
                <w:szCs w:val="18"/>
              </w:rPr>
              <w:t xml:space="preserve">          (11,115)</w:t>
            </w:r>
          </w:p>
        </w:tc>
        <w:tc>
          <w:tcPr>
            <w:tcW w:w="1186" w:type="dxa"/>
            <w:tcBorders>
              <w:top w:val="nil"/>
              <w:left w:val="nil"/>
              <w:bottom w:val="nil"/>
              <w:right w:val="nil"/>
            </w:tcBorders>
            <w:shd w:val="clear" w:color="auto" w:fill="auto"/>
            <w:vAlign w:val="bottom"/>
            <w:hideMark/>
          </w:tcPr>
          <w:p w14:paraId="27A7A7D1" w14:textId="77777777" w:rsidR="00B9311E" w:rsidRPr="00BD77D8" w:rsidRDefault="00B9311E" w:rsidP="00B9311E">
            <w:pPr>
              <w:spacing w:after="0" w:line="240" w:lineRule="auto"/>
              <w:jc w:val="right"/>
              <w:rPr>
                <w:sz w:val="18"/>
                <w:szCs w:val="18"/>
              </w:rPr>
            </w:pPr>
            <w:r w:rsidRPr="00BD77D8">
              <w:rPr>
                <w:sz w:val="18"/>
                <w:szCs w:val="18"/>
              </w:rPr>
              <w:t xml:space="preserve">        205,688 </w:t>
            </w:r>
          </w:p>
        </w:tc>
      </w:tr>
      <w:tr w:rsidR="00BD77D8" w:rsidRPr="00BD77D8" w14:paraId="38F7FDAC" w14:textId="77777777" w:rsidTr="003057FB">
        <w:trPr>
          <w:trHeight w:val="286"/>
        </w:trPr>
        <w:tc>
          <w:tcPr>
            <w:tcW w:w="3945" w:type="dxa"/>
            <w:tcBorders>
              <w:top w:val="nil"/>
              <w:left w:val="nil"/>
              <w:bottom w:val="nil"/>
              <w:right w:val="nil"/>
            </w:tcBorders>
            <w:shd w:val="clear" w:color="auto" w:fill="auto"/>
            <w:noWrap/>
            <w:vAlign w:val="bottom"/>
            <w:hideMark/>
          </w:tcPr>
          <w:p w14:paraId="05CDA532"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Supplies and services </w:t>
            </w:r>
          </w:p>
        </w:tc>
        <w:bookmarkStart w:id="9" w:name="RANGE!B18"/>
        <w:tc>
          <w:tcPr>
            <w:tcW w:w="1158" w:type="dxa"/>
            <w:tcBorders>
              <w:top w:val="nil"/>
              <w:left w:val="nil"/>
              <w:bottom w:val="nil"/>
              <w:right w:val="nil"/>
            </w:tcBorders>
            <w:shd w:val="clear" w:color="auto" w:fill="auto"/>
            <w:noWrap/>
            <w:vAlign w:val="bottom"/>
            <w:hideMark/>
          </w:tcPr>
          <w:p w14:paraId="3D4726B0" w14:textId="77777777" w:rsidR="00B9311E" w:rsidRPr="00BD77D8" w:rsidRDefault="00B9311E" w:rsidP="00B9311E">
            <w:pPr>
              <w:spacing w:after="0" w:line="240" w:lineRule="auto"/>
              <w:jc w:val="center"/>
              <w:rPr>
                <w:rFonts w:eastAsia="PMingLiU"/>
                <w:b/>
                <w:bCs/>
                <w:sz w:val="18"/>
                <w:szCs w:val="22"/>
                <w:lang w:eastAsia="en-US"/>
              </w:rPr>
            </w:pPr>
            <w:r w:rsidRPr="00BD77D8">
              <w:rPr>
                <w:rFonts w:eastAsia="PMingLiU"/>
                <w:b/>
                <w:bCs/>
                <w:sz w:val="18"/>
                <w:szCs w:val="22"/>
                <w:lang w:eastAsia="en-US"/>
              </w:rPr>
              <w:fldChar w:fldCharType="begin"/>
            </w:r>
            <w:r w:rsidRPr="00BD77D8">
              <w:rPr>
                <w:rFonts w:eastAsia="PMingLiU"/>
                <w:b/>
                <w:bCs/>
                <w:sz w:val="18"/>
                <w:szCs w:val="22"/>
                <w:lang w:eastAsia="en-US"/>
              </w:rPr>
              <w:instrText xml:space="preserve"> HYPERLINK "file:///C:\\Users\\lzwelsh\\AppData\\Local\\Microsoft\\Windows\\INetCache\\Content.MSO\\EE9A0631.xlsx" \l "'Note B2-2'!A5" </w:instrText>
            </w:r>
            <w:r w:rsidRPr="00BD77D8">
              <w:rPr>
                <w:rFonts w:eastAsia="PMingLiU"/>
                <w:b/>
                <w:bCs/>
                <w:sz w:val="18"/>
                <w:szCs w:val="22"/>
                <w:lang w:eastAsia="en-US"/>
              </w:rPr>
              <w:fldChar w:fldCharType="separate"/>
            </w:r>
            <w:r w:rsidRPr="00BD77D8">
              <w:rPr>
                <w:rFonts w:eastAsia="PMingLiU"/>
                <w:b/>
                <w:bCs/>
                <w:sz w:val="18"/>
                <w:szCs w:val="22"/>
                <w:lang w:eastAsia="en-US"/>
              </w:rPr>
              <w:t>B2-2</w:t>
            </w:r>
            <w:r w:rsidRPr="00BD77D8">
              <w:rPr>
                <w:rFonts w:eastAsia="PMingLiU"/>
                <w:b/>
                <w:bCs/>
                <w:sz w:val="18"/>
                <w:szCs w:val="22"/>
                <w:lang w:eastAsia="en-US"/>
              </w:rPr>
              <w:fldChar w:fldCharType="end"/>
            </w:r>
            <w:bookmarkEnd w:id="9"/>
          </w:p>
        </w:tc>
        <w:tc>
          <w:tcPr>
            <w:tcW w:w="1384" w:type="dxa"/>
            <w:tcBorders>
              <w:top w:val="nil"/>
              <w:left w:val="nil"/>
              <w:bottom w:val="nil"/>
              <w:right w:val="nil"/>
            </w:tcBorders>
            <w:shd w:val="clear" w:color="auto" w:fill="auto"/>
            <w:vAlign w:val="bottom"/>
            <w:hideMark/>
          </w:tcPr>
          <w:p w14:paraId="6DA3F844" w14:textId="77777777" w:rsidR="00B9311E" w:rsidRPr="00BD77D8" w:rsidRDefault="00B9311E" w:rsidP="00B9311E">
            <w:pPr>
              <w:spacing w:after="0" w:line="240" w:lineRule="auto"/>
              <w:jc w:val="right"/>
              <w:rPr>
                <w:b/>
                <w:bCs/>
                <w:sz w:val="18"/>
                <w:szCs w:val="18"/>
              </w:rPr>
            </w:pPr>
            <w:r w:rsidRPr="00BD77D8">
              <w:rPr>
                <w:b/>
                <w:bCs/>
                <w:sz w:val="18"/>
                <w:szCs w:val="18"/>
              </w:rPr>
              <w:t xml:space="preserve">              67,636 </w:t>
            </w:r>
          </w:p>
        </w:tc>
        <w:tc>
          <w:tcPr>
            <w:tcW w:w="1430" w:type="dxa"/>
            <w:tcBorders>
              <w:top w:val="nil"/>
              <w:left w:val="nil"/>
              <w:bottom w:val="nil"/>
              <w:right w:val="nil"/>
            </w:tcBorders>
            <w:shd w:val="clear" w:color="FFFFFF" w:fill="FFFFFF"/>
            <w:vAlign w:val="bottom"/>
            <w:hideMark/>
          </w:tcPr>
          <w:p w14:paraId="467829BC" w14:textId="77777777" w:rsidR="00B9311E" w:rsidRPr="00BD77D8" w:rsidRDefault="00B9311E" w:rsidP="00B9311E">
            <w:pPr>
              <w:spacing w:after="0" w:line="240" w:lineRule="auto"/>
              <w:jc w:val="right"/>
              <w:rPr>
                <w:sz w:val="18"/>
                <w:szCs w:val="18"/>
              </w:rPr>
            </w:pPr>
            <w:r w:rsidRPr="00BD77D8">
              <w:rPr>
                <w:sz w:val="18"/>
                <w:szCs w:val="18"/>
              </w:rPr>
              <w:t xml:space="preserve">             90,085 </w:t>
            </w:r>
          </w:p>
        </w:tc>
        <w:tc>
          <w:tcPr>
            <w:tcW w:w="1366" w:type="dxa"/>
            <w:tcBorders>
              <w:top w:val="nil"/>
              <w:left w:val="nil"/>
              <w:bottom w:val="nil"/>
              <w:right w:val="nil"/>
            </w:tcBorders>
            <w:shd w:val="clear" w:color="auto" w:fill="auto"/>
            <w:vAlign w:val="bottom"/>
            <w:hideMark/>
          </w:tcPr>
          <w:p w14:paraId="0AE5F3D5" w14:textId="77777777" w:rsidR="00B9311E" w:rsidRPr="00BD77D8" w:rsidRDefault="00B9311E" w:rsidP="00B9311E">
            <w:pPr>
              <w:spacing w:after="0" w:line="240" w:lineRule="auto"/>
              <w:jc w:val="right"/>
              <w:rPr>
                <w:sz w:val="18"/>
                <w:szCs w:val="18"/>
              </w:rPr>
            </w:pPr>
            <w:r w:rsidRPr="00BD77D8">
              <w:rPr>
                <w:sz w:val="18"/>
                <w:szCs w:val="18"/>
              </w:rPr>
              <w:t xml:space="preserve">            22,449 </w:t>
            </w:r>
          </w:p>
        </w:tc>
        <w:tc>
          <w:tcPr>
            <w:tcW w:w="1186" w:type="dxa"/>
            <w:tcBorders>
              <w:top w:val="nil"/>
              <w:left w:val="nil"/>
              <w:bottom w:val="nil"/>
              <w:right w:val="nil"/>
            </w:tcBorders>
            <w:shd w:val="clear" w:color="auto" w:fill="auto"/>
            <w:vAlign w:val="bottom"/>
            <w:hideMark/>
          </w:tcPr>
          <w:p w14:paraId="32C7E063" w14:textId="77777777" w:rsidR="00B9311E" w:rsidRPr="00BD77D8" w:rsidRDefault="00B9311E" w:rsidP="00B9311E">
            <w:pPr>
              <w:spacing w:after="0" w:line="240" w:lineRule="auto"/>
              <w:jc w:val="right"/>
              <w:rPr>
                <w:sz w:val="18"/>
                <w:szCs w:val="18"/>
              </w:rPr>
            </w:pPr>
            <w:r w:rsidRPr="00BD77D8">
              <w:rPr>
                <w:sz w:val="18"/>
                <w:szCs w:val="18"/>
              </w:rPr>
              <w:t xml:space="preserve">        116,539 </w:t>
            </w:r>
          </w:p>
        </w:tc>
      </w:tr>
      <w:tr w:rsidR="00BD77D8" w:rsidRPr="00BD77D8" w14:paraId="035893EB" w14:textId="77777777" w:rsidTr="003057FB">
        <w:trPr>
          <w:trHeight w:val="286"/>
        </w:trPr>
        <w:tc>
          <w:tcPr>
            <w:tcW w:w="3945" w:type="dxa"/>
            <w:tcBorders>
              <w:top w:val="nil"/>
              <w:left w:val="nil"/>
              <w:bottom w:val="nil"/>
              <w:right w:val="nil"/>
            </w:tcBorders>
            <w:shd w:val="clear" w:color="auto" w:fill="auto"/>
            <w:noWrap/>
            <w:vAlign w:val="bottom"/>
            <w:hideMark/>
          </w:tcPr>
          <w:p w14:paraId="1CCB82CF"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Grants and subsidies </w:t>
            </w:r>
          </w:p>
        </w:tc>
        <w:tc>
          <w:tcPr>
            <w:tcW w:w="1158" w:type="dxa"/>
            <w:tcBorders>
              <w:top w:val="nil"/>
              <w:left w:val="nil"/>
              <w:bottom w:val="nil"/>
              <w:right w:val="nil"/>
            </w:tcBorders>
            <w:shd w:val="clear" w:color="auto" w:fill="auto"/>
            <w:noWrap/>
            <w:vAlign w:val="bottom"/>
            <w:hideMark/>
          </w:tcPr>
          <w:p w14:paraId="4665F213" w14:textId="77777777" w:rsidR="00B9311E" w:rsidRPr="00BD77D8" w:rsidRDefault="0028582B" w:rsidP="00B9311E">
            <w:pPr>
              <w:spacing w:after="0" w:line="240" w:lineRule="auto"/>
              <w:jc w:val="center"/>
              <w:rPr>
                <w:rFonts w:eastAsia="PMingLiU"/>
                <w:b/>
                <w:bCs/>
                <w:sz w:val="18"/>
                <w:szCs w:val="22"/>
                <w:lang w:eastAsia="en-US"/>
              </w:rPr>
            </w:pPr>
            <w:hyperlink r:id="rId14" w:anchor="'Note B2-3'!A5" w:history="1">
              <w:r w:rsidR="00B9311E" w:rsidRPr="00BD77D8">
                <w:rPr>
                  <w:rFonts w:eastAsia="PMingLiU"/>
                  <w:b/>
                  <w:bCs/>
                  <w:sz w:val="18"/>
                  <w:szCs w:val="22"/>
                  <w:lang w:eastAsia="en-US"/>
                </w:rPr>
                <w:t>B2-3</w:t>
              </w:r>
            </w:hyperlink>
          </w:p>
        </w:tc>
        <w:tc>
          <w:tcPr>
            <w:tcW w:w="1384" w:type="dxa"/>
            <w:tcBorders>
              <w:top w:val="nil"/>
              <w:left w:val="nil"/>
              <w:bottom w:val="nil"/>
              <w:right w:val="nil"/>
            </w:tcBorders>
            <w:shd w:val="clear" w:color="auto" w:fill="auto"/>
            <w:vAlign w:val="bottom"/>
            <w:hideMark/>
          </w:tcPr>
          <w:p w14:paraId="5004A98E" w14:textId="77777777" w:rsidR="00B9311E" w:rsidRPr="00BD77D8" w:rsidRDefault="00B9311E" w:rsidP="00B9311E">
            <w:pPr>
              <w:spacing w:after="0" w:line="240" w:lineRule="auto"/>
              <w:jc w:val="right"/>
              <w:rPr>
                <w:b/>
                <w:bCs/>
                <w:sz w:val="18"/>
                <w:szCs w:val="18"/>
              </w:rPr>
            </w:pPr>
            <w:r w:rsidRPr="00BD77D8">
              <w:rPr>
                <w:b/>
                <w:bCs/>
                <w:sz w:val="18"/>
                <w:szCs w:val="18"/>
              </w:rPr>
              <w:t xml:space="preserve">              15,863 </w:t>
            </w:r>
          </w:p>
        </w:tc>
        <w:tc>
          <w:tcPr>
            <w:tcW w:w="1430" w:type="dxa"/>
            <w:tcBorders>
              <w:top w:val="nil"/>
              <w:left w:val="nil"/>
              <w:bottom w:val="nil"/>
              <w:right w:val="nil"/>
            </w:tcBorders>
            <w:shd w:val="clear" w:color="FFFFFF" w:fill="FFFFFF"/>
            <w:vAlign w:val="bottom"/>
            <w:hideMark/>
          </w:tcPr>
          <w:p w14:paraId="5DE98094" w14:textId="77777777" w:rsidR="00B9311E" w:rsidRPr="00BD77D8" w:rsidRDefault="00B9311E" w:rsidP="00B9311E">
            <w:pPr>
              <w:spacing w:after="0" w:line="240" w:lineRule="auto"/>
              <w:jc w:val="right"/>
              <w:rPr>
                <w:sz w:val="18"/>
                <w:szCs w:val="18"/>
              </w:rPr>
            </w:pPr>
            <w:r w:rsidRPr="00BD77D8">
              <w:rPr>
                <w:sz w:val="18"/>
                <w:szCs w:val="18"/>
              </w:rPr>
              <w:t xml:space="preserve">                9,112 </w:t>
            </w:r>
          </w:p>
        </w:tc>
        <w:tc>
          <w:tcPr>
            <w:tcW w:w="1366" w:type="dxa"/>
            <w:tcBorders>
              <w:top w:val="nil"/>
              <w:left w:val="nil"/>
              <w:bottom w:val="nil"/>
              <w:right w:val="nil"/>
            </w:tcBorders>
            <w:shd w:val="clear" w:color="auto" w:fill="auto"/>
            <w:vAlign w:val="bottom"/>
            <w:hideMark/>
          </w:tcPr>
          <w:p w14:paraId="61F69F5B" w14:textId="77777777" w:rsidR="00B9311E" w:rsidRPr="00BD77D8" w:rsidRDefault="00B9311E" w:rsidP="00B9311E">
            <w:pPr>
              <w:spacing w:after="0" w:line="240" w:lineRule="auto"/>
              <w:jc w:val="right"/>
              <w:rPr>
                <w:sz w:val="18"/>
                <w:szCs w:val="18"/>
              </w:rPr>
            </w:pPr>
            <w:r w:rsidRPr="00BD77D8">
              <w:rPr>
                <w:sz w:val="18"/>
                <w:szCs w:val="18"/>
              </w:rPr>
              <w:t xml:space="preserve">             (6,751)</w:t>
            </w:r>
          </w:p>
        </w:tc>
        <w:tc>
          <w:tcPr>
            <w:tcW w:w="1186" w:type="dxa"/>
            <w:tcBorders>
              <w:top w:val="nil"/>
              <w:left w:val="nil"/>
              <w:bottom w:val="nil"/>
              <w:right w:val="nil"/>
            </w:tcBorders>
            <w:shd w:val="clear" w:color="auto" w:fill="auto"/>
            <w:vAlign w:val="bottom"/>
            <w:hideMark/>
          </w:tcPr>
          <w:p w14:paraId="4D4C4DFC" w14:textId="77777777" w:rsidR="00B9311E" w:rsidRPr="00BD77D8" w:rsidRDefault="00B9311E" w:rsidP="00B9311E">
            <w:pPr>
              <w:spacing w:after="0" w:line="240" w:lineRule="auto"/>
              <w:jc w:val="right"/>
              <w:rPr>
                <w:sz w:val="18"/>
                <w:szCs w:val="18"/>
              </w:rPr>
            </w:pPr>
            <w:r w:rsidRPr="00BD77D8">
              <w:rPr>
                <w:sz w:val="18"/>
                <w:szCs w:val="18"/>
              </w:rPr>
              <w:t xml:space="preserve">          16,763 </w:t>
            </w:r>
          </w:p>
        </w:tc>
      </w:tr>
      <w:tr w:rsidR="00BD77D8" w:rsidRPr="00BD77D8" w14:paraId="561AA5EF" w14:textId="77777777" w:rsidTr="003057FB">
        <w:trPr>
          <w:trHeight w:val="286"/>
        </w:trPr>
        <w:tc>
          <w:tcPr>
            <w:tcW w:w="3945" w:type="dxa"/>
            <w:tcBorders>
              <w:top w:val="nil"/>
              <w:left w:val="nil"/>
              <w:bottom w:val="nil"/>
              <w:right w:val="nil"/>
            </w:tcBorders>
            <w:shd w:val="clear" w:color="auto" w:fill="auto"/>
            <w:noWrap/>
            <w:vAlign w:val="bottom"/>
            <w:hideMark/>
          </w:tcPr>
          <w:p w14:paraId="782F49E7"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Depreciation and amortisation </w:t>
            </w:r>
          </w:p>
        </w:tc>
        <w:tc>
          <w:tcPr>
            <w:tcW w:w="1158" w:type="dxa"/>
            <w:tcBorders>
              <w:top w:val="nil"/>
              <w:left w:val="nil"/>
              <w:bottom w:val="nil"/>
              <w:right w:val="nil"/>
            </w:tcBorders>
            <w:shd w:val="clear" w:color="auto" w:fill="auto"/>
            <w:noWrap/>
            <w:vAlign w:val="bottom"/>
            <w:hideMark/>
          </w:tcPr>
          <w:p w14:paraId="49331136" w14:textId="77777777" w:rsidR="00B9311E" w:rsidRPr="00BD77D8" w:rsidRDefault="0028582B" w:rsidP="00B9311E">
            <w:pPr>
              <w:spacing w:after="0" w:line="240" w:lineRule="auto"/>
              <w:jc w:val="center"/>
              <w:rPr>
                <w:rFonts w:eastAsia="PMingLiU"/>
                <w:b/>
                <w:bCs/>
                <w:sz w:val="18"/>
                <w:szCs w:val="22"/>
                <w:lang w:eastAsia="en-US"/>
              </w:rPr>
            </w:pPr>
            <w:hyperlink r:id="rId15" w:anchor="'Note B2-4'!A5" w:history="1">
              <w:r w:rsidR="00B9311E" w:rsidRPr="00BD77D8">
                <w:rPr>
                  <w:rFonts w:eastAsia="PMingLiU"/>
                  <w:b/>
                  <w:bCs/>
                  <w:sz w:val="18"/>
                  <w:szCs w:val="22"/>
                  <w:lang w:eastAsia="en-US"/>
                </w:rPr>
                <w:t>B2-4</w:t>
              </w:r>
            </w:hyperlink>
          </w:p>
        </w:tc>
        <w:tc>
          <w:tcPr>
            <w:tcW w:w="1384" w:type="dxa"/>
            <w:tcBorders>
              <w:top w:val="nil"/>
              <w:left w:val="nil"/>
              <w:bottom w:val="nil"/>
              <w:right w:val="nil"/>
            </w:tcBorders>
            <w:shd w:val="clear" w:color="auto" w:fill="auto"/>
            <w:vAlign w:val="bottom"/>
            <w:hideMark/>
          </w:tcPr>
          <w:p w14:paraId="47282CD8" w14:textId="77777777" w:rsidR="00B9311E" w:rsidRPr="00BD77D8" w:rsidRDefault="00B9311E" w:rsidP="00B9311E">
            <w:pPr>
              <w:spacing w:after="0" w:line="240" w:lineRule="auto"/>
              <w:jc w:val="right"/>
              <w:rPr>
                <w:b/>
                <w:bCs/>
                <w:sz w:val="18"/>
                <w:szCs w:val="18"/>
              </w:rPr>
            </w:pPr>
            <w:r w:rsidRPr="00BD77D8">
              <w:rPr>
                <w:b/>
                <w:bCs/>
                <w:sz w:val="18"/>
                <w:szCs w:val="18"/>
              </w:rPr>
              <w:t xml:space="preserve">                3,784 </w:t>
            </w:r>
          </w:p>
        </w:tc>
        <w:tc>
          <w:tcPr>
            <w:tcW w:w="1430" w:type="dxa"/>
            <w:tcBorders>
              <w:top w:val="nil"/>
              <w:left w:val="nil"/>
              <w:bottom w:val="nil"/>
              <w:right w:val="nil"/>
            </w:tcBorders>
            <w:shd w:val="clear" w:color="FFFFFF" w:fill="FFFFFF"/>
            <w:vAlign w:val="bottom"/>
            <w:hideMark/>
          </w:tcPr>
          <w:p w14:paraId="6B4D2758" w14:textId="77777777" w:rsidR="00B9311E" w:rsidRPr="00BD77D8" w:rsidRDefault="00B9311E" w:rsidP="00B9311E">
            <w:pPr>
              <w:spacing w:after="0" w:line="240" w:lineRule="auto"/>
              <w:jc w:val="right"/>
              <w:rPr>
                <w:sz w:val="18"/>
                <w:szCs w:val="18"/>
              </w:rPr>
            </w:pPr>
            <w:r w:rsidRPr="00BD77D8">
              <w:rPr>
                <w:sz w:val="18"/>
                <w:szCs w:val="18"/>
              </w:rPr>
              <w:t xml:space="preserve">                6,960 </w:t>
            </w:r>
          </w:p>
        </w:tc>
        <w:tc>
          <w:tcPr>
            <w:tcW w:w="1366" w:type="dxa"/>
            <w:tcBorders>
              <w:top w:val="nil"/>
              <w:left w:val="nil"/>
              <w:bottom w:val="nil"/>
              <w:right w:val="nil"/>
            </w:tcBorders>
            <w:shd w:val="clear" w:color="auto" w:fill="auto"/>
            <w:vAlign w:val="bottom"/>
            <w:hideMark/>
          </w:tcPr>
          <w:p w14:paraId="09EB42C0" w14:textId="77777777" w:rsidR="00B9311E" w:rsidRPr="00BD77D8" w:rsidRDefault="00B9311E" w:rsidP="00B9311E">
            <w:pPr>
              <w:spacing w:after="0" w:line="240" w:lineRule="auto"/>
              <w:jc w:val="right"/>
              <w:rPr>
                <w:sz w:val="18"/>
                <w:szCs w:val="18"/>
              </w:rPr>
            </w:pPr>
            <w:r w:rsidRPr="00BD77D8">
              <w:rPr>
                <w:sz w:val="18"/>
                <w:szCs w:val="18"/>
              </w:rPr>
              <w:t xml:space="preserve">              3,176 </w:t>
            </w:r>
          </w:p>
        </w:tc>
        <w:tc>
          <w:tcPr>
            <w:tcW w:w="1186" w:type="dxa"/>
            <w:tcBorders>
              <w:top w:val="nil"/>
              <w:left w:val="nil"/>
              <w:bottom w:val="nil"/>
              <w:right w:val="nil"/>
            </w:tcBorders>
            <w:shd w:val="clear" w:color="auto" w:fill="auto"/>
            <w:vAlign w:val="bottom"/>
            <w:hideMark/>
          </w:tcPr>
          <w:p w14:paraId="216C62E5" w14:textId="77777777" w:rsidR="00B9311E" w:rsidRPr="00BD77D8" w:rsidRDefault="00B9311E" w:rsidP="00B9311E">
            <w:pPr>
              <w:spacing w:after="0" w:line="240" w:lineRule="auto"/>
              <w:jc w:val="right"/>
              <w:rPr>
                <w:sz w:val="18"/>
                <w:szCs w:val="18"/>
              </w:rPr>
            </w:pPr>
            <w:r w:rsidRPr="00BD77D8">
              <w:rPr>
                <w:sz w:val="18"/>
                <w:szCs w:val="18"/>
              </w:rPr>
              <w:t xml:space="preserve">            5,051 </w:t>
            </w:r>
          </w:p>
        </w:tc>
      </w:tr>
      <w:tr w:rsidR="00BD77D8" w:rsidRPr="00BD77D8" w14:paraId="4A867BF9" w14:textId="77777777" w:rsidTr="003057FB">
        <w:trPr>
          <w:trHeight w:val="286"/>
        </w:trPr>
        <w:tc>
          <w:tcPr>
            <w:tcW w:w="3945" w:type="dxa"/>
            <w:tcBorders>
              <w:top w:val="nil"/>
              <w:left w:val="nil"/>
              <w:bottom w:val="nil"/>
              <w:right w:val="nil"/>
            </w:tcBorders>
            <w:shd w:val="clear" w:color="auto" w:fill="auto"/>
            <w:noWrap/>
            <w:vAlign w:val="bottom"/>
            <w:hideMark/>
          </w:tcPr>
          <w:p w14:paraId="575CAB3F"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Impairment losses on financial assets </w:t>
            </w:r>
          </w:p>
        </w:tc>
        <w:tc>
          <w:tcPr>
            <w:tcW w:w="1158" w:type="dxa"/>
            <w:tcBorders>
              <w:top w:val="nil"/>
              <w:left w:val="nil"/>
              <w:bottom w:val="nil"/>
              <w:right w:val="nil"/>
            </w:tcBorders>
            <w:shd w:val="clear" w:color="auto" w:fill="auto"/>
            <w:noWrap/>
            <w:vAlign w:val="bottom"/>
            <w:hideMark/>
          </w:tcPr>
          <w:p w14:paraId="19227F88" w14:textId="77777777" w:rsidR="00B9311E" w:rsidRPr="00BD77D8" w:rsidRDefault="00B9311E" w:rsidP="00B9311E">
            <w:pPr>
              <w:spacing w:after="0" w:line="240" w:lineRule="auto"/>
              <w:ind w:firstLineChars="100" w:firstLine="181"/>
              <w:rPr>
                <w:b/>
                <w:bCs/>
                <w:sz w:val="18"/>
                <w:szCs w:val="18"/>
              </w:rPr>
            </w:pPr>
          </w:p>
        </w:tc>
        <w:tc>
          <w:tcPr>
            <w:tcW w:w="1384" w:type="dxa"/>
            <w:tcBorders>
              <w:top w:val="nil"/>
              <w:left w:val="nil"/>
              <w:bottom w:val="nil"/>
              <w:right w:val="nil"/>
            </w:tcBorders>
            <w:shd w:val="clear" w:color="auto" w:fill="auto"/>
            <w:vAlign w:val="bottom"/>
            <w:hideMark/>
          </w:tcPr>
          <w:p w14:paraId="5B83509B" w14:textId="77777777" w:rsidR="00B9311E" w:rsidRPr="00BD77D8" w:rsidRDefault="00B9311E" w:rsidP="00B9311E">
            <w:pPr>
              <w:spacing w:after="0" w:line="240" w:lineRule="auto"/>
              <w:jc w:val="right"/>
              <w:rPr>
                <w:b/>
                <w:bCs/>
                <w:sz w:val="18"/>
                <w:szCs w:val="18"/>
              </w:rPr>
            </w:pPr>
            <w:r w:rsidRPr="00BD77D8">
              <w:rPr>
                <w:b/>
                <w:bCs/>
                <w:sz w:val="18"/>
                <w:szCs w:val="18"/>
              </w:rPr>
              <w:t xml:space="preserve">                   531 </w:t>
            </w:r>
          </w:p>
        </w:tc>
        <w:tc>
          <w:tcPr>
            <w:tcW w:w="1430" w:type="dxa"/>
            <w:tcBorders>
              <w:top w:val="nil"/>
              <w:left w:val="nil"/>
              <w:bottom w:val="nil"/>
              <w:right w:val="nil"/>
            </w:tcBorders>
            <w:shd w:val="clear" w:color="FFFFFF" w:fill="FFFFFF"/>
            <w:vAlign w:val="bottom"/>
            <w:hideMark/>
          </w:tcPr>
          <w:p w14:paraId="57B84018" w14:textId="77777777" w:rsidR="00B9311E" w:rsidRPr="00BD77D8" w:rsidRDefault="00B9311E" w:rsidP="00B9311E">
            <w:pPr>
              <w:spacing w:after="0" w:line="240" w:lineRule="auto"/>
              <w:jc w:val="right"/>
              <w:rPr>
                <w:sz w:val="18"/>
                <w:szCs w:val="18"/>
              </w:rPr>
            </w:pPr>
            <w:r w:rsidRPr="00BD77D8">
              <w:rPr>
                <w:sz w:val="18"/>
                <w:szCs w:val="18"/>
              </w:rPr>
              <w:t xml:space="preserve">                   400 </w:t>
            </w:r>
          </w:p>
        </w:tc>
        <w:tc>
          <w:tcPr>
            <w:tcW w:w="1366" w:type="dxa"/>
            <w:tcBorders>
              <w:top w:val="nil"/>
              <w:left w:val="nil"/>
              <w:bottom w:val="nil"/>
              <w:right w:val="nil"/>
            </w:tcBorders>
            <w:shd w:val="clear" w:color="auto" w:fill="auto"/>
            <w:vAlign w:val="bottom"/>
            <w:hideMark/>
          </w:tcPr>
          <w:p w14:paraId="527FC73D" w14:textId="77777777" w:rsidR="00B9311E" w:rsidRPr="00BD77D8" w:rsidRDefault="00B9311E" w:rsidP="00B9311E">
            <w:pPr>
              <w:spacing w:after="0" w:line="240" w:lineRule="auto"/>
              <w:jc w:val="right"/>
              <w:rPr>
                <w:sz w:val="18"/>
                <w:szCs w:val="18"/>
              </w:rPr>
            </w:pPr>
            <w:r w:rsidRPr="00BD77D8">
              <w:rPr>
                <w:sz w:val="18"/>
                <w:szCs w:val="18"/>
              </w:rPr>
              <w:t xml:space="preserve">                (131)</w:t>
            </w:r>
          </w:p>
        </w:tc>
        <w:tc>
          <w:tcPr>
            <w:tcW w:w="1186" w:type="dxa"/>
            <w:tcBorders>
              <w:top w:val="nil"/>
              <w:left w:val="nil"/>
              <w:bottom w:val="nil"/>
              <w:right w:val="nil"/>
            </w:tcBorders>
            <w:shd w:val="clear" w:color="auto" w:fill="auto"/>
            <w:vAlign w:val="bottom"/>
            <w:hideMark/>
          </w:tcPr>
          <w:p w14:paraId="0B0B45EE" w14:textId="77777777" w:rsidR="00B9311E" w:rsidRPr="00BD77D8" w:rsidRDefault="00B9311E" w:rsidP="00B9311E">
            <w:pPr>
              <w:spacing w:after="0" w:line="240" w:lineRule="auto"/>
              <w:jc w:val="right"/>
              <w:rPr>
                <w:sz w:val="18"/>
                <w:szCs w:val="18"/>
              </w:rPr>
            </w:pPr>
            <w:r w:rsidRPr="00BD77D8">
              <w:rPr>
                <w:sz w:val="18"/>
                <w:szCs w:val="18"/>
              </w:rPr>
              <w:t xml:space="preserve">                (57)</w:t>
            </w:r>
          </w:p>
        </w:tc>
      </w:tr>
      <w:tr w:rsidR="00BD77D8" w:rsidRPr="00BD77D8" w14:paraId="1E4BDC26" w14:textId="77777777" w:rsidTr="003057FB">
        <w:trPr>
          <w:trHeight w:val="286"/>
        </w:trPr>
        <w:tc>
          <w:tcPr>
            <w:tcW w:w="3945" w:type="dxa"/>
            <w:tcBorders>
              <w:top w:val="nil"/>
              <w:left w:val="nil"/>
              <w:bottom w:val="nil"/>
              <w:right w:val="nil"/>
            </w:tcBorders>
            <w:shd w:val="clear" w:color="auto" w:fill="auto"/>
            <w:noWrap/>
            <w:vAlign w:val="bottom"/>
            <w:hideMark/>
          </w:tcPr>
          <w:p w14:paraId="244EE85C"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Other expenses </w:t>
            </w:r>
          </w:p>
        </w:tc>
        <w:tc>
          <w:tcPr>
            <w:tcW w:w="1158" w:type="dxa"/>
            <w:tcBorders>
              <w:top w:val="nil"/>
              <w:left w:val="nil"/>
              <w:bottom w:val="nil"/>
              <w:right w:val="nil"/>
            </w:tcBorders>
            <w:shd w:val="clear" w:color="auto" w:fill="auto"/>
            <w:noWrap/>
            <w:vAlign w:val="bottom"/>
            <w:hideMark/>
          </w:tcPr>
          <w:p w14:paraId="0234D04A" w14:textId="77777777" w:rsidR="00B9311E" w:rsidRPr="00BD77D8" w:rsidRDefault="0028582B" w:rsidP="00B9311E">
            <w:pPr>
              <w:spacing w:after="0" w:line="240" w:lineRule="auto"/>
              <w:jc w:val="center"/>
              <w:rPr>
                <w:rFonts w:eastAsia="PMingLiU"/>
                <w:b/>
                <w:bCs/>
                <w:sz w:val="18"/>
                <w:szCs w:val="22"/>
                <w:lang w:eastAsia="en-US"/>
              </w:rPr>
            </w:pPr>
            <w:hyperlink r:id="rId16" w:anchor="'Note B2-5'!A5" w:history="1">
              <w:r w:rsidR="00B9311E" w:rsidRPr="00BD77D8">
                <w:rPr>
                  <w:rFonts w:eastAsia="PMingLiU"/>
                  <w:b/>
                  <w:bCs/>
                  <w:sz w:val="18"/>
                  <w:szCs w:val="22"/>
                  <w:lang w:eastAsia="en-US"/>
                </w:rPr>
                <w:t>B2-5</w:t>
              </w:r>
            </w:hyperlink>
          </w:p>
        </w:tc>
        <w:tc>
          <w:tcPr>
            <w:tcW w:w="1384" w:type="dxa"/>
            <w:tcBorders>
              <w:top w:val="nil"/>
              <w:left w:val="nil"/>
              <w:bottom w:val="nil"/>
              <w:right w:val="nil"/>
            </w:tcBorders>
            <w:shd w:val="clear" w:color="auto" w:fill="auto"/>
            <w:vAlign w:val="bottom"/>
            <w:hideMark/>
          </w:tcPr>
          <w:p w14:paraId="3F276992" w14:textId="77777777" w:rsidR="00B9311E" w:rsidRPr="00BD77D8" w:rsidRDefault="00B9311E" w:rsidP="00B9311E">
            <w:pPr>
              <w:spacing w:after="0" w:line="240" w:lineRule="auto"/>
              <w:jc w:val="right"/>
              <w:rPr>
                <w:b/>
                <w:bCs/>
                <w:sz w:val="18"/>
                <w:szCs w:val="18"/>
              </w:rPr>
            </w:pPr>
            <w:r w:rsidRPr="00BD77D8">
              <w:rPr>
                <w:b/>
                <w:bCs/>
                <w:sz w:val="18"/>
                <w:szCs w:val="18"/>
              </w:rPr>
              <w:t xml:space="preserve">                2,214 </w:t>
            </w:r>
          </w:p>
        </w:tc>
        <w:tc>
          <w:tcPr>
            <w:tcW w:w="1430" w:type="dxa"/>
            <w:tcBorders>
              <w:top w:val="nil"/>
              <w:left w:val="nil"/>
              <w:bottom w:val="nil"/>
              <w:right w:val="nil"/>
            </w:tcBorders>
            <w:shd w:val="clear" w:color="FFFFFF" w:fill="FFFFFF"/>
            <w:vAlign w:val="bottom"/>
            <w:hideMark/>
          </w:tcPr>
          <w:p w14:paraId="6609D2D7" w14:textId="77777777" w:rsidR="00B9311E" w:rsidRPr="00BD77D8" w:rsidRDefault="00B9311E" w:rsidP="00B9311E">
            <w:pPr>
              <w:spacing w:after="0" w:line="240" w:lineRule="auto"/>
              <w:jc w:val="right"/>
              <w:rPr>
                <w:sz w:val="18"/>
                <w:szCs w:val="18"/>
              </w:rPr>
            </w:pPr>
            <w:r w:rsidRPr="00BD77D8">
              <w:rPr>
                <w:sz w:val="18"/>
                <w:szCs w:val="18"/>
              </w:rPr>
              <w:t xml:space="preserve">                1,105 </w:t>
            </w:r>
          </w:p>
        </w:tc>
        <w:tc>
          <w:tcPr>
            <w:tcW w:w="1366" w:type="dxa"/>
            <w:tcBorders>
              <w:top w:val="nil"/>
              <w:left w:val="nil"/>
              <w:bottom w:val="nil"/>
              <w:right w:val="nil"/>
            </w:tcBorders>
            <w:shd w:val="clear" w:color="auto" w:fill="auto"/>
            <w:vAlign w:val="bottom"/>
            <w:hideMark/>
          </w:tcPr>
          <w:p w14:paraId="21EA79EB" w14:textId="77777777" w:rsidR="00B9311E" w:rsidRPr="00BD77D8" w:rsidRDefault="00B9311E" w:rsidP="00B9311E">
            <w:pPr>
              <w:spacing w:after="0" w:line="240" w:lineRule="auto"/>
              <w:jc w:val="right"/>
              <w:rPr>
                <w:sz w:val="18"/>
                <w:szCs w:val="18"/>
              </w:rPr>
            </w:pPr>
            <w:r w:rsidRPr="00BD77D8">
              <w:rPr>
                <w:sz w:val="18"/>
                <w:szCs w:val="18"/>
              </w:rPr>
              <w:t xml:space="preserve">             (1,109)</w:t>
            </w:r>
          </w:p>
        </w:tc>
        <w:tc>
          <w:tcPr>
            <w:tcW w:w="1186" w:type="dxa"/>
            <w:tcBorders>
              <w:top w:val="nil"/>
              <w:left w:val="nil"/>
              <w:bottom w:val="nil"/>
              <w:right w:val="nil"/>
            </w:tcBorders>
            <w:shd w:val="clear" w:color="auto" w:fill="auto"/>
            <w:vAlign w:val="bottom"/>
            <w:hideMark/>
          </w:tcPr>
          <w:p w14:paraId="3B53F0DB" w14:textId="77777777" w:rsidR="00B9311E" w:rsidRPr="00BD77D8" w:rsidRDefault="00B9311E" w:rsidP="00B9311E">
            <w:pPr>
              <w:spacing w:after="0" w:line="240" w:lineRule="auto"/>
              <w:jc w:val="right"/>
              <w:rPr>
                <w:sz w:val="18"/>
                <w:szCs w:val="18"/>
              </w:rPr>
            </w:pPr>
            <w:r w:rsidRPr="00BD77D8">
              <w:rPr>
                <w:sz w:val="18"/>
                <w:szCs w:val="18"/>
              </w:rPr>
              <w:t xml:space="preserve">            2,944 </w:t>
            </w:r>
          </w:p>
        </w:tc>
      </w:tr>
      <w:tr w:rsidR="00BD77D8" w:rsidRPr="00BD77D8" w14:paraId="24C0D1E6" w14:textId="77777777" w:rsidTr="003057FB">
        <w:trPr>
          <w:trHeight w:val="286"/>
        </w:trPr>
        <w:tc>
          <w:tcPr>
            <w:tcW w:w="3945" w:type="dxa"/>
            <w:tcBorders>
              <w:top w:val="nil"/>
              <w:left w:val="nil"/>
              <w:bottom w:val="nil"/>
              <w:right w:val="nil"/>
            </w:tcBorders>
            <w:shd w:val="clear" w:color="auto" w:fill="auto"/>
            <w:noWrap/>
            <w:vAlign w:val="bottom"/>
            <w:hideMark/>
          </w:tcPr>
          <w:p w14:paraId="5F49686F"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Revaluation decrement </w:t>
            </w:r>
          </w:p>
        </w:tc>
        <w:tc>
          <w:tcPr>
            <w:tcW w:w="1158" w:type="dxa"/>
            <w:tcBorders>
              <w:top w:val="nil"/>
              <w:left w:val="nil"/>
              <w:bottom w:val="nil"/>
              <w:right w:val="nil"/>
            </w:tcBorders>
            <w:shd w:val="clear" w:color="auto" w:fill="auto"/>
            <w:noWrap/>
            <w:vAlign w:val="bottom"/>
            <w:hideMark/>
          </w:tcPr>
          <w:p w14:paraId="1E3840DE" w14:textId="77777777" w:rsidR="00B9311E" w:rsidRPr="00BD77D8" w:rsidRDefault="00B9311E" w:rsidP="00B9311E">
            <w:pPr>
              <w:spacing w:after="0" w:line="240" w:lineRule="auto"/>
              <w:ind w:firstLineChars="100" w:firstLine="181"/>
              <w:rPr>
                <w:b/>
                <w:bCs/>
                <w:sz w:val="18"/>
                <w:szCs w:val="18"/>
              </w:rPr>
            </w:pPr>
          </w:p>
        </w:tc>
        <w:tc>
          <w:tcPr>
            <w:tcW w:w="1384" w:type="dxa"/>
            <w:tcBorders>
              <w:top w:val="nil"/>
              <w:left w:val="nil"/>
              <w:bottom w:val="nil"/>
              <w:right w:val="nil"/>
            </w:tcBorders>
            <w:shd w:val="clear" w:color="auto" w:fill="auto"/>
            <w:vAlign w:val="bottom"/>
            <w:hideMark/>
          </w:tcPr>
          <w:p w14:paraId="6F1D569E"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430" w:type="dxa"/>
            <w:tcBorders>
              <w:top w:val="nil"/>
              <w:left w:val="nil"/>
              <w:bottom w:val="nil"/>
              <w:right w:val="nil"/>
            </w:tcBorders>
            <w:shd w:val="clear" w:color="FFFFFF" w:fill="FFFFFF"/>
            <w:vAlign w:val="bottom"/>
            <w:hideMark/>
          </w:tcPr>
          <w:p w14:paraId="5390E0A9"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366" w:type="dxa"/>
            <w:tcBorders>
              <w:top w:val="nil"/>
              <w:left w:val="nil"/>
              <w:bottom w:val="nil"/>
              <w:right w:val="nil"/>
            </w:tcBorders>
            <w:shd w:val="clear" w:color="auto" w:fill="auto"/>
            <w:vAlign w:val="bottom"/>
            <w:hideMark/>
          </w:tcPr>
          <w:p w14:paraId="78079792"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86" w:type="dxa"/>
            <w:tcBorders>
              <w:top w:val="nil"/>
              <w:left w:val="nil"/>
              <w:bottom w:val="nil"/>
              <w:right w:val="nil"/>
            </w:tcBorders>
            <w:shd w:val="clear" w:color="auto" w:fill="auto"/>
            <w:vAlign w:val="bottom"/>
            <w:hideMark/>
          </w:tcPr>
          <w:p w14:paraId="564EB69F" w14:textId="77777777" w:rsidR="00B9311E" w:rsidRPr="00BD77D8" w:rsidRDefault="00B9311E" w:rsidP="00B9311E">
            <w:pPr>
              <w:spacing w:after="0" w:line="240" w:lineRule="auto"/>
              <w:jc w:val="right"/>
              <w:rPr>
                <w:sz w:val="18"/>
                <w:szCs w:val="18"/>
              </w:rPr>
            </w:pPr>
            <w:r w:rsidRPr="00BD77D8">
              <w:rPr>
                <w:sz w:val="18"/>
                <w:szCs w:val="18"/>
              </w:rPr>
              <w:t xml:space="preserve">                112 </w:t>
            </w:r>
          </w:p>
        </w:tc>
      </w:tr>
      <w:tr w:rsidR="00BD77D8" w:rsidRPr="00BD77D8" w14:paraId="74BA2494" w14:textId="77777777" w:rsidTr="003057FB">
        <w:trPr>
          <w:trHeight w:val="286"/>
        </w:trPr>
        <w:tc>
          <w:tcPr>
            <w:tcW w:w="3945" w:type="dxa"/>
            <w:tcBorders>
              <w:top w:val="nil"/>
              <w:left w:val="nil"/>
              <w:bottom w:val="nil"/>
              <w:right w:val="nil"/>
            </w:tcBorders>
            <w:shd w:val="clear" w:color="auto" w:fill="auto"/>
            <w:noWrap/>
            <w:vAlign w:val="bottom"/>
            <w:hideMark/>
          </w:tcPr>
          <w:p w14:paraId="144119C2" w14:textId="77777777" w:rsidR="00B9311E" w:rsidRPr="00BD77D8" w:rsidRDefault="00B9311E" w:rsidP="00B9311E">
            <w:pPr>
              <w:spacing w:after="0" w:line="240" w:lineRule="auto"/>
              <w:rPr>
                <w:b/>
                <w:bCs/>
                <w:sz w:val="18"/>
                <w:szCs w:val="18"/>
              </w:rPr>
            </w:pPr>
            <w:r w:rsidRPr="00BD77D8">
              <w:rPr>
                <w:b/>
                <w:bCs/>
                <w:sz w:val="18"/>
                <w:szCs w:val="18"/>
              </w:rPr>
              <w:t xml:space="preserve"> Total Expenses from Continuing Operations </w:t>
            </w:r>
          </w:p>
        </w:tc>
        <w:tc>
          <w:tcPr>
            <w:tcW w:w="1158" w:type="dxa"/>
            <w:tcBorders>
              <w:top w:val="nil"/>
              <w:left w:val="nil"/>
              <w:bottom w:val="nil"/>
              <w:right w:val="nil"/>
            </w:tcBorders>
            <w:shd w:val="clear" w:color="auto" w:fill="auto"/>
            <w:noWrap/>
            <w:vAlign w:val="bottom"/>
            <w:hideMark/>
          </w:tcPr>
          <w:p w14:paraId="2085D99B" w14:textId="77777777" w:rsidR="00B9311E" w:rsidRPr="00BD77D8" w:rsidRDefault="00B9311E" w:rsidP="00B9311E">
            <w:pPr>
              <w:spacing w:after="0" w:line="240" w:lineRule="auto"/>
              <w:rPr>
                <w:b/>
                <w:bCs/>
                <w:sz w:val="18"/>
                <w:szCs w:val="18"/>
              </w:rPr>
            </w:pPr>
          </w:p>
        </w:tc>
        <w:tc>
          <w:tcPr>
            <w:tcW w:w="1384" w:type="dxa"/>
            <w:tcBorders>
              <w:top w:val="single" w:sz="4" w:space="0" w:color="auto"/>
              <w:left w:val="nil"/>
              <w:bottom w:val="single" w:sz="4" w:space="0" w:color="auto"/>
              <w:right w:val="nil"/>
            </w:tcBorders>
            <w:shd w:val="clear" w:color="auto" w:fill="auto"/>
            <w:vAlign w:val="bottom"/>
            <w:hideMark/>
          </w:tcPr>
          <w:p w14:paraId="49F9D6A4" w14:textId="77777777" w:rsidR="00B9311E" w:rsidRPr="00BD77D8" w:rsidRDefault="00B9311E" w:rsidP="00B9311E">
            <w:pPr>
              <w:spacing w:after="0" w:line="240" w:lineRule="auto"/>
              <w:jc w:val="right"/>
              <w:rPr>
                <w:b/>
                <w:bCs/>
                <w:sz w:val="18"/>
                <w:szCs w:val="18"/>
              </w:rPr>
            </w:pPr>
            <w:r w:rsidRPr="00BD77D8">
              <w:rPr>
                <w:b/>
                <w:bCs/>
                <w:sz w:val="18"/>
                <w:szCs w:val="18"/>
              </w:rPr>
              <w:t xml:space="preserve">           304,936 </w:t>
            </w:r>
          </w:p>
        </w:tc>
        <w:tc>
          <w:tcPr>
            <w:tcW w:w="1430" w:type="dxa"/>
            <w:tcBorders>
              <w:top w:val="single" w:sz="4" w:space="0" w:color="auto"/>
              <w:left w:val="nil"/>
              <w:bottom w:val="single" w:sz="4" w:space="0" w:color="auto"/>
              <w:right w:val="nil"/>
            </w:tcBorders>
            <w:shd w:val="clear" w:color="auto" w:fill="auto"/>
            <w:vAlign w:val="bottom"/>
            <w:hideMark/>
          </w:tcPr>
          <w:p w14:paraId="10AC286C" w14:textId="77777777" w:rsidR="00B9311E" w:rsidRPr="00BD77D8" w:rsidRDefault="00B9311E" w:rsidP="00B9311E">
            <w:pPr>
              <w:spacing w:after="0" w:line="240" w:lineRule="auto"/>
              <w:jc w:val="right"/>
              <w:rPr>
                <w:b/>
                <w:bCs/>
                <w:sz w:val="18"/>
                <w:szCs w:val="18"/>
              </w:rPr>
            </w:pPr>
            <w:r w:rsidRPr="00BD77D8">
              <w:rPr>
                <w:b/>
                <w:bCs/>
                <w:sz w:val="18"/>
                <w:szCs w:val="18"/>
              </w:rPr>
              <w:t xml:space="preserve">           311,455 </w:t>
            </w:r>
          </w:p>
        </w:tc>
        <w:tc>
          <w:tcPr>
            <w:tcW w:w="1366" w:type="dxa"/>
            <w:tcBorders>
              <w:top w:val="single" w:sz="4" w:space="0" w:color="auto"/>
              <w:left w:val="nil"/>
              <w:bottom w:val="single" w:sz="4" w:space="0" w:color="auto"/>
              <w:right w:val="nil"/>
            </w:tcBorders>
            <w:shd w:val="clear" w:color="auto" w:fill="auto"/>
            <w:vAlign w:val="bottom"/>
            <w:hideMark/>
          </w:tcPr>
          <w:p w14:paraId="37977EB8" w14:textId="77777777" w:rsidR="00B9311E" w:rsidRPr="00BD77D8" w:rsidRDefault="00B9311E" w:rsidP="00B9311E">
            <w:pPr>
              <w:spacing w:after="0" w:line="240" w:lineRule="auto"/>
              <w:jc w:val="right"/>
              <w:rPr>
                <w:b/>
                <w:bCs/>
                <w:sz w:val="18"/>
                <w:szCs w:val="18"/>
              </w:rPr>
            </w:pPr>
            <w:r w:rsidRPr="00BD77D8">
              <w:rPr>
                <w:b/>
                <w:bCs/>
                <w:sz w:val="18"/>
                <w:szCs w:val="18"/>
              </w:rPr>
              <w:t xml:space="preserve">              6,519 </w:t>
            </w:r>
          </w:p>
        </w:tc>
        <w:tc>
          <w:tcPr>
            <w:tcW w:w="1186" w:type="dxa"/>
            <w:tcBorders>
              <w:top w:val="single" w:sz="4" w:space="0" w:color="auto"/>
              <w:left w:val="nil"/>
              <w:bottom w:val="single" w:sz="4" w:space="0" w:color="auto"/>
              <w:right w:val="nil"/>
            </w:tcBorders>
            <w:shd w:val="clear" w:color="auto" w:fill="auto"/>
            <w:vAlign w:val="bottom"/>
            <w:hideMark/>
          </w:tcPr>
          <w:p w14:paraId="49E51742" w14:textId="77777777" w:rsidR="00B9311E" w:rsidRPr="00BD77D8" w:rsidRDefault="00B9311E" w:rsidP="00B9311E">
            <w:pPr>
              <w:spacing w:after="0" w:line="240" w:lineRule="auto"/>
              <w:jc w:val="right"/>
              <w:rPr>
                <w:b/>
                <w:bCs/>
                <w:sz w:val="18"/>
                <w:szCs w:val="18"/>
              </w:rPr>
            </w:pPr>
            <w:r w:rsidRPr="00BD77D8">
              <w:rPr>
                <w:b/>
                <w:bCs/>
                <w:sz w:val="18"/>
                <w:szCs w:val="18"/>
              </w:rPr>
              <w:t xml:space="preserve">        347,040 </w:t>
            </w:r>
          </w:p>
        </w:tc>
      </w:tr>
      <w:tr w:rsidR="00BD77D8" w:rsidRPr="00BD77D8" w14:paraId="0D600576" w14:textId="77777777" w:rsidTr="003057FB">
        <w:trPr>
          <w:trHeight w:val="286"/>
        </w:trPr>
        <w:tc>
          <w:tcPr>
            <w:tcW w:w="3945" w:type="dxa"/>
            <w:tcBorders>
              <w:top w:val="nil"/>
              <w:left w:val="nil"/>
              <w:bottom w:val="nil"/>
              <w:right w:val="nil"/>
            </w:tcBorders>
            <w:shd w:val="clear" w:color="auto" w:fill="auto"/>
            <w:noWrap/>
            <w:vAlign w:val="bottom"/>
            <w:hideMark/>
          </w:tcPr>
          <w:p w14:paraId="241A274C" w14:textId="77777777" w:rsidR="00B9311E" w:rsidRPr="00BD77D8" w:rsidRDefault="00B9311E" w:rsidP="00B9311E">
            <w:pPr>
              <w:spacing w:after="0" w:line="240" w:lineRule="auto"/>
              <w:rPr>
                <w:sz w:val="18"/>
                <w:szCs w:val="18"/>
              </w:rPr>
            </w:pPr>
            <w:r w:rsidRPr="00BD77D8">
              <w:rPr>
                <w:sz w:val="18"/>
                <w:szCs w:val="18"/>
              </w:rPr>
              <w:t xml:space="preserve"> Operating Result from Continuing Operations </w:t>
            </w:r>
          </w:p>
        </w:tc>
        <w:tc>
          <w:tcPr>
            <w:tcW w:w="1158" w:type="dxa"/>
            <w:tcBorders>
              <w:top w:val="nil"/>
              <w:left w:val="nil"/>
              <w:bottom w:val="nil"/>
              <w:right w:val="nil"/>
            </w:tcBorders>
            <w:shd w:val="clear" w:color="auto" w:fill="auto"/>
            <w:noWrap/>
            <w:vAlign w:val="bottom"/>
            <w:hideMark/>
          </w:tcPr>
          <w:p w14:paraId="1A6246E2" w14:textId="77777777" w:rsidR="00B9311E" w:rsidRPr="00BD77D8" w:rsidRDefault="00B9311E" w:rsidP="00B9311E">
            <w:pPr>
              <w:spacing w:after="0" w:line="240" w:lineRule="auto"/>
              <w:rPr>
                <w:sz w:val="18"/>
                <w:szCs w:val="18"/>
              </w:rPr>
            </w:pPr>
          </w:p>
        </w:tc>
        <w:tc>
          <w:tcPr>
            <w:tcW w:w="1384" w:type="dxa"/>
            <w:tcBorders>
              <w:top w:val="nil"/>
              <w:left w:val="nil"/>
              <w:bottom w:val="nil"/>
              <w:right w:val="nil"/>
            </w:tcBorders>
            <w:shd w:val="clear" w:color="auto" w:fill="auto"/>
            <w:vAlign w:val="bottom"/>
            <w:hideMark/>
          </w:tcPr>
          <w:p w14:paraId="47460F63" w14:textId="77777777" w:rsidR="00B9311E" w:rsidRPr="00BD77D8" w:rsidRDefault="00B9311E" w:rsidP="00B9311E">
            <w:pPr>
              <w:spacing w:after="0" w:line="240" w:lineRule="auto"/>
              <w:jc w:val="right"/>
              <w:rPr>
                <w:b/>
                <w:bCs/>
                <w:sz w:val="18"/>
                <w:szCs w:val="18"/>
              </w:rPr>
            </w:pPr>
            <w:r w:rsidRPr="00BD77D8">
              <w:rPr>
                <w:b/>
                <w:bCs/>
                <w:sz w:val="18"/>
                <w:szCs w:val="18"/>
              </w:rPr>
              <w:t xml:space="preserve">              31,191 </w:t>
            </w:r>
          </w:p>
        </w:tc>
        <w:tc>
          <w:tcPr>
            <w:tcW w:w="1430" w:type="dxa"/>
            <w:tcBorders>
              <w:top w:val="nil"/>
              <w:left w:val="nil"/>
              <w:bottom w:val="nil"/>
              <w:right w:val="nil"/>
            </w:tcBorders>
            <w:shd w:val="clear" w:color="auto" w:fill="auto"/>
            <w:vAlign w:val="bottom"/>
            <w:hideMark/>
          </w:tcPr>
          <w:p w14:paraId="65C92726" w14:textId="77777777" w:rsidR="00B9311E" w:rsidRPr="00BD77D8" w:rsidRDefault="00B9311E" w:rsidP="00B9311E">
            <w:pPr>
              <w:spacing w:after="0" w:line="240" w:lineRule="auto"/>
              <w:jc w:val="right"/>
              <w:rPr>
                <w:sz w:val="18"/>
                <w:szCs w:val="18"/>
              </w:rPr>
            </w:pPr>
            <w:r w:rsidRPr="00BD77D8">
              <w:rPr>
                <w:sz w:val="18"/>
                <w:szCs w:val="18"/>
              </w:rPr>
              <w:t xml:space="preserve">                     75 </w:t>
            </w:r>
          </w:p>
        </w:tc>
        <w:tc>
          <w:tcPr>
            <w:tcW w:w="1366" w:type="dxa"/>
            <w:tcBorders>
              <w:top w:val="nil"/>
              <w:left w:val="nil"/>
              <w:bottom w:val="nil"/>
              <w:right w:val="nil"/>
            </w:tcBorders>
            <w:shd w:val="clear" w:color="auto" w:fill="auto"/>
            <w:vAlign w:val="bottom"/>
            <w:hideMark/>
          </w:tcPr>
          <w:p w14:paraId="70EFC301" w14:textId="77777777" w:rsidR="00B9311E" w:rsidRPr="00BD77D8" w:rsidRDefault="00B9311E" w:rsidP="00B9311E">
            <w:pPr>
              <w:spacing w:after="0" w:line="240" w:lineRule="auto"/>
              <w:jc w:val="right"/>
              <w:rPr>
                <w:b/>
                <w:bCs/>
                <w:sz w:val="18"/>
                <w:szCs w:val="18"/>
              </w:rPr>
            </w:pPr>
            <w:r w:rsidRPr="00BD77D8">
              <w:rPr>
                <w:sz w:val="18"/>
                <w:szCs w:val="18"/>
              </w:rPr>
              <w:t xml:space="preserve">          31,116</w:t>
            </w:r>
          </w:p>
        </w:tc>
        <w:tc>
          <w:tcPr>
            <w:tcW w:w="1186" w:type="dxa"/>
            <w:tcBorders>
              <w:top w:val="nil"/>
              <w:left w:val="nil"/>
              <w:bottom w:val="nil"/>
              <w:right w:val="nil"/>
            </w:tcBorders>
            <w:shd w:val="clear" w:color="auto" w:fill="auto"/>
            <w:vAlign w:val="bottom"/>
            <w:hideMark/>
          </w:tcPr>
          <w:p w14:paraId="3918F446" w14:textId="77777777" w:rsidR="00B9311E" w:rsidRPr="00BD77D8" w:rsidRDefault="00B9311E" w:rsidP="00B9311E">
            <w:pPr>
              <w:spacing w:after="0" w:line="240" w:lineRule="auto"/>
              <w:jc w:val="right"/>
              <w:rPr>
                <w:sz w:val="18"/>
                <w:szCs w:val="18"/>
              </w:rPr>
            </w:pPr>
            <w:r w:rsidRPr="00BD77D8">
              <w:rPr>
                <w:sz w:val="18"/>
                <w:szCs w:val="18"/>
              </w:rPr>
              <w:t xml:space="preserve">            2,783 </w:t>
            </w:r>
          </w:p>
        </w:tc>
      </w:tr>
      <w:tr w:rsidR="00BD77D8" w:rsidRPr="00BD77D8" w14:paraId="212DF2AF" w14:textId="77777777" w:rsidTr="003057FB">
        <w:trPr>
          <w:trHeight w:val="286"/>
        </w:trPr>
        <w:tc>
          <w:tcPr>
            <w:tcW w:w="3945" w:type="dxa"/>
            <w:tcBorders>
              <w:top w:val="nil"/>
              <w:left w:val="nil"/>
              <w:bottom w:val="nil"/>
              <w:right w:val="nil"/>
            </w:tcBorders>
            <w:shd w:val="clear" w:color="auto" w:fill="auto"/>
            <w:noWrap/>
            <w:vAlign w:val="bottom"/>
            <w:hideMark/>
          </w:tcPr>
          <w:p w14:paraId="37BE4627" w14:textId="77777777" w:rsidR="00B9311E" w:rsidRPr="00BD77D8" w:rsidRDefault="00B9311E" w:rsidP="00B9311E">
            <w:pPr>
              <w:spacing w:after="0" w:line="240" w:lineRule="auto"/>
              <w:rPr>
                <w:b/>
                <w:bCs/>
                <w:sz w:val="18"/>
                <w:szCs w:val="18"/>
              </w:rPr>
            </w:pPr>
            <w:r w:rsidRPr="00BD77D8">
              <w:rPr>
                <w:b/>
                <w:bCs/>
                <w:sz w:val="18"/>
                <w:szCs w:val="18"/>
              </w:rPr>
              <w:t xml:space="preserve"> Operating Result for the Year </w:t>
            </w:r>
          </w:p>
        </w:tc>
        <w:tc>
          <w:tcPr>
            <w:tcW w:w="1158" w:type="dxa"/>
            <w:tcBorders>
              <w:top w:val="nil"/>
              <w:left w:val="nil"/>
              <w:bottom w:val="nil"/>
              <w:right w:val="nil"/>
            </w:tcBorders>
            <w:shd w:val="clear" w:color="auto" w:fill="auto"/>
            <w:noWrap/>
            <w:vAlign w:val="bottom"/>
            <w:hideMark/>
          </w:tcPr>
          <w:p w14:paraId="1996082F" w14:textId="77777777" w:rsidR="00B9311E" w:rsidRPr="00BD77D8" w:rsidRDefault="00B9311E" w:rsidP="00B9311E">
            <w:pPr>
              <w:spacing w:after="0" w:line="240" w:lineRule="auto"/>
              <w:rPr>
                <w:b/>
                <w:bCs/>
                <w:sz w:val="18"/>
                <w:szCs w:val="18"/>
              </w:rPr>
            </w:pPr>
          </w:p>
        </w:tc>
        <w:tc>
          <w:tcPr>
            <w:tcW w:w="1384" w:type="dxa"/>
            <w:tcBorders>
              <w:top w:val="single" w:sz="4" w:space="0" w:color="auto"/>
              <w:left w:val="nil"/>
              <w:bottom w:val="single" w:sz="4" w:space="0" w:color="auto"/>
              <w:right w:val="nil"/>
            </w:tcBorders>
            <w:shd w:val="clear" w:color="auto" w:fill="auto"/>
            <w:vAlign w:val="bottom"/>
            <w:hideMark/>
          </w:tcPr>
          <w:p w14:paraId="2BC4A787" w14:textId="77777777" w:rsidR="00B9311E" w:rsidRPr="00BD77D8" w:rsidRDefault="00B9311E" w:rsidP="00B9311E">
            <w:pPr>
              <w:spacing w:after="0" w:line="240" w:lineRule="auto"/>
              <w:jc w:val="right"/>
              <w:rPr>
                <w:b/>
                <w:bCs/>
                <w:sz w:val="18"/>
                <w:szCs w:val="18"/>
              </w:rPr>
            </w:pPr>
            <w:r w:rsidRPr="00BD77D8">
              <w:rPr>
                <w:b/>
                <w:bCs/>
                <w:sz w:val="18"/>
                <w:szCs w:val="18"/>
              </w:rPr>
              <w:t xml:space="preserve">              31,191 </w:t>
            </w:r>
          </w:p>
        </w:tc>
        <w:tc>
          <w:tcPr>
            <w:tcW w:w="1430" w:type="dxa"/>
            <w:tcBorders>
              <w:top w:val="single" w:sz="4" w:space="0" w:color="auto"/>
              <w:left w:val="nil"/>
              <w:bottom w:val="single" w:sz="4" w:space="0" w:color="auto"/>
              <w:right w:val="nil"/>
            </w:tcBorders>
            <w:shd w:val="clear" w:color="auto" w:fill="auto"/>
            <w:vAlign w:val="bottom"/>
            <w:hideMark/>
          </w:tcPr>
          <w:p w14:paraId="325B9F37" w14:textId="77777777" w:rsidR="00B9311E" w:rsidRPr="00BD77D8" w:rsidRDefault="00B9311E" w:rsidP="00B9311E">
            <w:pPr>
              <w:spacing w:after="0" w:line="240" w:lineRule="auto"/>
              <w:jc w:val="right"/>
              <w:rPr>
                <w:b/>
                <w:bCs/>
                <w:sz w:val="18"/>
                <w:szCs w:val="18"/>
              </w:rPr>
            </w:pPr>
            <w:r w:rsidRPr="00BD77D8">
              <w:rPr>
                <w:b/>
                <w:bCs/>
                <w:sz w:val="18"/>
                <w:szCs w:val="18"/>
              </w:rPr>
              <w:t xml:space="preserve">                     75 </w:t>
            </w:r>
          </w:p>
        </w:tc>
        <w:tc>
          <w:tcPr>
            <w:tcW w:w="1366" w:type="dxa"/>
            <w:tcBorders>
              <w:top w:val="single" w:sz="4" w:space="0" w:color="auto"/>
              <w:left w:val="nil"/>
              <w:bottom w:val="single" w:sz="4" w:space="0" w:color="auto"/>
              <w:right w:val="nil"/>
            </w:tcBorders>
            <w:shd w:val="clear" w:color="auto" w:fill="auto"/>
            <w:vAlign w:val="bottom"/>
            <w:hideMark/>
          </w:tcPr>
          <w:p w14:paraId="7FF7CB28" w14:textId="77777777" w:rsidR="00B9311E" w:rsidRPr="00BD77D8" w:rsidRDefault="00B9311E" w:rsidP="00B9311E">
            <w:pPr>
              <w:spacing w:after="0" w:line="240" w:lineRule="auto"/>
              <w:jc w:val="right"/>
              <w:rPr>
                <w:b/>
                <w:bCs/>
                <w:sz w:val="18"/>
                <w:szCs w:val="18"/>
              </w:rPr>
            </w:pPr>
            <w:r w:rsidRPr="00BD77D8">
              <w:rPr>
                <w:b/>
                <w:bCs/>
                <w:sz w:val="18"/>
                <w:szCs w:val="18"/>
              </w:rPr>
              <w:t xml:space="preserve">          31,116</w:t>
            </w:r>
          </w:p>
        </w:tc>
        <w:tc>
          <w:tcPr>
            <w:tcW w:w="1186" w:type="dxa"/>
            <w:tcBorders>
              <w:top w:val="single" w:sz="4" w:space="0" w:color="auto"/>
              <w:left w:val="nil"/>
              <w:bottom w:val="single" w:sz="4" w:space="0" w:color="auto"/>
              <w:right w:val="nil"/>
            </w:tcBorders>
            <w:shd w:val="clear" w:color="auto" w:fill="auto"/>
            <w:vAlign w:val="bottom"/>
            <w:hideMark/>
          </w:tcPr>
          <w:p w14:paraId="6039B6FD" w14:textId="77777777" w:rsidR="00B9311E" w:rsidRPr="00BD77D8" w:rsidRDefault="00B9311E" w:rsidP="00B9311E">
            <w:pPr>
              <w:spacing w:after="0" w:line="240" w:lineRule="auto"/>
              <w:jc w:val="right"/>
              <w:rPr>
                <w:b/>
                <w:bCs/>
                <w:sz w:val="18"/>
                <w:szCs w:val="18"/>
              </w:rPr>
            </w:pPr>
            <w:r w:rsidRPr="00BD77D8">
              <w:rPr>
                <w:b/>
                <w:bCs/>
                <w:sz w:val="18"/>
                <w:szCs w:val="18"/>
              </w:rPr>
              <w:t xml:space="preserve">            2,783 </w:t>
            </w:r>
          </w:p>
        </w:tc>
      </w:tr>
      <w:tr w:rsidR="00BD77D8" w:rsidRPr="00BD77D8" w14:paraId="25D57226" w14:textId="77777777" w:rsidTr="003057FB">
        <w:trPr>
          <w:trHeight w:val="271"/>
        </w:trPr>
        <w:tc>
          <w:tcPr>
            <w:tcW w:w="3945" w:type="dxa"/>
            <w:tcBorders>
              <w:top w:val="nil"/>
              <w:left w:val="nil"/>
              <w:bottom w:val="nil"/>
              <w:right w:val="nil"/>
            </w:tcBorders>
            <w:shd w:val="clear" w:color="auto" w:fill="auto"/>
            <w:noWrap/>
            <w:vAlign w:val="bottom"/>
            <w:hideMark/>
          </w:tcPr>
          <w:p w14:paraId="7AC3F731" w14:textId="77777777" w:rsidR="00B9311E" w:rsidRPr="00BD77D8" w:rsidRDefault="00B9311E" w:rsidP="00B9311E">
            <w:pPr>
              <w:spacing w:after="0" w:line="240" w:lineRule="auto"/>
              <w:rPr>
                <w:b/>
                <w:bCs/>
                <w:sz w:val="18"/>
                <w:szCs w:val="18"/>
              </w:rPr>
            </w:pPr>
            <w:r w:rsidRPr="00BD77D8">
              <w:rPr>
                <w:b/>
                <w:bCs/>
                <w:sz w:val="18"/>
                <w:szCs w:val="18"/>
              </w:rPr>
              <w:t xml:space="preserve"> Total Comprehensive Income </w:t>
            </w:r>
          </w:p>
        </w:tc>
        <w:tc>
          <w:tcPr>
            <w:tcW w:w="1158" w:type="dxa"/>
            <w:tcBorders>
              <w:top w:val="nil"/>
              <w:left w:val="nil"/>
              <w:bottom w:val="nil"/>
              <w:right w:val="nil"/>
            </w:tcBorders>
            <w:shd w:val="clear" w:color="auto" w:fill="auto"/>
            <w:noWrap/>
            <w:vAlign w:val="bottom"/>
            <w:hideMark/>
          </w:tcPr>
          <w:p w14:paraId="4AEF07EA" w14:textId="77777777" w:rsidR="00B9311E" w:rsidRPr="00BD77D8" w:rsidRDefault="00B9311E" w:rsidP="00B9311E">
            <w:pPr>
              <w:spacing w:after="0" w:line="240" w:lineRule="auto"/>
              <w:rPr>
                <w:b/>
                <w:bCs/>
                <w:sz w:val="18"/>
                <w:szCs w:val="18"/>
              </w:rPr>
            </w:pPr>
          </w:p>
        </w:tc>
        <w:tc>
          <w:tcPr>
            <w:tcW w:w="1384" w:type="dxa"/>
            <w:tcBorders>
              <w:top w:val="nil"/>
              <w:left w:val="nil"/>
              <w:bottom w:val="single" w:sz="4" w:space="0" w:color="auto"/>
              <w:right w:val="nil"/>
            </w:tcBorders>
            <w:shd w:val="clear" w:color="auto" w:fill="auto"/>
            <w:vAlign w:val="bottom"/>
            <w:hideMark/>
          </w:tcPr>
          <w:p w14:paraId="4F0F7240" w14:textId="77777777" w:rsidR="00B9311E" w:rsidRPr="00BD77D8" w:rsidRDefault="00B9311E" w:rsidP="00B9311E">
            <w:pPr>
              <w:spacing w:after="0" w:line="240" w:lineRule="auto"/>
              <w:jc w:val="right"/>
              <w:rPr>
                <w:b/>
                <w:bCs/>
                <w:sz w:val="18"/>
                <w:szCs w:val="18"/>
              </w:rPr>
            </w:pPr>
            <w:r w:rsidRPr="00BD77D8">
              <w:rPr>
                <w:b/>
                <w:bCs/>
                <w:sz w:val="18"/>
                <w:szCs w:val="18"/>
              </w:rPr>
              <w:t xml:space="preserve">              31,191 </w:t>
            </w:r>
          </w:p>
        </w:tc>
        <w:tc>
          <w:tcPr>
            <w:tcW w:w="1430" w:type="dxa"/>
            <w:tcBorders>
              <w:top w:val="nil"/>
              <w:left w:val="nil"/>
              <w:bottom w:val="single" w:sz="4" w:space="0" w:color="auto"/>
              <w:right w:val="nil"/>
            </w:tcBorders>
            <w:shd w:val="clear" w:color="auto" w:fill="auto"/>
            <w:vAlign w:val="bottom"/>
            <w:hideMark/>
          </w:tcPr>
          <w:p w14:paraId="1E9EDDB7" w14:textId="77777777" w:rsidR="00B9311E" w:rsidRPr="00BD77D8" w:rsidRDefault="00B9311E" w:rsidP="00B9311E">
            <w:pPr>
              <w:spacing w:after="0" w:line="240" w:lineRule="auto"/>
              <w:jc w:val="right"/>
              <w:rPr>
                <w:b/>
                <w:bCs/>
                <w:sz w:val="18"/>
                <w:szCs w:val="18"/>
              </w:rPr>
            </w:pPr>
            <w:r w:rsidRPr="00BD77D8">
              <w:rPr>
                <w:b/>
                <w:bCs/>
                <w:sz w:val="18"/>
                <w:szCs w:val="18"/>
              </w:rPr>
              <w:t xml:space="preserve">                     75 </w:t>
            </w:r>
          </w:p>
        </w:tc>
        <w:tc>
          <w:tcPr>
            <w:tcW w:w="1366" w:type="dxa"/>
            <w:tcBorders>
              <w:top w:val="nil"/>
              <w:left w:val="nil"/>
              <w:bottom w:val="single" w:sz="4" w:space="0" w:color="auto"/>
              <w:right w:val="nil"/>
            </w:tcBorders>
            <w:shd w:val="clear" w:color="auto" w:fill="auto"/>
            <w:vAlign w:val="bottom"/>
            <w:hideMark/>
          </w:tcPr>
          <w:p w14:paraId="4FAC6E80" w14:textId="77777777" w:rsidR="00B9311E" w:rsidRPr="00BD77D8" w:rsidRDefault="00B9311E" w:rsidP="00B9311E">
            <w:pPr>
              <w:spacing w:after="0" w:line="240" w:lineRule="auto"/>
              <w:jc w:val="right"/>
              <w:rPr>
                <w:b/>
                <w:bCs/>
                <w:sz w:val="18"/>
                <w:szCs w:val="18"/>
              </w:rPr>
            </w:pPr>
            <w:r w:rsidRPr="00BD77D8">
              <w:rPr>
                <w:b/>
                <w:bCs/>
                <w:sz w:val="18"/>
                <w:szCs w:val="18"/>
              </w:rPr>
              <w:t xml:space="preserve">          31,116</w:t>
            </w:r>
          </w:p>
        </w:tc>
        <w:tc>
          <w:tcPr>
            <w:tcW w:w="1186" w:type="dxa"/>
            <w:tcBorders>
              <w:top w:val="nil"/>
              <w:left w:val="nil"/>
              <w:bottom w:val="single" w:sz="4" w:space="0" w:color="auto"/>
              <w:right w:val="nil"/>
            </w:tcBorders>
            <w:shd w:val="clear" w:color="auto" w:fill="auto"/>
            <w:vAlign w:val="bottom"/>
            <w:hideMark/>
          </w:tcPr>
          <w:p w14:paraId="2518071C" w14:textId="77777777" w:rsidR="00B9311E" w:rsidRPr="00BD77D8" w:rsidRDefault="00B9311E" w:rsidP="00B9311E">
            <w:pPr>
              <w:spacing w:after="0" w:line="240" w:lineRule="auto"/>
              <w:jc w:val="right"/>
              <w:rPr>
                <w:b/>
                <w:bCs/>
                <w:sz w:val="18"/>
                <w:szCs w:val="18"/>
              </w:rPr>
            </w:pPr>
            <w:r w:rsidRPr="00BD77D8">
              <w:rPr>
                <w:b/>
                <w:bCs/>
                <w:sz w:val="18"/>
                <w:szCs w:val="18"/>
              </w:rPr>
              <w:t xml:space="preserve">            2,783 </w:t>
            </w:r>
          </w:p>
        </w:tc>
      </w:tr>
    </w:tbl>
    <w:p w14:paraId="05EED307" w14:textId="77777777" w:rsidR="00B9311E" w:rsidRPr="00BD77D8" w:rsidRDefault="00B9311E" w:rsidP="00587E62">
      <w:pPr>
        <w:tabs>
          <w:tab w:val="left" w:pos="360"/>
        </w:tabs>
        <w:spacing w:before="240" w:after="0" w:line="240" w:lineRule="auto"/>
        <w:textAlignment w:val="baseline"/>
        <w:rPr>
          <w:rFonts w:eastAsia="Arial"/>
          <w:b/>
          <w:bCs/>
          <w:sz w:val="16"/>
          <w:szCs w:val="16"/>
          <w:lang w:eastAsia="en-US"/>
        </w:rPr>
      </w:pPr>
      <w:bookmarkStart w:id="10" w:name="RANGE!B21"/>
      <w:bookmarkStart w:id="11" w:name="RANGE!B24"/>
      <w:bookmarkEnd w:id="10"/>
      <w:bookmarkEnd w:id="11"/>
      <w:r w:rsidRPr="00BD77D8">
        <w:rPr>
          <w:rFonts w:eastAsia="Arial"/>
          <w:sz w:val="16"/>
          <w:szCs w:val="16"/>
          <w:lang w:eastAsia="en-US"/>
        </w:rPr>
        <w:t>*An explanation of major variances is included at Note E1-1.</w:t>
      </w:r>
    </w:p>
    <w:p w14:paraId="362262E6" w14:textId="77777777" w:rsidR="00B9311E" w:rsidRPr="00BD77D8" w:rsidRDefault="00B9311E" w:rsidP="00B9311E">
      <w:pPr>
        <w:tabs>
          <w:tab w:val="left" w:pos="360"/>
        </w:tabs>
        <w:spacing w:after="0" w:line="195" w:lineRule="exact"/>
        <w:textAlignment w:val="baseline"/>
        <w:rPr>
          <w:rFonts w:eastAsia="Arial"/>
          <w:b/>
          <w:bCs/>
          <w:sz w:val="18"/>
          <w:szCs w:val="18"/>
          <w:lang w:eastAsia="en-US"/>
        </w:rPr>
      </w:pPr>
      <w:r w:rsidRPr="00BD77D8">
        <w:rPr>
          <w:rFonts w:eastAsia="Arial"/>
          <w:sz w:val="16"/>
          <w:szCs w:val="16"/>
          <w:lang w:eastAsia="en-US"/>
        </w:rPr>
        <w:t>^These figures represent budgeted figures as published in the 2021-22 Service Delivery Statement tabled in Parliament.</w:t>
      </w:r>
    </w:p>
    <w:p w14:paraId="4FCE5664" w14:textId="77777777" w:rsidR="00B9311E" w:rsidRPr="00BD77D8" w:rsidRDefault="00B9311E" w:rsidP="00DF4756">
      <w:pPr>
        <w:spacing w:before="3840" w:after="0" w:line="240" w:lineRule="auto"/>
        <w:textAlignment w:val="baseline"/>
        <w:rPr>
          <w:rFonts w:eastAsia="Arial"/>
          <w:b/>
          <w:bCs/>
          <w:sz w:val="18"/>
          <w:szCs w:val="18"/>
          <w:lang w:eastAsia="en-US"/>
        </w:rPr>
      </w:pPr>
      <w:r w:rsidRPr="00BD77D8">
        <w:rPr>
          <w:rFonts w:eastAsia="Arial"/>
          <w:iCs/>
          <w:spacing w:val="-3"/>
          <w:sz w:val="16"/>
          <w:szCs w:val="16"/>
          <w:lang w:eastAsia="en-US"/>
        </w:rPr>
        <w:t>The accompanying notes form part of these financial statements.</w:t>
      </w:r>
    </w:p>
    <w:p w14:paraId="39D508A1" w14:textId="0916A9C4" w:rsidR="00702AE3" w:rsidRPr="00BD77D8" w:rsidRDefault="00702AE3" w:rsidP="00DF4756">
      <w:pPr>
        <w:spacing w:before="1200" w:after="0" w:line="240" w:lineRule="auto"/>
        <w:textAlignment w:val="baseline"/>
        <w:rPr>
          <w:rFonts w:eastAsia="Arial"/>
          <w:sz w:val="18"/>
          <w:szCs w:val="18"/>
          <w:lang w:eastAsia="en-US"/>
        </w:rPr>
        <w:sectPr w:rsidR="00702AE3" w:rsidRPr="00BD77D8" w:rsidSect="00447015">
          <w:footerReference w:type="default" r:id="rId17"/>
          <w:footerReference w:type="first" r:id="rId18"/>
          <w:pgSz w:w="11909" w:h="16838" w:code="9"/>
          <w:pgMar w:top="720" w:right="720" w:bottom="720" w:left="720" w:header="720" w:footer="720" w:gutter="0"/>
          <w:pgNumType w:start="83"/>
          <w:cols w:space="720"/>
          <w:titlePg/>
          <w:docGrid w:linePitch="245"/>
        </w:sectPr>
      </w:pP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sz w:val="18"/>
          <w:szCs w:val="18"/>
          <w:lang w:eastAsia="en-US"/>
        </w:rPr>
        <w:t>Page 4 of 45</w:t>
      </w:r>
    </w:p>
    <w:p w14:paraId="3CB8DB36" w14:textId="77777777" w:rsidR="00B9311E" w:rsidRPr="00BD77D8" w:rsidRDefault="00B9311E" w:rsidP="00B9311E">
      <w:pPr>
        <w:spacing w:after="0" w:line="205" w:lineRule="exact"/>
        <w:ind w:left="-142"/>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1ABE6E7A" w14:textId="77777777" w:rsidR="00B9311E" w:rsidRPr="00BD77D8" w:rsidRDefault="00B9311E" w:rsidP="00F70507">
      <w:pPr>
        <w:spacing w:after="0" w:line="205" w:lineRule="exact"/>
        <w:ind w:left="-142"/>
        <w:textAlignment w:val="baseline"/>
        <w:rPr>
          <w:rFonts w:eastAsia="Arial"/>
          <w:b/>
          <w:bCs/>
          <w:sz w:val="18"/>
          <w:szCs w:val="18"/>
          <w:lang w:eastAsia="en-US"/>
        </w:rPr>
      </w:pPr>
      <w:bookmarkStart w:id="12" w:name="_Toc111494793"/>
      <w:bookmarkStart w:id="13" w:name="_Toc111540665"/>
      <w:bookmarkStart w:id="14" w:name="_Toc111559228"/>
      <w:bookmarkStart w:id="15" w:name="_Toc113196500"/>
      <w:bookmarkStart w:id="16" w:name="_Toc113196848"/>
      <w:bookmarkStart w:id="17" w:name="_Toc113261978"/>
      <w:r w:rsidRPr="00BD77D8">
        <w:rPr>
          <w:rFonts w:eastAsia="Arial"/>
          <w:b/>
          <w:bCs/>
          <w:sz w:val="18"/>
          <w:szCs w:val="18"/>
          <w:lang w:eastAsia="en-US"/>
        </w:rPr>
        <w:t>Statement of Comprehensive Income by Major Departmental Services - Controlled</w:t>
      </w:r>
      <w:bookmarkEnd w:id="12"/>
      <w:bookmarkEnd w:id="13"/>
      <w:bookmarkEnd w:id="14"/>
      <w:bookmarkEnd w:id="15"/>
      <w:bookmarkEnd w:id="16"/>
      <w:bookmarkEnd w:id="17"/>
    </w:p>
    <w:p w14:paraId="16A0F938" w14:textId="77777777" w:rsidR="00B9311E" w:rsidRPr="00BD77D8" w:rsidRDefault="00B9311E" w:rsidP="00B9311E">
      <w:pPr>
        <w:spacing w:after="0" w:line="205" w:lineRule="exact"/>
        <w:ind w:left="-142"/>
        <w:textAlignment w:val="baseline"/>
        <w:rPr>
          <w:rFonts w:eastAsia="Arial"/>
          <w:b/>
          <w:bCs/>
          <w:sz w:val="18"/>
          <w:szCs w:val="18"/>
          <w:lang w:eastAsia="en-US"/>
        </w:rPr>
      </w:pPr>
      <w:r w:rsidRPr="00BD77D8">
        <w:rPr>
          <w:rFonts w:eastAsia="Arial"/>
          <w:b/>
          <w:bCs/>
          <w:sz w:val="18"/>
          <w:szCs w:val="18"/>
          <w:lang w:eastAsia="en-US"/>
        </w:rPr>
        <w:t>for the year ended 30 June 2022</w:t>
      </w:r>
    </w:p>
    <w:p w14:paraId="388583FB" w14:textId="77777777" w:rsidR="00B9311E" w:rsidRPr="00BD77D8" w:rsidRDefault="00B9311E" w:rsidP="00B9311E">
      <w:pPr>
        <w:pBdr>
          <w:bottom w:val="single" w:sz="4" w:space="1" w:color="auto"/>
        </w:pBdr>
        <w:spacing w:after="0" w:line="205" w:lineRule="exact"/>
        <w:ind w:left="-142"/>
        <w:textAlignment w:val="baseline"/>
        <w:rPr>
          <w:rFonts w:eastAsia="Arial"/>
          <w:bCs/>
          <w:sz w:val="18"/>
          <w:szCs w:val="18"/>
          <w:lang w:eastAsia="en-US"/>
        </w:rPr>
      </w:pPr>
    </w:p>
    <w:p w14:paraId="7524F538" w14:textId="77777777" w:rsidR="00B9311E" w:rsidRPr="00BD77D8" w:rsidRDefault="00B9311E" w:rsidP="00B9311E">
      <w:pPr>
        <w:spacing w:after="0" w:line="205" w:lineRule="exact"/>
        <w:ind w:left="-284"/>
        <w:textAlignment w:val="baseline"/>
        <w:rPr>
          <w:rFonts w:eastAsia="PMingLiU"/>
          <w:sz w:val="18"/>
          <w:szCs w:val="22"/>
          <w:lang w:val="en-US" w:eastAsia="en-US"/>
        </w:rPr>
      </w:pPr>
    </w:p>
    <w:tbl>
      <w:tblPr>
        <w:tblW w:w="0" w:type="auto"/>
        <w:tblCellMar>
          <w:left w:w="0" w:type="dxa"/>
          <w:right w:w="0" w:type="dxa"/>
        </w:tblCellMar>
        <w:tblLook w:val="04A0" w:firstRow="1" w:lastRow="0" w:firstColumn="1" w:lastColumn="0" w:noHBand="0" w:noVBand="1"/>
      </w:tblPr>
      <w:tblGrid>
        <w:gridCol w:w="3625"/>
        <w:gridCol w:w="997"/>
        <w:gridCol w:w="995"/>
        <w:gridCol w:w="859"/>
        <w:gridCol w:w="998"/>
        <w:gridCol w:w="1131"/>
        <w:gridCol w:w="1132"/>
        <w:gridCol w:w="1263"/>
        <w:gridCol w:w="1136"/>
        <w:gridCol w:w="1137"/>
        <w:gridCol w:w="1018"/>
        <w:gridCol w:w="1073"/>
      </w:tblGrid>
      <w:tr w:rsidR="00BD77D8" w:rsidRPr="00BD77D8" w14:paraId="6F8B47C5" w14:textId="77777777" w:rsidTr="003057FB">
        <w:trPr>
          <w:trHeight w:val="870"/>
        </w:trPr>
        <w:tc>
          <w:tcPr>
            <w:tcW w:w="3655" w:type="dxa"/>
            <w:tcBorders>
              <w:top w:val="nil"/>
              <w:left w:val="nil"/>
              <w:bottom w:val="nil"/>
              <w:right w:val="nil"/>
            </w:tcBorders>
            <w:shd w:val="clear" w:color="auto" w:fill="auto"/>
            <w:noWrap/>
            <w:vAlign w:val="bottom"/>
            <w:hideMark/>
          </w:tcPr>
          <w:p w14:paraId="25E058A9" w14:textId="77777777" w:rsidR="00B9311E" w:rsidRPr="00BD77D8" w:rsidRDefault="00B9311E" w:rsidP="00B9311E">
            <w:pPr>
              <w:spacing w:after="0" w:line="240" w:lineRule="auto"/>
              <w:rPr>
                <w:rFonts w:ascii="Times New Roman" w:hAnsi="Times New Roman" w:cs="Times New Roman"/>
                <w:sz w:val="24"/>
                <w:szCs w:val="24"/>
              </w:rPr>
            </w:pPr>
          </w:p>
        </w:tc>
        <w:tc>
          <w:tcPr>
            <w:tcW w:w="994" w:type="dxa"/>
            <w:tcBorders>
              <w:top w:val="nil"/>
              <w:left w:val="nil"/>
              <w:bottom w:val="nil"/>
              <w:right w:val="nil"/>
            </w:tcBorders>
            <w:shd w:val="clear" w:color="auto" w:fill="auto"/>
            <w:vAlign w:val="center"/>
            <w:hideMark/>
          </w:tcPr>
          <w:p w14:paraId="2AB613DA" w14:textId="77777777" w:rsidR="00B9311E" w:rsidRPr="00BD77D8" w:rsidRDefault="00B9311E" w:rsidP="00B9311E">
            <w:pPr>
              <w:spacing w:after="0" w:line="240" w:lineRule="auto"/>
              <w:jc w:val="right"/>
              <w:rPr>
                <w:b/>
                <w:bCs/>
                <w:sz w:val="16"/>
                <w:szCs w:val="16"/>
              </w:rPr>
            </w:pPr>
            <w:r w:rsidRPr="00BD77D8">
              <w:rPr>
                <w:b/>
                <w:bCs/>
                <w:sz w:val="16"/>
                <w:szCs w:val="16"/>
              </w:rPr>
              <w:t xml:space="preserve"> Disability Services </w:t>
            </w:r>
          </w:p>
        </w:tc>
        <w:tc>
          <w:tcPr>
            <w:tcW w:w="991" w:type="dxa"/>
            <w:tcBorders>
              <w:top w:val="nil"/>
              <w:left w:val="nil"/>
              <w:bottom w:val="nil"/>
              <w:right w:val="nil"/>
            </w:tcBorders>
            <w:shd w:val="clear" w:color="auto" w:fill="auto"/>
            <w:vAlign w:val="center"/>
            <w:hideMark/>
          </w:tcPr>
          <w:p w14:paraId="26245E79" w14:textId="77777777" w:rsidR="00B9311E" w:rsidRPr="00BD77D8" w:rsidRDefault="00B9311E" w:rsidP="00B9311E">
            <w:pPr>
              <w:spacing w:after="0" w:line="240" w:lineRule="auto"/>
              <w:jc w:val="right"/>
              <w:rPr>
                <w:b/>
                <w:bCs/>
                <w:sz w:val="16"/>
                <w:szCs w:val="16"/>
              </w:rPr>
            </w:pPr>
            <w:r w:rsidRPr="00BD77D8">
              <w:rPr>
                <w:b/>
                <w:bCs/>
                <w:sz w:val="16"/>
                <w:szCs w:val="16"/>
              </w:rPr>
              <w:t xml:space="preserve"> Disability Services </w:t>
            </w:r>
          </w:p>
        </w:tc>
        <w:tc>
          <w:tcPr>
            <w:tcW w:w="854" w:type="dxa"/>
            <w:tcBorders>
              <w:top w:val="nil"/>
              <w:left w:val="nil"/>
              <w:bottom w:val="nil"/>
              <w:right w:val="nil"/>
            </w:tcBorders>
            <w:shd w:val="clear" w:color="auto" w:fill="auto"/>
            <w:vAlign w:val="center"/>
            <w:hideMark/>
          </w:tcPr>
          <w:p w14:paraId="5C491E59" w14:textId="77777777" w:rsidR="00B9311E" w:rsidRPr="00BD77D8" w:rsidRDefault="00B9311E" w:rsidP="00B9311E">
            <w:pPr>
              <w:spacing w:after="0" w:line="240" w:lineRule="auto"/>
              <w:jc w:val="right"/>
              <w:rPr>
                <w:b/>
                <w:bCs/>
                <w:sz w:val="16"/>
                <w:szCs w:val="16"/>
              </w:rPr>
            </w:pPr>
            <w:r w:rsidRPr="00BD77D8">
              <w:rPr>
                <w:b/>
                <w:bCs/>
                <w:sz w:val="16"/>
                <w:szCs w:val="16"/>
              </w:rPr>
              <w:t xml:space="preserve"> Seniors Services </w:t>
            </w:r>
          </w:p>
        </w:tc>
        <w:tc>
          <w:tcPr>
            <w:tcW w:w="994" w:type="dxa"/>
            <w:tcBorders>
              <w:top w:val="nil"/>
              <w:left w:val="nil"/>
              <w:bottom w:val="nil"/>
              <w:right w:val="nil"/>
            </w:tcBorders>
            <w:shd w:val="clear" w:color="auto" w:fill="auto"/>
            <w:vAlign w:val="center"/>
            <w:hideMark/>
          </w:tcPr>
          <w:p w14:paraId="7C1E26BA" w14:textId="77777777" w:rsidR="00B9311E" w:rsidRPr="00BD77D8" w:rsidRDefault="00B9311E" w:rsidP="00B9311E">
            <w:pPr>
              <w:spacing w:after="0" w:line="240" w:lineRule="auto"/>
              <w:jc w:val="right"/>
              <w:rPr>
                <w:b/>
                <w:bCs/>
                <w:sz w:val="16"/>
                <w:szCs w:val="16"/>
              </w:rPr>
            </w:pPr>
            <w:r w:rsidRPr="00BD77D8">
              <w:rPr>
                <w:b/>
                <w:bCs/>
                <w:sz w:val="16"/>
                <w:szCs w:val="16"/>
              </w:rPr>
              <w:t xml:space="preserve"> Seniors Services </w:t>
            </w:r>
          </w:p>
        </w:tc>
        <w:tc>
          <w:tcPr>
            <w:tcW w:w="1129" w:type="dxa"/>
            <w:tcBorders>
              <w:top w:val="nil"/>
              <w:left w:val="nil"/>
              <w:bottom w:val="nil"/>
              <w:right w:val="nil"/>
            </w:tcBorders>
            <w:shd w:val="clear" w:color="auto" w:fill="auto"/>
            <w:vAlign w:val="center"/>
            <w:hideMark/>
          </w:tcPr>
          <w:p w14:paraId="2BC0AB14" w14:textId="77777777" w:rsidR="00B9311E" w:rsidRPr="00BD77D8" w:rsidRDefault="00B9311E" w:rsidP="00B9311E">
            <w:pPr>
              <w:spacing w:after="0" w:line="240" w:lineRule="auto"/>
              <w:jc w:val="right"/>
              <w:rPr>
                <w:b/>
                <w:bCs/>
                <w:sz w:val="16"/>
                <w:szCs w:val="16"/>
              </w:rPr>
            </w:pPr>
            <w:r w:rsidRPr="00BD77D8">
              <w:rPr>
                <w:b/>
                <w:bCs/>
                <w:sz w:val="16"/>
                <w:szCs w:val="16"/>
              </w:rPr>
              <w:t xml:space="preserve"> Community Services^ </w:t>
            </w:r>
          </w:p>
        </w:tc>
        <w:tc>
          <w:tcPr>
            <w:tcW w:w="1130" w:type="dxa"/>
            <w:tcBorders>
              <w:top w:val="nil"/>
              <w:left w:val="nil"/>
              <w:bottom w:val="nil"/>
              <w:right w:val="nil"/>
            </w:tcBorders>
            <w:shd w:val="clear" w:color="auto" w:fill="auto"/>
            <w:vAlign w:val="center"/>
            <w:hideMark/>
          </w:tcPr>
          <w:p w14:paraId="196FDB56" w14:textId="77777777" w:rsidR="00B9311E" w:rsidRPr="00BD77D8" w:rsidRDefault="00B9311E" w:rsidP="00B9311E">
            <w:pPr>
              <w:spacing w:after="0" w:line="240" w:lineRule="auto"/>
              <w:jc w:val="right"/>
              <w:rPr>
                <w:b/>
                <w:bCs/>
                <w:sz w:val="16"/>
                <w:szCs w:val="16"/>
              </w:rPr>
            </w:pPr>
            <w:r w:rsidRPr="00BD77D8">
              <w:rPr>
                <w:b/>
                <w:bCs/>
                <w:sz w:val="16"/>
                <w:szCs w:val="16"/>
              </w:rPr>
              <w:t xml:space="preserve"> Economic Participation Services  </w:t>
            </w:r>
          </w:p>
        </w:tc>
        <w:tc>
          <w:tcPr>
            <w:tcW w:w="1263" w:type="dxa"/>
            <w:tcBorders>
              <w:top w:val="nil"/>
              <w:left w:val="nil"/>
              <w:bottom w:val="nil"/>
              <w:right w:val="nil"/>
            </w:tcBorders>
            <w:shd w:val="clear" w:color="auto" w:fill="auto"/>
            <w:vAlign w:val="center"/>
            <w:hideMark/>
          </w:tcPr>
          <w:p w14:paraId="733E2724" w14:textId="77777777" w:rsidR="00B9311E" w:rsidRPr="00BD77D8" w:rsidRDefault="00B9311E" w:rsidP="00B9311E">
            <w:pPr>
              <w:spacing w:after="0" w:line="240" w:lineRule="auto"/>
              <w:jc w:val="right"/>
              <w:rPr>
                <w:b/>
                <w:bCs/>
                <w:sz w:val="16"/>
                <w:szCs w:val="16"/>
              </w:rPr>
            </w:pPr>
            <w:r w:rsidRPr="00BD77D8">
              <w:rPr>
                <w:b/>
                <w:bCs/>
                <w:sz w:val="16"/>
                <w:szCs w:val="16"/>
              </w:rPr>
              <w:t xml:space="preserve"> Economic Participation Services * </w:t>
            </w:r>
          </w:p>
        </w:tc>
        <w:tc>
          <w:tcPr>
            <w:tcW w:w="1134" w:type="dxa"/>
            <w:tcBorders>
              <w:top w:val="nil"/>
              <w:left w:val="nil"/>
              <w:bottom w:val="nil"/>
              <w:right w:val="nil"/>
            </w:tcBorders>
            <w:shd w:val="clear" w:color="auto" w:fill="auto"/>
            <w:vAlign w:val="center"/>
            <w:hideMark/>
          </w:tcPr>
          <w:p w14:paraId="3270730F" w14:textId="77777777" w:rsidR="00B9311E" w:rsidRPr="00BD77D8" w:rsidRDefault="00B9311E" w:rsidP="00B9311E">
            <w:pPr>
              <w:spacing w:after="0" w:line="240" w:lineRule="auto"/>
              <w:jc w:val="right"/>
              <w:rPr>
                <w:b/>
                <w:bCs/>
                <w:sz w:val="16"/>
                <w:szCs w:val="16"/>
              </w:rPr>
            </w:pPr>
            <w:r w:rsidRPr="00BD77D8">
              <w:rPr>
                <w:b/>
                <w:bCs/>
                <w:sz w:val="16"/>
                <w:szCs w:val="16"/>
              </w:rPr>
              <w:t xml:space="preserve"> Community Participation Services  </w:t>
            </w:r>
          </w:p>
        </w:tc>
        <w:tc>
          <w:tcPr>
            <w:tcW w:w="1135" w:type="dxa"/>
            <w:tcBorders>
              <w:top w:val="nil"/>
              <w:left w:val="nil"/>
              <w:bottom w:val="nil"/>
              <w:right w:val="nil"/>
            </w:tcBorders>
            <w:shd w:val="clear" w:color="auto" w:fill="auto"/>
            <w:vAlign w:val="center"/>
            <w:hideMark/>
          </w:tcPr>
          <w:p w14:paraId="1EFADE58" w14:textId="77777777" w:rsidR="00B9311E" w:rsidRPr="00BD77D8" w:rsidRDefault="00B9311E" w:rsidP="00B9311E">
            <w:pPr>
              <w:spacing w:after="0" w:line="240" w:lineRule="auto"/>
              <w:jc w:val="right"/>
              <w:rPr>
                <w:b/>
                <w:bCs/>
                <w:sz w:val="16"/>
                <w:szCs w:val="16"/>
              </w:rPr>
            </w:pPr>
            <w:r w:rsidRPr="00BD77D8">
              <w:rPr>
                <w:b/>
                <w:bCs/>
                <w:sz w:val="16"/>
                <w:szCs w:val="16"/>
              </w:rPr>
              <w:t xml:space="preserve"> Community Participation Services * </w:t>
            </w:r>
          </w:p>
        </w:tc>
        <w:tc>
          <w:tcPr>
            <w:tcW w:w="1015" w:type="dxa"/>
            <w:tcBorders>
              <w:top w:val="nil"/>
              <w:left w:val="nil"/>
              <w:bottom w:val="nil"/>
              <w:right w:val="nil"/>
            </w:tcBorders>
            <w:shd w:val="clear" w:color="auto" w:fill="auto"/>
            <w:vAlign w:val="center"/>
            <w:hideMark/>
          </w:tcPr>
          <w:p w14:paraId="19308BEB" w14:textId="77777777" w:rsidR="00B9311E" w:rsidRPr="00BD77D8" w:rsidRDefault="00B9311E" w:rsidP="00B9311E">
            <w:pPr>
              <w:spacing w:after="0" w:line="240" w:lineRule="auto"/>
              <w:jc w:val="right"/>
              <w:rPr>
                <w:b/>
                <w:bCs/>
                <w:sz w:val="16"/>
                <w:szCs w:val="16"/>
              </w:rPr>
            </w:pPr>
            <w:r w:rsidRPr="00BD77D8">
              <w:rPr>
                <w:b/>
                <w:bCs/>
                <w:sz w:val="16"/>
                <w:szCs w:val="16"/>
              </w:rPr>
              <w:t xml:space="preserve"> Total </w:t>
            </w:r>
          </w:p>
        </w:tc>
        <w:tc>
          <w:tcPr>
            <w:tcW w:w="1070" w:type="dxa"/>
            <w:tcBorders>
              <w:top w:val="nil"/>
              <w:left w:val="nil"/>
              <w:bottom w:val="nil"/>
              <w:right w:val="nil"/>
            </w:tcBorders>
            <w:shd w:val="clear" w:color="auto" w:fill="auto"/>
            <w:vAlign w:val="center"/>
            <w:hideMark/>
          </w:tcPr>
          <w:p w14:paraId="767487D1" w14:textId="77777777" w:rsidR="00B9311E" w:rsidRPr="00BD77D8" w:rsidRDefault="00B9311E" w:rsidP="00B9311E">
            <w:pPr>
              <w:spacing w:after="0" w:line="240" w:lineRule="auto"/>
              <w:jc w:val="right"/>
              <w:rPr>
                <w:b/>
                <w:bCs/>
                <w:sz w:val="16"/>
                <w:szCs w:val="16"/>
              </w:rPr>
            </w:pPr>
            <w:r w:rsidRPr="00BD77D8">
              <w:rPr>
                <w:b/>
                <w:bCs/>
                <w:sz w:val="16"/>
                <w:szCs w:val="16"/>
              </w:rPr>
              <w:t xml:space="preserve"> Total </w:t>
            </w:r>
          </w:p>
        </w:tc>
      </w:tr>
      <w:tr w:rsidR="00BD77D8" w:rsidRPr="00BD77D8" w14:paraId="310E01D5" w14:textId="77777777" w:rsidTr="003057FB">
        <w:trPr>
          <w:trHeight w:val="240"/>
        </w:trPr>
        <w:tc>
          <w:tcPr>
            <w:tcW w:w="3655" w:type="dxa"/>
            <w:tcBorders>
              <w:top w:val="nil"/>
              <w:left w:val="nil"/>
              <w:bottom w:val="nil"/>
              <w:right w:val="nil"/>
            </w:tcBorders>
            <w:shd w:val="clear" w:color="auto" w:fill="auto"/>
            <w:noWrap/>
            <w:vAlign w:val="bottom"/>
            <w:hideMark/>
          </w:tcPr>
          <w:p w14:paraId="4D4D51AB" w14:textId="77777777" w:rsidR="00B9311E" w:rsidRPr="00BD77D8" w:rsidRDefault="00B9311E" w:rsidP="00B9311E">
            <w:pPr>
              <w:spacing w:after="0" w:line="240" w:lineRule="auto"/>
              <w:jc w:val="right"/>
              <w:rPr>
                <w:sz w:val="16"/>
                <w:szCs w:val="16"/>
              </w:rPr>
            </w:pPr>
          </w:p>
        </w:tc>
        <w:tc>
          <w:tcPr>
            <w:tcW w:w="994" w:type="dxa"/>
            <w:tcBorders>
              <w:top w:val="nil"/>
              <w:left w:val="nil"/>
              <w:bottom w:val="nil"/>
              <w:right w:val="nil"/>
            </w:tcBorders>
            <w:shd w:val="clear" w:color="auto" w:fill="auto"/>
            <w:noWrap/>
            <w:vAlign w:val="bottom"/>
            <w:hideMark/>
          </w:tcPr>
          <w:p w14:paraId="2A42E5C3" w14:textId="77777777" w:rsidR="00B9311E" w:rsidRPr="00BD77D8" w:rsidRDefault="00B9311E" w:rsidP="00B9311E">
            <w:pPr>
              <w:spacing w:after="0" w:line="240" w:lineRule="auto"/>
              <w:jc w:val="right"/>
              <w:rPr>
                <w:b/>
                <w:bCs/>
                <w:sz w:val="16"/>
                <w:szCs w:val="16"/>
              </w:rPr>
            </w:pPr>
            <w:r w:rsidRPr="00BD77D8">
              <w:rPr>
                <w:b/>
                <w:bCs/>
                <w:sz w:val="16"/>
                <w:szCs w:val="16"/>
              </w:rPr>
              <w:t>2022</w:t>
            </w:r>
          </w:p>
        </w:tc>
        <w:tc>
          <w:tcPr>
            <w:tcW w:w="991" w:type="dxa"/>
            <w:tcBorders>
              <w:top w:val="nil"/>
              <w:left w:val="nil"/>
              <w:bottom w:val="nil"/>
              <w:right w:val="nil"/>
            </w:tcBorders>
            <w:shd w:val="clear" w:color="auto" w:fill="auto"/>
            <w:noWrap/>
            <w:vAlign w:val="bottom"/>
            <w:hideMark/>
          </w:tcPr>
          <w:p w14:paraId="63753F1B" w14:textId="77777777" w:rsidR="00B9311E" w:rsidRPr="00BD77D8" w:rsidRDefault="00B9311E" w:rsidP="00B9311E">
            <w:pPr>
              <w:spacing w:after="0" w:line="240" w:lineRule="auto"/>
              <w:jc w:val="right"/>
              <w:rPr>
                <w:b/>
                <w:bCs/>
                <w:sz w:val="16"/>
                <w:szCs w:val="16"/>
              </w:rPr>
            </w:pPr>
            <w:r w:rsidRPr="00BD77D8">
              <w:rPr>
                <w:b/>
                <w:bCs/>
                <w:sz w:val="16"/>
                <w:szCs w:val="16"/>
              </w:rPr>
              <w:t>2021</w:t>
            </w:r>
          </w:p>
        </w:tc>
        <w:tc>
          <w:tcPr>
            <w:tcW w:w="854" w:type="dxa"/>
            <w:tcBorders>
              <w:top w:val="nil"/>
              <w:left w:val="nil"/>
              <w:bottom w:val="nil"/>
              <w:right w:val="nil"/>
            </w:tcBorders>
            <w:shd w:val="clear" w:color="auto" w:fill="auto"/>
            <w:noWrap/>
            <w:vAlign w:val="bottom"/>
            <w:hideMark/>
          </w:tcPr>
          <w:p w14:paraId="2402E3C6" w14:textId="77777777" w:rsidR="00B9311E" w:rsidRPr="00BD77D8" w:rsidRDefault="00B9311E" w:rsidP="00B9311E">
            <w:pPr>
              <w:spacing w:after="0" w:line="240" w:lineRule="auto"/>
              <w:jc w:val="right"/>
              <w:rPr>
                <w:b/>
                <w:bCs/>
                <w:sz w:val="16"/>
                <w:szCs w:val="16"/>
              </w:rPr>
            </w:pPr>
            <w:r w:rsidRPr="00BD77D8">
              <w:rPr>
                <w:b/>
                <w:bCs/>
                <w:sz w:val="16"/>
                <w:szCs w:val="16"/>
              </w:rPr>
              <w:t>2022</w:t>
            </w:r>
          </w:p>
        </w:tc>
        <w:tc>
          <w:tcPr>
            <w:tcW w:w="994" w:type="dxa"/>
            <w:tcBorders>
              <w:top w:val="nil"/>
              <w:left w:val="nil"/>
              <w:bottom w:val="nil"/>
              <w:right w:val="nil"/>
            </w:tcBorders>
            <w:shd w:val="clear" w:color="auto" w:fill="auto"/>
            <w:noWrap/>
            <w:vAlign w:val="bottom"/>
            <w:hideMark/>
          </w:tcPr>
          <w:p w14:paraId="1DE8EB2A" w14:textId="77777777" w:rsidR="00B9311E" w:rsidRPr="00BD77D8" w:rsidRDefault="00B9311E" w:rsidP="00B9311E">
            <w:pPr>
              <w:spacing w:after="0" w:line="240" w:lineRule="auto"/>
              <w:jc w:val="right"/>
              <w:rPr>
                <w:b/>
                <w:bCs/>
                <w:sz w:val="16"/>
                <w:szCs w:val="16"/>
              </w:rPr>
            </w:pPr>
            <w:r w:rsidRPr="00BD77D8">
              <w:rPr>
                <w:b/>
                <w:bCs/>
                <w:sz w:val="16"/>
                <w:szCs w:val="16"/>
              </w:rPr>
              <w:t>2021</w:t>
            </w:r>
          </w:p>
        </w:tc>
        <w:tc>
          <w:tcPr>
            <w:tcW w:w="1129" w:type="dxa"/>
            <w:tcBorders>
              <w:top w:val="nil"/>
              <w:left w:val="nil"/>
              <w:bottom w:val="nil"/>
              <w:right w:val="nil"/>
            </w:tcBorders>
            <w:shd w:val="clear" w:color="auto" w:fill="auto"/>
            <w:noWrap/>
            <w:vAlign w:val="bottom"/>
            <w:hideMark/>
          </w:tcPr>
          <w:p w14:paraId="0B9261A2" w14:textId="77777777" w:rsidR="00B9311E" w:rsidRPr="00BD77D8" w:rsidRDefault="00B9311E" w:rsidP="00B9311E">
            <w:pPr>
              <w:spacing w:after="0" w:line="240" w:lineRule="auto"/>
              <w:jc w:val="right"/>
              <w:rPr>
                <w:b/>
                <w:bCs/>
                <w:sz w:val="16"/>
                <w:szCs w:val="16"/>
              </w:rPr>
            </w:pPr>
            <w:r w:rsidRPr="00BD77D8">
              <w:rPr>
                <w:b/>
                <w:bCs/>
                <w:sz w:val="16"/>
                <w:szCs w:val="16"/>
              </w:rPr>
              <w:t>2021</w:t>
            </w:r>
          </w:p>
        </w:tc>
        <w:tc>
          <w:tcPr>
            <w:tcW w:w="1130" w:type="dxa"/>
            <w:tcBorders>
              <w:top w:val="nil"/>
              <w:left w:val="nil"/>
              <w:bottom w:val="nil"/>
              <w:right w:val="nil"/>
            </w:tcBorders>
            <w:shd w:val="clear" w:color="auto" w:fill="auto"/>
            <w:noWrap/>
            <w:vAlign w:val="bottom"/>
            <w:hideMark/>
          </w:tcPr>
          <w:p w14:paraId="09B8403F" w14:textId="77777777" w:rsidR="00B9311E" w:rsidRPr="00BD77D8" w:rsidRDefault="00B9311E" w:rsidP="00B9311E">
            <w:pPr>
              <w:spacing w:after="0" w:line="240" w:lineRule="auto"/>
              <w:jc w:val="right"/>
              <w:rPr>
                <w:b/>
                <w:bCs/>
                <w:sz w:val="16"/>
                <w:szCs w:val="16"/>
              </w:rPr>
            </w:pPr>
            <w:r w:rsidRPr="00BD77D8">
              <w:rPr>
                <w:b/>
                <w:bCs/>
                <w:sz w:val="16"/>
                <w:szCs w:val="16"/>
              </w:rPr>
              <w:t>2022</w:t>
            </w:r>
          </w:p>
        </w:tc>
        <w:tc>
          <w:tcPr>
            <w:tcW w:w="1263" w:type="dxa"/>
            <w:tcBorders>
              <w:top w:val="nil"/>
              <w:left w:val="nil"/>
              <w:bottom w:val="nil"/>
              <w:right w:val="nil"/>
            </w:tcBorders>
            <w:shd w:val="clear" w:color="auto" w:fill="auto"/>
            <w:noWrap/>
            <w:vAlign w:val="bottom"/>
            <w:hideMark/>
          </w:tcPr>
          <w:p w14:paraId="7C8573CB" w14:textId="77777777" w:rsidR="00B9311E" w:rsidRPr="00BD77D8" w:rsidRDefault="00B9311E" w:rsidP="00B9311E">
            <w:pPr>
              <w:spacing w:after="0" w:line="240" w:lineRule="auto"/>
              <w:jc w:val="right"/>
              <w:rPr>
                <w:b/>
                <w:bCs/>
                <w:sz w:val="16"/>
                <w:szCs w:val="16"/>
              </w:rPr>
            </w:pPr>
            <w:r w:rsidRPr="00BD77D8">
              <w:rPr>
                <w:b/>
                <w:bCs/>
                <w:sz w:val="16"/>
                <w:szCs w:val="16"/>
              </w:rPr>
              <w:t>2021</w:t>
            </w:r>
          </w:p>
        </w:tc>
        <w:tc>
          <w:tcPr>
            <w:tcW w:w="1134" w:type="dxa"/>
            <w:tcBorders>
              <w:top w:val="nil"/>
              <w:left w:val="nil"/>
              <w:bottom w:val="nil"/>
              <w:right w:val="nil"/>
            </w:tcBorders>
            <w:shd w:val="clear" w:color="auto" w:fill="auto"/>
            <w:noWrap/>
            <w:vAlign w:val="bottom"/>
            <w:hideMark/>
          </w:tcPr>
          <w:p w14:paraId="26B83AD1" w14:textId="77777777" w:rsidR="00B9311E" w:rsidRPr="00BD77D8" w:rsidRDefault="00B9311E" w:rsidP="00B9311E">
            <w:pPr>
              <w:spacing w:after="0" w:line="240" w:lineRule="auto"/>
              <w:jc w:val="right"/>
              <w:rPr>
                <w:b/>
                <w:bCs/>
                <w:sz w:val="16"/>
                <w:szCs w:val="16"/>
              </w:rPr>
            </w:pPr>
            <w:r w:rsidRPr="00BD77D8">
              <w:rPr>
                <w:b/>
                <w:bCs/>
                <w:sz w:val="16"/>
                <w:szCs w:val="16"/>
              </w:rPr>
              <w:t>2022</w:t>
            </w:r>
          </w:p>
        </w:tc>
        <w:tc>
          <w:tcPr>
            <w:tcW w:w="1135" w:type="dxa"/>
            <w:tcBorders>
              <w:top w:val="nil"/>
              <w:left w:val="nil"/>
              <w:bottom w:val="nil"/>
              <w:right w:val="nil"/>
            </w:tcBorders>
            <w:shd w:val="clear" w:color="auto" w:fill="auto"/>
            <w:noWrap/>
            <w:vAlign w:val="bottom"/>
            <w:hideMark/>
          </w:tcPr>
          <w:p w14:paraId="04B53860" w14:textId="77777777" w:rsidR="00B9311E" w:rsidRPr="00BD77D8" w:rsidRDefault="00B9311E" w:rsidP="00B9311E">
            <w:pPr>
              <w:spacing w:after="0" w:line="240" w:lineRule="auto"/>
              <w:jc w:val="right"/>
              <w:rPr>
                <w:b/>
                <w:bCs/>
                <w:sz w:val="16"/>
                <w:szCs w:val="16"/>
              </w:rPr>
            </w:pPr>
            <w:r w:rsidRPr="00BD77D8">
              <w:rPr>
                <w:b/>
                <w:bCs/>
                <w:sz w:val="16"/>
                <w:szCs w:val="16"/>
              </w:rPr>
              <w:t>2021</w:t>
            </w:r>
          </w:p>
        </w:tc>
        <w:tc>
          <w:tcPr>
            <w:tcW w:w="1015" w:type="dxa"/>
            <w:tcBorders>
              <w:top w:val="nil"/>
              <w:left w:val="nil"/>
              <w:bottom w:val="nil"/>
              <w:right w:val="nil"/>
            </w:tcBorders>
            <w:shd w:val="clear" w:color="auto" w:fill="auto"/>
            <w:noWrap/>
            <w:vAlign w:val="bottom"/>
            <w:hideMark/>
          </w:tcPr>
          <w:p w14:paraId="37406330" w14:textId="77777777" w:rsidR="00B9311E" w:rsidRPr="00BD77D8" w:rsidRDefault="00B9311E" w:rsidP="00B9311E">
            <w:pPr>
              <w:spacing w:after="0" w:line="240" w:lineRule="auto"/>
              <w:jc w:val="right"/>
              <w:rPr>
                <w:b/>
                <w:bCs/>
                <w:sz w:val="16"/>
                <w:szCs w:val="16"/>
              </w:rPr>
            </w:pPr>
            <w:r w:rsidRPr="00BD77D8">
              <w:rPr>
                <w:b/>
                <w:bCs/>
                <w:sz w:val="16"/>
                <w:szCs w:val="16"/>
              </w:rPr>
              <w:t>2022</w:t>
            </w:r>
          </w:p>
        </w:tc>
        <w:tc>
          <w:tcPr>
            <w:tcW w:w="1070" w:type="dxa"/>
            <w:tcBorders>
              <w:top w:val="nil"/>
              <w:left w:val="nil"/>
              <w:bottom w:val="nil"/>
              <w:right w:val="nil"/>
            </w:tcBorders>
            <w:shd w:val="clear" w:color="auto" w:fill="auto"/>
            <w:noWrap/>
            <w:vAlign w:val="bottom"/>
            <w:hideMark/>
          </w:tcPr>
          <w:p w14:paraId="3C29F7A3" w14:textId="77777777" w:rsidR="00B9311E" w:rsidRPr="00BD77D8" w:rsidRDefault="00B9311E" w:rsidP="00B9311E">
            <w:pPr>
              <w:spacing w:after="0" w:line="240" w:lineRule="auto"/>
              <w:jc w:val="right"/>
              <w:rPr>
                <w:b/>
                <w:bCs/>
                <w:sz w:val="16"/>
                <w:szCs w:val="16"/>
              </w:rPr>
            </w:pPr>
            <w:r w:rsidRPr="00BD77D8">
              <w:rPr>
                <w:b/>
                <w:bCs/>
                <w:sz w:val="16"/>
                <w:szCs w:val="16"/>
              </w:rPr>
              <w:t>2021</w:t>
            </w:r>
          </w:p>
        </w:tc>
      </w:tr>
      <w:tr w:rsidR="00BD77D8" w:rsidRPr="00BD77D8" w14:paraId="4E58B6A4" w14:textId="77777777" w:rsidTr="003057FB">
        <w:trPr>
          <w:trHeight w:val="240"/>
        </w:trPr>
        <w:tc>
          <w:tcPr>
            <w:tcW w:w="3655" w:type="dxa"/>
            <w:tcBorders>
              <w:top w:val="nil"/>
              <w:left w:val="nil"/>
              <w:bottom w:val="single" w:sz="4" w:space="0" w:color="auto"/>
              <w:right w:val="nil"/>
            </w:tcBorders>
            <w:shd w:val="clear" w:color="auto" w:fill="auto"/>
            <w:noWrap/>
            <w:vAlign w:val="bottom"/>
            <w:hideMark/>
          </w:tcPr>
          <w:p w14:paraId="01690526" w14:textId="77777777" w:rsidR="00B9311E" w:rsidRPr="00BD77D8" w:rsidRDefault="00B9311E" w:rsidP="00B9311E">
            <w:pPr>
              <w:spacing w:after="0" w:line="240" w:lineRule="auto"/>
              <w:rPr>
                <w:sz w:val="16"/>
                <w:szCs w:val="16"/>
              </w:rPr>
            </w:pPr>
            <w:r w:rsidRPr="00BD77D8">
              <w:rPr>
                <w:sz w:val="16"/>
                <w:szCs w:val="16"/>
              </w:rPr>
              <w:t> </w:t>
            </w:r>
          </w:p>
        </w:tc>
        <w:tc>
          <w:tcPr>
            <w:tcW w:w="994" w:type="dxa"/>
            <w:tcBorders>
              <w:top w:val="nil"/>
              <w:left w:val="nil"/>
              <w:bottom w:val="single" w:sz="4" w:space="0" w:color="auto"/>
              <w:right w:val="nil"/>
            </w:tcBorders>
            <w:shd w:val="clear" w:color="auto" w:fill="auto"/>
            <w:noWrap/>
            <w:vAlign w:val="bottom"/>
            <w:hideMark/>
          </w:tcPr>
          <w:p w14:paraId="34F74232" w14:textId="77777777" w:rsidR="00B9311E" w:rsidRPr="00BD77D8" w:rsidRDefault="00B9311E" w:rsidP="00B9311E">
            <w:pPr>
              <w:spacing w:after="0" w:line="240" w:lineRule="auto"/>
              <w:jc w:val="right"/>
              <w:rPr>
                <w:b/>
                <w:bCs/>
                <w:sz w:val="16"/>
                <w:szCs w:val="16"/>
              </w:rPr>
            </w:pPr>
            <w:r w:rsidRPr="00BD77D8">
              <w:rPr>
                <w:b/>
                <w:bCs/>
                <w:sz w:val="16"/>
                <w:szCs w:val="16"/>
              </w:rPr>
              <w:t>$'000</w:t>
            </w:r>
          </w:p>
        </w:tc>
        <w:tc>
          <w:tcPr>
            <w:tcW w:w="991" w:type="dxa"/>
            <w:tcBorders>
              <w:top w:val="nil"/>
              <w:left w:val="nil"/>
              <w:bottom w:val="single" w:sz="4" w:space="0" w:color="auto"/>
              <w:right w:val="nil"/>
            </w:tcBorders>
            <w:shd w:val="clear" w:color="auto" w:fill="auto"/>
            <w:noWrap/>
            <w:vAlign w:val="bottom"/>
            <w:hideMark/>
          </w:tcPr>
          <w:p w14:paraId="0CB34545" w14:textId="77777777" w:rsidR="00B9311E" w:rsidRPr="00BD77D8" w:rsidRDefault="00B9311E" w:rsidP="00B9311E">
            <w:pPr>
              <w:spacing w:after="0" w:line="240" w:lineRule="auto"/>
              <w:jc w:val="right"/>
              <w:rPr>
                <w:b/>
                <w:bCs/>
                <w:sz w:val="16"/>
                <w:szCs w:val="16"/>
              </w:rPr>
            </w:pPr>
            <w:r w:rsidRPr="00BD77D8">
              <w:rPr>
                <w:b/>
                <w:bCs/>
                <w:sz w:val="16"/>
                <w:szCs w:val="16"/>
              </w:rPr>
              <w:t>$'000</w:t>
            </w:r>
          </w:p>
        </w:tc>
        <w:tc>
          <w:tcPr>
            <w:tcW w:w="854" w:type="dxa"/>
            <w:tcBorders>
              <w:top w:val="nil"/>
              <w:left w:val="nil"/>
              <w:bottom w:val="single" w:sz="4" w:space="0" w:color="auto"/>
              <w:right w:val="nil"/>
            </w:tcBorders>
            <w:shd w:val="clear" w:color="auto" w:fill="auto"/>
            <w:noWrap/>
            <w:vAlign w:val="bottom"/>
            <w:hideMark/>
          </w:tcPr>
          <w:p w14:paraId="54752385" w14:textId="77777777" w:rsidR="00B9311E" w:rsidRPr="00BD77D8" w:rsidRDefault="00B9311E" w:rsidP="00B9311E">
            <w:pPr>
              <w:spacing w:after="0" w:line="240" w:lineRule="auto"/>
              <w:jc w:val="right"/>
              <w:rPr>
                <w:b/>
                <w:bCs/>
                <w:sz w:val="16"/>
                <w:szCs w:val="16"/>
              </w:rPr>
            </w:pPr>
            <w:r w:rsidRPr="00BD77D8">
              <w:rPr>
                <w:b/>
                <w:bCs/>
                <w:sz w:val="16"/>
                <w:szCs w:val="16"/>
              </w:rPr>
              <w:t>$'000</w:t>
            </w:r>
          </w:p>
        </w:tc>
        <w:tc>
          <w:tcPr>
            <w:tcW w:w="994" w:type="dxa"/>
            <w:tcBorders>
              <w:top w:val="nil"/>
              <w:left w:val="nil"/>
              <w:bottom w:val="single" w:sz="4" w:space="0" w:color="auto"/>
              <w:right w:val="nil"/>
            </w:tcBorders>
            <w:shd w:val="clear" w:color="auto" w:fill="auto"/>
            <w:noWrap/>
            <w:vAlign w:val="bottom"/>
            <w:hideMark/>
          </w:tcPr>
          <w:p w14:paraId="2CE09765" w14:textId="77777777" w:rsidR="00B9311E" w:rsidRPr="00BD77D8" w:rsidRDefault="00B9311E" w:rsidP="00B9311E">
            <w:pPr>
              <w:spacing w:after="0" w:line="240" w:lineRule="auto"/>
              <w:jc w:val="right"/>
              <w:rPr>
                <w:b/>
                <w:bCs/>
                <w:sz w:val="16"/>
                <w:szCs w:val="16"/>
              </w:rPr>
            </w:pPr>
            <w:r w:rsidRPr="00BD77D8">
              <w:rPr>
                <w:b/>
                <w:bCs/>
                <w:sz w:val="16"/>
                <w:szCs w:val="16"/>
              </w:rPr>
              <w:t>$'000</w:t>
            </w:r>
          </w:p>
        </w:tc>
        <w:tc>
          <w:tcPr>
            <w:tcW w:w="1129" w:type="dxa"/>
            <w:tcBorders>
              <w:top w:val="nil"/>
              <w:left w:val="nil"/>
              <w:bottom w:val="single" w:sz="4" w:space="0" w:color="auto"/>
              <w:right w:val="nil"/>
            </w:tcBorders>
            <w:shd w:val="clear" w:color="auto" w:fill="auto"/>
            <w:noWrap/>
            <w:vAlign w:val="bottom"/>
            <w:hideMark/>
          </w:tcPr>
          <w:p w14:paraId="3F1CD967" w14:textId="77777777" w:rsidR="00B9311E" w:rsidRPr="00BD77D8" w:rsidRDefault="00B9311E" w:rsidP="00B9311E">
            <w:pPr>
              <w:spacing w:after="0" w:line="240" w:lineRule="auto"/>
              <w:jc w:val="right"/>
              <w:rPr>
                <w:b/>
                <w:bCs/>
                <w:sz w:val="16"/>
                <w:szCs w:val="16"/>
              </w:rPr>
            </w:pPr>
            <w:r w:rsidRPr="00BD77D8">
              <w:rPr>
                <w:b/>
                <w:bCs/>
                <w:sz w:val="16"/>
                <w:szCs w:val="16"/>
              </w:rPr>
              <w:t>$'000</w:t>
            </w:r>
          </w:p>
        </w:tc>
        <w:tc>
          <w:tcPr>
            <w:tcW w:w="1130" w:type="dxa"/>
            <w:tcBorders>
              <w:top w:val="nil"/>
              <w:left w:val="nil"/>
              <w:bottom w:val="single" w:sz="4" w:space="0" w:color="auto"/>
              <w:right w:val="nil"/>
            </w:tcBorders>
            <w:shd w:val="clear" w:color="auto" w:fill="auto"/>
            <w:noWrap/>
            <w:vAlign w:val="bottom"/>
            <w:hideMark/>
          </w:tcPr>
          <w:p w14:paraId="50CD2AD8" w14:textId="77777777" w:rsidR="00B9311E" w:rsidRPr="00BD77D8" w:rsidRDefault="00B9311E" w:rsidP="00B9311E">
            <w:pPr>
              <w:spacing w:after="0" w:line="240" w:lineRule="auto"/>
              <w:jc w:val="right"/>
              <w:rPr>
                <w:b/>
                <w:bCs/>
                <w:sz w:val="16"/>
                <w:szCs w:val="16"/>
              </w:rPr>
            </w:pPr>
            <w:r w:rsidRPr="00BD77D8">
              <w:rPr>
                <w:b/>
                <w:bCs/>
                <w:sz w:val="16"/>
                <w:szCs w:val="16"/>
              </w:rPr>
              <w:t>$'000</w:t>
            </w:r>
          </w:p>
        </w:tc>
        <w:tc>
          <w:tcPr>
            <w:tcW w:w="1263" w:type="dxa"/>
            <w:tcBorders>
              <w:top w:val="nil"/>
              <w:left w:val="nil"/>
              <w:bottom w:val="single" w:sz="4" w:space="0" w:color="auto"/>
              <w:right w:val="nil"/>
            </w:tcBorders>
            <w:shd w:val="clear" w:color="auto" w:fill="auto"/>
            <w:noWrap/>
            <w:vAlign w:val="bottom"/>
            <w:hideMark/>
          </w:tcPr>
          <w:p w14:paraId="69F185EB" w14:textId="77777777" w:rsidR="00B9311E" w:rsidRPr="00BD77D8" w:rsidRDefault="00B9311E" w:rsidP="00B9311E">
            <w:pPr>
              <w:spacing w:after="0" w:line="240" w:lineRule="auto"/>
              <w:jc w:val="right"/>
              <w:rPr>
                <w:b/>
                <w:bCs/>
                <w:sz w:val="16"/>
                <w:szCs w:val="16"/>
              </w:rPr>
            </w:pPr>
            <w:r w:rsidRPr="00BD77D8">
              <w:rPr>
                <w:b/>
                <w:bCs/>
                <w:sz w:val="16"/>
                <w:szCs w:val="16"/>
              </w:rPr>
              <w:t>$'000</w:t>
            </w:r>
          </w:p>
        </w:tc>
        <w:tc>
          <w:tcPr>
            <w:tcW w:w="1134" w:type="dxa"/>
            <w:tcBorders>
              <w:top w:val="nil"/>
              <w:left w:val="nil"/>
              <w:bottom w:val="single" w:sz="4" w:space="0" w:color="auto"/>
              <w:right w:val="nil"/>
            </w:tcBorders>
            <w:shd w:val="clear" w:color="auto" w:fill="auto"/>
            <w:noWrap/>
            <w:vAlign w:val="bottom"/>
            <w:hideMark/>
          </w:tcPr>
          <w:p w14:paraId="71AB8653" w14:textId="77777777" w:rsidR="00B9311E" w:rsidRPr="00BD77D8" w:rsidRDefault="00B9311E" w:rsidP="00B9311E">
            <w:pPr>
              <w:spacing w:after="0" w:line="240" w:lineRule="auto"/>
              <w:jc w:val="right"/>
              <w:rPr>
                <w:b/>
                <w:bCs/>
                <w:sz w:val="16"/>
                <w:szCs w:val="16"/>
              </w:rPr>
            </w:pPr>
            <w:r w:rsidRPr="00BD77D8">
              <w:rPr>
                <w:b/>
                <w:bCs/>
                <w:sz w:val="16"/>
                <w:szCs w:val="16"/>
              </w:rPr>
              <w:t>$'000</w:t>
            </w:r>
          </w:p>
        </w:tc>
        <w:tc>
          <w:tcPr>
            <w:tcW w:w="1135" w:type="dxa"/>
            <w:tcBorders>
              <w:top w:val="nil"/>
              <w:left w:val="nil"/>
              <w:bottom w:val="single" w:sz="4" w:space="0" w:color="auto"/>
              <w:right w:val="nil"/>
            </w:tcBorders>
            <w:shd w:val="clear" w:color="auto" w:fill="auto"/>
            <w:noWrap/>
            <w:vAlign w:val="bottom"/>
            <w:hideMark/>
          </w:tcPr>
          <w:p w14:paraId="5C4D04F4" w14:textId="77777777" w:rsidR="00B9311E" w:rsidRPr="00BD77D8" w:rsidRDefault="00B9311E" w:rsidP="00B9311E">
            <w:pPr>
              <w:spacing w:after="0" w:line="240" w:lineRule="auto"/>
              <w:jc w:val="right"/>
              <w:rPr>
                <w:b/>
                <w:bCs/>
                <w:sz w:val="16"/>
                <w:szCs w:val="16"/>
              </w:rPr>
            </w:pPr>
            <w:r w:rsidRPr="00BD77D8">
              <w:rPr>
                <w:b/>
                <w:bCs/>
                <w:sz w:val="16"/>
                <w:szCs w:val="16"/>
              </w:rPr>
              <w:t>$'000</w:t>
            </w:r>
          </w:p>
        </w:tc>
        <w:tc>
          <w:tcPr>
            <w:tcW w:w="1015" w:type="dxa"/>
            <w:tcBorders>
              <w:top w:val="nil"/>
              <w:left w:val="nil"/>
              <w:bottom w:val="single" w:sz="4" w:space="0" w:color="auto"/>
              <w:right w:val="nil"/>
            </w:tcBorders>
            <w:shd w:val="clear" w:color="auto" w:fill="auto"/>
            <w:noWrap/>
            <w:vAlign w:val="bottom"/>
            <w:hideMark/>
          </w:tcPr>
          <w:p w14:paraId="11C3E693" w14:textId="77777777" w:rsidR="00B9311E" w:rsidRPr="00BD77D8" w:rsidRDefault="00B9311E" w:rsidP="00B9311E">
            <w:pPr>
              <w:spacing w:after="0" w:line="240" w:lineRule="auto"/>
              <w:jc w:val="right"/>
              <w:rPr>
                <w:b/>
                <w:bCs/>
                <w:sz w:val="16"/>
                <w:szCs w:val="16"/>
              </w:rPr>
            </w:pPr>
            <w:r w:rsidRPr="00BD77D8">
              <w:rPr>
                <w:b/>
                <w:bCs/>
                <w:sz w:val="16"/>
                <w:szCs w:val="16"/>
              </w:rPr>
              <w:t>$'000</w:t>
            </w:r>
          </w:p>
        </w:tc>
        <w:tc>
          <w:tcPr>
            <w:tcW w:w="1070" w:type="dxa"/>
            <w:tcBorders>
              <w:top w:val="nil"/>
              <w:left w:val="nil"/>
              <w:bottom w:val="single" w:sz="4" w:space="0" w:color="auto"/>
              <w:right w:val="nil"/>
            </w:tcBorders>
            <w:shd w:val="clear" w:color="auto" w:fill="auto"/>
            <w:noWrap/>
            <w:vAlign w:val="bottom"/>
            <w:hideMark/>
          </w:tcPr>
          <w:p w14:paraId="23715864" w14:textId="77777777" w:rsidR="00B9311E" w:rsidRPr="00BD77D8" w:rsidRDefault="00B9311E" w:rsidP="00B9311E">
            <w:pPr>
              <w:spacing w:after="0" w:line="240" w:lineRule="auto"/>
              <w:jc w:val="right"/>
              <w:rPr>
                <w:b/>
                <w:bCs/>
                <w:sz w:val="16"/>
                <w:szCs w:val="16"/>
              </w:rPr>
            </w:pPr>
            <w:r w:rsidRPr="00BD77D8">
              <w:rPr>
                <w:b/>
                <w:bCs/>
                <w:sz w:val="16"/>
                <w:szCs w:val="16"/>
              </w:rPr>
              <w:t>$'000</w:t>
            </w:r>
          </w:p>
        </w:tc>
      </w:tr>
      <w:tr w:rsidR="00BD77D8" w:rsidRPr="00BD77D8" w14:paraId="118E9BC8" w14:textId="77777777" w:rsidTr="003057FB">
        <w:trPr>
          <w:trHeight w:val="240"/>
        </w:trPr>
        <w:tc>
          <w:tcPr>
            <w:tcW w:w="3655" w:type="dxa"/>
            <w:tcBorders>
              <w:top w:val="nil"/>
              <w:left w:val="nil"/>
              <w:bottom w:val="nil"/>
              <w:right w:val="nil"/>
            </w:tcBorders>
            <w:shd w:val="clear" w:color="auto" w:fill="auto"/>
            <w:noWrap/>
            <w:vAlign w:val="bottom"/>
            <w:hideMark/>
          </w:tcPr>
          <w:p w14:paraId="3C6381E7" w14:textId="77777777" w:rsidR="00B9311E" w:rsidRPr="00BD77D8" w:rsidRDefault="00B9311E" w:rsidP="00B9311E">
            <w:pPr>
              <w:spacing w:after="0" w:line="240" w:lineRule="auto"/>
              <w:jc w:val="right"/>
              <w:rPr>
                <w:sz w:val="16"/>
                <w:szCs w:val="16"/>
              </w:rPr>
            </w:pPr>
          </w:p>
        </w:tc>
        <w:tc>
          <w:tcPr>
            <w:tcW w:w="994" w:type="dxa"/>
            <w:tcBorders>
              <w:top w:val="nil"/>
              <w:left w:val="nil"/>
              <w:bottom w:val="nil"/>
              <w:right w:val="nil"/>
            </w:tcBorders>
            <w:shd w:val="clear" w:color="auto" w:fill="auto"/>
            <w:noWrap/>
            <w:vAlign w:val="bottom"/>
            <w:hideMark/>
          </w:tcPr>
          <w:p w14:paraId="507B49F7" w14:textId="77777777" w:rsidR="00B9311E" w:rsidRPr="00BD77D8" w:rsidRDefault="00B9311E" w:rsidP="00B9311E">
            <w:pPr>
              <w:spacing w:after="0" w:line="240" w:lineRule="auto"/>
              <w:rPr>
                <w:rFonts w:ascii="Times New Roman" w:hAnsi="Times New Roman" w:cs="Times New Roman"/>
                <w:sz w:val="20"/>
                <w:szCs w:val="20"/>
              </w:rPr>
            </w:pPr>
          </w:p>
        </w:tc>
        <w:tc>
          <w:tcPr>
            <w:tcW w:w="991" w:type="dxa"/>
            <w:tcBorders>
              <w:top w:val="nil"/>
              <w:left w:val="nil"/>
              <w:bottom w:val="nil"/>
              <w:right w:val="nil"/>
            </w:tcBorders>
            <w:shd w:val="clear" w:color="auto" w:fill="auto"/>
            <w:noWrap/>
            <w:vAlign w:val="bottom"/>
            <w:hideMark/>
          </w:tcPr>
          <w:p w14:paraId="24D17AC6"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135FC2F1"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5BC65631"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62E569F2"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130" w:type="dxa"/>
            <w:tcBorders>
              <w:top w:val="nil"/>
              <w:left w:val="nil"/>
              <w:bottom w:val="nil"/>
              <w:right w:val="nil"/>
            </w:tcBorders>
            <w:shd w:val="clear" w:color="auto" w:fill="auto"/>
            <w:noWrap/>
            <w:vAlign w:val="bottom"/>
            <w:hideMark/>
          </w:tcPr>
          <w:p w14:paraId="161E4215"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21D9D8F4"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3D64BA65"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135" w:type="dxa"/>
            <w:tcBorders>
              <w:top w:val="nil"/>
              <w:left w:val="nil"/>
              <w:bottom w:val="nil"/>
              <w:right w:val="nil"/>
            </w:tcBorders>
            <w:shd w:val="clear" w:color="auto" w:fill="auto"/>
            <w:noWrap/>
            <w:vAlign w:val="bottom"/>
            <w:hideMark/>
          </w:tcPr>
          <w:p w14:paraId="5C4F7F8B"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14:paraId="70DCE2F1"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14:paraId="64FB2385" w14:textId="77777777" w:rsidR="00B9311E" w:rsidRPr="00BD77D8" w:rsidRDefault="00B9311E" w:rsidP="00B9311E">
            <w:pPr>
              <w:spacing w:after="0" w:line="240" w:lineRule="auto"/>
              <w:jc w:val="center"/>
              <w:rPr>
                <w:rFonts w:ascii="Times New Roman" w:hAnsi="Times New Roman" w:cs="Times New Roman"/>
                <w:sz w:val="20"/>
                <w:szCs w:val="20"/>
              </w:rPr>
            </w:pPr>
          </w:p>
        </w:tc>
      </w:tr>
      <w:tr w:rsidR="00BD77D8" w:rsidRPr="00BD77D8" w14:paraId="03C5BA4E" w14:textId="77777777" w:rsidTr="003057FB">
        <w:trPr>
          <w:trHeight w:val="285"/>
        </w:trPr>
        <w:tc>
          <w:tcPr>
            <w:tcW w:w="3655" w:type="dxa"/>
            <w:tcBorders>
              <w:top w:val="nil"/>
              <w:left w:val="nil"/>
              <w:bottom w:val="nil"/>
              <w:right w:val="nil"/>
            </w:tcBorders>
            <w:shd w:val="clear" w:color="auto" w:fill="auto"/>
            <w:noWrap/>
            <w:vAlign w:val="bottom"/>
            <w:hideMark/>
          </w:tcPr>
          <w:p w14:paraId="26FB01CD" w14:textId="77777777" w:rsidR="00B9311E" w:rsidRPr="00BD77D8" w:rsidRDefault="00B9311E" w:rsidP="00B9311E">
            <w:pPr>
              <w:spacing w:after="0" w:line="240" w:lineRule="auto"/>
              <w:rPr>
                <w:b/>
                <w:bCs/>
                <w:sz w:val="16"/>
                <w:szCs w:val="16"/>
              </w:rPr>
            </w:pPr>
            <w:r w:rsidRPr="00BD77D8">
              <w:rPr>
                <w:b/>
                <w:bCs/>
                <w:sz w:val="16"/>
                <w:szCs w:val="16"/>
              </w:rPr>
              <w:t xml:space="preserve"> Income from Continuing Operations  </w:t>
            </w:r>
          </w:p>
        </w:tc>
        <w:tc>
          <w:tcPr>
            <w:tcW w:w="994" w:type="dxa"/>
            <w:tcBorders>
              <w:top w:val="nil"/>
              <w:left w:val="nil"/>
              <w:bottom w:val="nil"/>
              <w:right w:val="nil"/>
            </w:tcBorders>
            <w:shd w:val="clear" w:color="auto" w:fill="auto"/>
            <w:noWrap/>
            <w:vAlign w:val="bottom"/>
            <w:hideMark/>
          </w:tcPr>
          <w:p w14:paraId="0680ED84" w14:textId="77777777" w:rsidR="00B9311E" w:rsidRPr="00BD77D8" w:rsidRDefault="00B9311E" w:rsidP="00B9311E">
            <w:pPr>
              <w:spacing w:after="0" w:line="240" w:lineRule="auto"/>
              <w:rPr>
                <w:b/>
                <w:bCs/>
                <w:sz w:val="16"/>
                <w:szCs w:val="16"/>
              </w:rPr>
            </w:pPr>
          </w:p>
        </w:tc>
        <w:tc>
          <w:tcPr>
            <w:tcW w:w="991" w:type="dxa"/>
            <w:tcBorders>
              <w:top w:val="nil"/>
              <w:left w:val="nil"/>
              <w:bottom w:val="nil"/>
              <w:right w:val="nil"/>
            </w:tcBorders>
            <w:shd w:val="clear" w:color="auto" w:fill="auto"/>
            <w:noWrap/>
            <w:vAlign w:val="bottom"/>
            <w:hideMark/>
          </w:tcPr>
          <w:p w14:paraId="1B24A4D7"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854" w:type="dxa"/>
            <w:tcBorders>
              <w:top w:val="nil"/>
              <w:left w:val="nil"/>
              <w:bottom w:val="nil"/>
              <w:right w:val="nil"/>
            </w:tcBorders>
            <w:shd w:val="clear" w:color="auto" w:fill="auto"/>
            <w:noWrap/>
            <w:vAlign w:val="bottom"/>
            <w:hideMark/>
          </w:tcPr>
          <w:p w14:paraId="67D4954F"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994" w:type="dxa"/>
            <w:tcBorders>
              <w:top w:val="nil"/>
              <w:left w:val="nil"/>
              <w:bottom w:val="nil"/>
              <w:right w:val="nil"/>
            </w:tcBorders>
            <w:shd w:val="clear" w:color="auto" w:fill="auto"/>
            <w:noWrap/>
            <w:vAlign w:val="bottom"/>
            <w:hideMark/>
          </w:tcPr>
          <w:p w14:paraId="6170E34B"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129" w:type="dxa"/>
            <w:tcBorders>
              <w:top w:val="nil"/>
              <w:left w:val="nil"/>
              <w:bottom w:val="nil"/>
              <w:right w:val="nil"/>
            </w:tcBorders>
            <w:shd w:val="clear" w:color="auto" w:fill="auto"/>
            <w:noWrap/>
            <w:vAlign w:val="bottom"/>
            <w:hideMark/>
          </w:tcPr>
          <w:p w14:paraId="42CCAE28"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130" w:type="dxa"/>
            <w:tcBorders>
              <w:top w:val="nil"/>
              <w:left w:val="nil"/>
              <w:bottom w:val="nil"/>
              <w:right w:val="nil"/>
            </w:tcBorders>
            <w:shd w:val="clear" w:color="auto" w:fill="auto"/>
            <w:noWrap/>
            <w:vAlign w:val="bottom"/>
            <w:hideMark/>
          </w:tcPr>
          <w:p w14:paraId="4141FC50"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63" w:type="dxa"/>
            <w:tcBorders>
              <w:top w:val="nil"/>
              <w:left w:val="nil"/>
              <w:bottom w:val="nil"/>
              <w:right w:val="nil"/>
            </w:tcBorders>
            <w:shd w:val="clear" w:color="auto" w:fill="auto"/>
            <w:noWrap/>
            <w:vAlign w:val="bottom"/>
            <w:hideMark/>
          </w:tcPr>
          <w:p w14:paraId="1B79635B"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134" w:type="dxa"/>
            <w:tcBorders>
              <w:top w:val="nil"/>
              <w:left w:val="nil"/>
              <w:bottom w:val="nil"/>
              <w:right w:val="nil"/>
            </w:tcBorders>
            <w:shd w:val="clear" w:color="auto" w:fill="auto"/>
            <w:noWrap/>
            <w:vAlign w:val="bottom"/>
            <w:hideMark/>
          </w:tcPr>
          <w:p w14:paraId="1AE548D1"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135" w:type="dxa"/>
            <w:tcBorders>
              <w:top w:val="nil"/>
              <w:left w:val="nil"/>
              <w:bottom w:val="nil"/>
              <w:right w:val="nil"/>
            </w:tcBorders>
            <w:shd w:val="clear" w:color="auto" w:fill="auto"/>
            <w:noWrap/>
            <w:vAlign w:val="bottom"/>
            <w:hideMark/>
          </w:tcPr>
          <w:p w14:paraId="69273A96"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015" w:type="dxa"/>
            <w:tcBorders>
              <w:top w:val="nil"/>
              <w:left w:val="nil"/>
              <w:bottom w:val="nil"/>
              <w:right w:val="nil"/>
            </w:tcBorders>
            <w:shd w:val="clear" w:color="auto" w:fill="auto"/>
            <w:noWrap/>
            <w:vAlign w:val="bottom"/>
            <w:hideMark/>
          </w:tcPr>
          <w:p w14:paraId="20FF8355"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070" w:type="dxa"/>
            <w:tcBorders>
              <w:top w:val="nil"/>
              <w:left w:val="nil"/>
              <w:bottom w:val="nil"/>
              <w:right w:val="nil"/>
            </w:tcBorders>
            <w:shd w:val="clear" w:color="auto" w:fill="auto"/>
            <w:noWrap/>
            <w:vAlign w:val="bottom"/>
            <w:hideMark/>
          </w:tcPr>
          <w:p w14:paraId="055E0A81" w14:textId="77777777" w:rsidR="00B9311E" w:rsidRPr="00BD77D8" w:rsidRDefault="00B9311E" w:rsidP="00B9311E">
            <w:pPr>
              <w:spacing w:after="0" w:line="240" w:lineRule="auto"/>
              <w:jc w:val="center"/>
              <w:rPr>
                <w:rFonts w:ascii="Times New Roman" w:hAnsi="Times New Roman" w:cs="Times New Roman"/>
                <w:b/>
                <w:bCs/>
                <w:sz w:val="20"/>
                <w:szCs w:val="20"/>
              </w:rPr>
            </w:pPr>
          </w:p>
        </w:tc>
      </w:tr>
      <w:tr w:rsidR="00BD77D8" w:rsidRPr="00BD77D8" w14:paraId="3618E64A" w14:textId="77777777" w:rsidTr="003057FB">
        <w:trPr>
          <w:trHeight w:val="285"/>
        </w:trPr>
        <w:tc>
          <w:tcPr>
            <w:tcW w:w="3655" w:type="dxa"/>
            <w:tcBorders>
              <w:top w:val="nil"/>
              <w:left w:val="nil"/>
              <w:bottom w:val="nil"/>
              <w:right w:val="nil"/>
            </w:tcBorders>
            <w:shd w:val="clear" w:color="auto" w:fill="auto"/>
            <w:noWrap/>
            <w:vAlign w:val="bottom"/>
            <w:hideMark/>
          </w:tcPr>
          <w:p w14:paraId="5388E1BB"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Appropriation revenue  </w:t>
            </w:r>
          </w:p>
        </w:tc>
        <w:tc>
          <w:tcPr>
            <w:tcW w:w="994" w:type="dxa"/>
            <w:tcBorders>
              <w:top w:val="nil"/>
              <w:left w:val="nil"/>
              <w:bottom w:val="nil"/>
              <w:right w:val="nil"/>
            </w:tcBorders>
            <w:shd w:val="clear" w:color="auto" w:fill="auto"/>
            <w:vAlign w:val="bottom"/>
            <w:hideMark/>
          </w:tcPr>
          <w:p w14:paraId="4548A0E5" w14:textId="77777777" w:rsidR="00B9311E" w:rsidRPr="00BD77D8" w:rsidRDefault="00B9311E" w:rsidP="00B9311E">
            <w:pPr>
              <w:spacing w:after="0" w:line="240" w:lineRule="auto"/>
              <w:jc w:val="right"/>
              <w:rPr>
                <w:b/>
                <w:bCs/>
                <w:sz w:val="16"/>
                <w:szCs w:val="16"/>
              </w:rPr>
            </w:pPr>
            <w:r w:rsidRPr="00BD77D8">
              <w:rPr>
                <w:b/>
                <w:bCs/>
                <w:sz w:val="16"/>
                <w:szCs w:val="16"/>
              </w:rPr>
              <w:t xml:space="preserve">     209,529 </w:t>
            </w:r>
          </w:p>
        </w:tc>
        <w:tc>
          <w:tcPr>
            <w:tcW w:w="991" w:type="dxa"/>
            <w:tcBorders>
              <w:top w:val="nil"/>
              <w:left w:val="nil"/>
              <w:bottom w:val="nil"/>
              <w:right w:val="nil"/>
            </w:tcBorders>
            <w:shd w:val="clear" w:color="auto" w:fill="auto"/>
            <w:vAlign w:val="bottom"/>
            <w:hideMark/>
          </w:tcPr>
          <w:p w14:paraId="0E51427E" w14:textId="77777777" w:rsidR="00B9311E" w:rsidRPr="00BD77D8" w:rsidRDefault="00B9311E" w:rsidP="00B9311E">
            <w:pPr>
              <w:spacing w:after="0" w:line="240" w:lineRule="auto"/>
              <w:jc w:val="right"/>
              <w:rPr>
                <w:sz w:val="16"/>
                <w:szCs w:val="16"/>
              </w:rPr>
            </w:pPr>
            <w:r w:rsidRPr="00BD77D8">
              <w:rPr>
                <w:sz w:val="16"/>
                <w:szCs w:val="16"/>
              </w:rPr>
              <w:t xml:space="preserve">      211,125 </w:t>
            </w:r>
          </w:p>
        </w:tc>
        <w:tc>
          <w:tcPr>
            <w:tcW w:w="854" w:type="dxa"/>
            <w:tcBorders>
              <w:top w:val="nil"/>
              <w:left w:val="nil"/>
              <w:bottom w:val="nil"/>
              <w:right w:val="nil"/>
            </w:tcBorders>
            <w:shd w:val="clear" w:color="auto" w:fill="auto"/>
            <w:vAlign w:val="bottom"/>
            <w:hideMark/>
          </w:tcPr>
          <w:p w14:paraId="5E709252" w14:textId="77777777" w:rsidR="00B9311E" w:rsidRPr="00BD77D8" w:rsidRDefault="00B9311E" w:rsidP="00B9311E">
            <w:pPr>
              <w:spacing w:after="0" w:line="240" w:lineRule="auto"/>
              <w:jc w:val="right"/>
              <w:rPr>
                <w:b/>
                <w:bCs/>
                <w:sz w:val="16"/>
                <w:szCs w:val="16"/>
              </w:rPr>
            </w:pPr>
            <w:r w:rsidRPr="00BD77D8">
              <w:rPr>
                <w:b/>
                <w:bCs/>
                <w:sz w:val="16"/>
                <w:szCs w:val="16"/>
              </w:rPr>
              <w:t xml:space="preserve">       11,244 </w:t>
            </w:r>
          </w:p>
        </w:tc>
        <w:tc>
          <w:tcPr>
            <w:tcW w:w="994" w:type="dxa"/>
            <w:tcBorders>
              <w:top w:val="nil"/>
              <w:left w:val="nil"/>
              <w:bottom w:val="nil"/>
              <w:right w:val="nil"/>
            </w:tcBorders>
            <w:shd w:val="clear" w:color="auto" w:fill="auto"/>
            <w:vAlign w:val="bottom"/>
            <w:hideMark/>
          </w:tcPr>
          <w:p w14:paraId="1FAA369F" w14:textId="77777777" w:rsidR="00B9311E" w:rsidRPr="00BD77D8" w:rsidRDefault="00B9311E" w:rsidP="00B9311E">
            <w:pPr>
              <w:spacing w:after="0" w:line="240" w:lineRule="auto"/>
              <w:jc w:val="right"/>
              <w:rPr>
                <w:sz w:val="16"/>
                <w:szCs w:val="16"/>
              </w:rPr>
            </w:pPr>
            <w:r w:rsidRPr="00BD77D8">
              <w:rPr>
                <w:sz w:val="16"/>
                <w:szCs w:val="16"/>
              </w:rPr>
              <w:t xml:space="preserve">         11,701 </w:t>
            </w:r>
          </w:p>
        </w:tc>
        <w:tc>
          <w:tcPr>
            <w:tcW w:w="1129" w:type="dxa"/>
            <w:tcBorders>
              <w:top w:val="nil"/>
              <w:left w:val="nil"/>
              <w:bottom w:val="nil"/>
              <w:right w:val="nil"/>
            </w:tcBorders>
            <w:shd w:val="clear" w:color="auto" w:fill="auto"/>
            <w:vAlign w:val="bottom"/>
            <w:hideMark/>
          </w:tcPr>
          <w:p w14:paraId="5FFE3BA4" w14:textId="77777777" w:rsidR="00B9311E" w:rsidRPr="00BD77D8" w:rsidRDefault="00B9311E" w:rsidP="00B9311E">
            <w:pPr>
              <w:spacing w:after="0" w:line="240" w:lineRule="auto"/>
              <w:jc w:val="right"/>
              <w:rPr>
                <w:sz w:val="16"/>
                <w:szCs w:val="16"/>
              </w:rPr>
            </w:pPr>
            <w:r w:rsidRPr="00BD77D8">
              <w:rPr>
                <w:sz w:val="16"/>
                <w:szCs w:val="16"/>
              </w:rPr>
              <w:t xml:space="preserve">          64,832 </w:t>
            </w:r>
          </w:p>
        </w:tc>
        <w:tc>
          <w:tcPr>
            <w:tcW w:w="1130" w:type="dxa"/>
            <w:tcBorders>
              <w:top w:val="nil"/>
              <w:left w:val="nil"/>
              <w:bottom w:val="nil"/>
              <w:right w:val="nil"/>
            </w:tcBorders>
            <w:shd w:val="clear" w:color="auto" w:fill="auto"/>
            <w:vAlign w:val="bottom"/>
            <w:hideMark/>
          </w:tcPr>
          <w:p w14:paraId="3742E02A" w14:textId="77777777" w:rsidR="00B9311E" w:rsidRPr="00BD77D8" w:rsidRDefault="00B9311E" w:rsidP="00B9311E">
            <w:pPr>
              <w:spacing w:after="0" w:line="240" w:lineRule="auto"/>
              <w:jc w:val="right"/>
              <w:rPr>
                <w:b/>
                <w:bCs/>
                <w:sz w:val="16"/>
                <w:szCs w:val="16"/>
              </w:rPr>
            </w:pPr>
            <w:r w:rsidRPr="00BD77D8">
              <w:rPr>
                <w:b/>
                <w:bCs/>
                <w:sz w:val="16"/>
                <w:szCs w:val="16"/>
              </w:rPr>
              <w:t xml:space="preserve">           28,031 </w:t>
            </w:r>
          </w:p>
        </w:tc>
        <w:tc>
          <w:tcPr>
            <w:tcW w:w="1263" w:type="dxa"/>
            <w:tcBorders>
              <w:top w:val="nil"/>
              <w:left w:val="nil"/>
              <w:bottom w:val="nil"/>
              <w:right w:val="nil"/>
            </w:tcBorders>
            <w:shd w:val="clear" w:color="auto" w:fill="auto"/>
            <w:vAlign w:val="bottom"/>
            <w:hideMark/>
          </w:tcPr>
          <w:p w14:paraId="1B9E8014" w14:textId="77777777" w:rsidR="00B9311E" w:rsidRPr="00BD77D8" w:rsidRDefault="00B9311E" w:rsidP="00B9311E">
            <w:pPr>
              <w:spacing w:after="0" w:line="240" w:lineRule="auto"/>
              <w:jc w:val="right"/>
              <w:rPr>
                <w:sz w:val="16"/>
                <w:szCs w:val="16"/>
              </w:rPr>
            </w:pPr>
            <w:r w:rsidRPr="00BD77D8">
              <w:rPr>
                <w:sz w:val="16"/>
                <w:szCs w:val="16"/>
              </w:rPr>
              <w:t xml:space="preserve">            16,236 </w:t>
            </w:r>
          </w:p>
        </w:tc>
        <w:tc>
          <w:tcPr>
            <w:tcW w:w="1134" w:type="dxa"/>
            <w:tcBorders>
              <w:top w:val="nil"/>
              <w:left w:val="nil"/>
              <w:bottom w:val="nil"/>
              <w:right w:val="nil"/>
            </w:tcBorders>
            <w:shd w:val="clear" w:color="auto" w:fill="auto"/>
            <w:vAlign w:val="bottom"/>
            <w:hideMark/>
          </w:tcPr>
          <w:p w14:paraId="2AA44A6C" w14:textId="77777777" w:rsidR="00B9311E" w:rsidRPr="00BD77D8" w:rsidRDefault="00B9311E" w:rsidP="00B9311E">
            <w:pPr>
              <w:spacing w:after="0" w:line="240" w:lineRule="auto"/>
              <w:jc w:val="right"/>
              <w:rPr>
                <w:b/>
                <w:bCs/>
                <w:sz w:val="16"/>
                <w:szCs w:val="16"/>
              </w:rPr>
            </w:pPr>
            <w:r w:rsidRPr="00BD77D8">
              <w:rPr>
                <w:b/>
                <w:bCs/>
                <w:sz w:val="16"/>
                <w:szCs w:val="16"/>
              </w:rPr>
              <w:t xml:space="preserve">           34,164 </w:t>
            </w:r>
          </w:p>
        </w:tc>
        <w:tc>
          <w:tcPr>
            <w:tcW w:w="1135" w:type="dxa"/>
            <w:tcBorders>
              <w:top w:val="nil"/>
              <w:left w:val="nil"/>
              <w:bottom w:val="nil"/>
              <w:right w:val="nil"/>
            </w:tcBorders>
            <w:shd w:val="clear" w:color="auto" w:fill="auto"/>
            <w:vAlign w:val="bottom"/>
            <w:hideMark/>
          </w:tcPr>
          <w:p w14:paraId="7BC7CBD3" w14:textId="77777777" w:rsidR="00B9311E" w:rsidRPr="00BD77D8" w:rsidRDefault="00B9311E" w:rsidP="00B9311E">
            <w:pPr>
              <w:spacing w:after="0" w:line="240" w:lineRule="auto"/>
              <w:jc w:val="right"/>
              <w:rPr>
                <w:sz w:val="16"/>
                <w:szCs w:val="16"/>
              </w:rPr>
            </w:pPr>
            <w:r w:rsidRPr="00BD77D8">
              <w:rPr>
                <w:sz w:val="16"/>
                <w:szCs w:val="16"/>
              </w:rPr>
              <w:t xml:space="preserve">            16,842 </w:t>
            </w:r>
          </w:p>
        </w:tc>
        <w:tc>
          <w:tcPr>
            <w:tcW w:w="1015" w:type="dxa"/>
            <w:tcBorders>
              <w:top w:val="nil"/>
              <w:left w:val="nil"/>
              <w:bottom w:val="nil"/>
              <w:right w:val="nil"/>
            </w:tcBorders>
            <w:shd w:val="clear" w:color="auto" w:fill="auto"/>
            <w:vAlign w:val="bottom"/>
            <w:hideMark/>
          </w:tcPr>
          <w:p w14:paraId="3AE35F81" w14:textId="77777777" w:rsidR="00B9311E" w:rsidRPr="00BD77D8" w:rsidRDefault="00B9311E" w:rsidP="00B9311E">
            <w:pPr>
              <w:spacing w:after="0" w:line="240" w:lineRule="auto"/>
              <w:jc w:val="right"/>
              <w:rPr>
                <w:b/>
                <w:bCs/>
                <w:sz w:val="16"/>
                <w:szCs w:val="16"/>
              </w:rPr>
            </w:pPr>
            <w:r w:rsidRPr="00BD77D8">
              <w:rPr>
                <w:b/>
                <w:bCs/>
                <w:sz w:val="16"/>
                <w:szCs w:val="16"/>
              </w:rPr>
              <w:t xml:space="preserve">      282,968 </w:t>
            </w:r>
          </w:p>
        </w:tc>
        <w:tc>
          <w:tcPr>
            <w:tcW w:w="1070" w:type="dxa"/>
            <w:tcBorders>
              <w:top w:val="nil"/>
              <w:left w:val="nil"/>
              <w:bottom w:val="nil"/>
              <w:right w:val="nil"/>
            </w:tcBorders>
            <w:shd w:val="clear" w:color="auto" w:fill="auto"/>
            <w:vAlign w:val="bottom"/>
            <w:hideMark/>
          </w:tcPr>
          <w:p w14:paraId="3FD3A976" w14:textId="77777777" w:rsidR="00B9311E" w:rsidRPr="00BD77D8" w:rsidRDefault="00B9311E" w:rsidP="00B9311E">
            <w:pPr>
              <w:spacing w:after="0" w:line="240" w:lineRule="auto"/>
              <w:jc w:val="right"/>
              <w:rPr>
                <w:sz w:val="16"/>
                <w:szCs w:val="16"/>
              </w:rPr>
            </w:pPr>
            <w:r w:rsidRPr="00BD77D8">
              <w:rPr>
                <w:sz w:val="16"/>
                <w:szCs w:val="16"/>
              </w:rPr>
              <w:t xml:space="preserve">      320,736 </w:t>
            </w:r>
          </w:p>
        </w:tc>
      </w:tr>
      <w:tr w:rsidR="00BD77D8" w:rsidRPr="00BD77D8" w14:paraId="7893ABB9" w14:textId="77777777" w:rsidTr="003057FB">
        <w:trPr>
          <w:trHeight w:val="285"/>
        </w:trPr>
        <w:tc>
          <w:tcPr>
            <w:tcW w:w="3655" w:type="dxa"/>
            <w:tcBorders>
              <w:top w:val="nil"/>
              <w:left w:val="nil"/>
              <w:bottom w:val="nil"/>
              <w:right w:val="nil"/>
            </w:tcBorders>
            <w:shd w:val="clear" w:color="auto" w:fill="auto"/>
            <w:noWrap/>
            <w:vAlign w:val="bottom"/>
            <w:hideMark/>
          </w:tcPr>
          <w:p w14:paraId="7447773A"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User Charges and fees </w:t>
            </w:r>
          </w:p>
        </w:tc>
        <w:tc>
          <w:tcPr>
            <w:tcW w:w="994" w:type="dxa"/>
            <w:tcBorders>
              <w:top w:val="nil"/>
              <w:left w:val="nil"/>
              <w:bottom w:val="nil"/>
              <w:right w:val="nil"/>
            </w:tcBorders>
            <w:shd w:val="clear" w:color="auto" w:fill="auto"/>
            <w:vAlign w:val="bottom"/>
            <w:hideMark/>
          </w:tcPr>
          <w:p w14:paraId="74B5DDCF" w14:textId="77777777" w:rsidR="00B9311E" w:rsidRPr="00BD77D8" w:rsidRDefault="00B9311E" w:rsidP="00B9311E">
            <w:pPr>
              <w:spacing w:after="0" w:line="240" w:lineRule="auto"/>
              <w:jc w:val="right"/>
              <w:rPr>
                <w:b/>
                <w:bCs/>
                <w:sz w:val="16"/>
                <w:szCs w:val="16"/>
              </w:rPr>
            </w:pPr>
            <w:r w:rsidRPr="00BD77D8">
              <w:rPr>
                <w:b/>
                <w:bCs/>
                <w:sz w:val="16"/>
                <w:szCs w:val="16"/>
              </w:rPr>
              <w:t xml:space="preserve">       10,280 </w:t>
            </w:r>
          </w:p>
        </w:tc>
        <w:tc>
          <w:tcPr>
            <w:tcW w:w="991" w:type="dxa"/>
            <w:tcBorders>
              <w:top w:val="nil"/>
              <w:left w:val="nil"/>
              <w:bottom w:val="nil"/>
              <w:right w:val="nil"/>
            </w:tcBorders>
            <w:shd w:val="clear" w:color="auto" w:fill="auto"/>
            <w:vAlign w:val="bottom"/>
            <w:hideMark/>
          </w:tcPr>
          <w:p w14:paraId="000B4437" w14:textId="77777777" w:rsidR="00B9311E" w:rsidRPr="00BD77D8" w:rsidRDefault="00B9311E" w:rsidP="00B9311E">
            <w:pPr>
              <w:spacing w:after="0" w:line="240" w:lineRule="auto"/>
              <w:jc w:val="right"/>
              <w:rPr>
                <w:sz w:val="16"/>
                <w:szCs w:val="16"/>
              </w:rPr>
            </w:pPr>
            <w:r w:rsidRPr="00BD77D8">
              <w:rPr>
                <w:sz w:val="16"/>
                <w:szCs w:val="16"/>
              </w:rPr>
              <w:t xml:space="preserve">          7,826 </w:t>
            </w:r>
          </w:p>
        </w:tc>
        <w:tc>
          <w:tcPr>
            <w:tcW w:w="854" w:type="dxa"/>
            <w:tcBorders>
              <w:top w:val="nil"/>
              <w:left w:val="nil"/>
              <w:bottom w:val="nil"/>
              <w:right w:val="nil"/>
            </w:tcBorders>
            <w:shd w:val="clear" w:color="auto" w:fill="auto"/>
            <w:vAlign w:val="bottom"/>
            <w:hideMark/>
          </w:tcPr>
          <w:p w14:paraId="4B44A8C1"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994" w:type="dxa"/>
            <w:tcBorders>
              <w:top w:val="nil"/>
              <w:left w:val="nil"/>
              <w:bottom w:val="nil"/>
              <w:right w:val="nil"/>
            </w:tcBorders>
            <w:shd w:val="clear" w:color="auto" w:fill="auto"/>
            <w:vAlign w:val="bottom"/>
            <w:hideMark/>
          </w:tcPr>
          <w:p w14:paraId="240AC57D"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29" w:type="dxa"/>
            <w:tcBorders>
              <w:top w:val="nil"/>
              <w:left w:val="nil"/>
              <w:bottom w:val="nil"/>
              <w:right w:val="nil"/>
            </w:tcBorders>
            <w:shd w:val="clear" w:color="auto" w:fill="auto"/>
            <w:vAlign w:val="bottom"/>
            <w:hideMark/>
          </w:tcPr>
          <w:p w14:paraId="4C471790" w14:textId="77777777" w:rsidR="00B9311E" w:rsidRPr="00BD77D8" w:rsidRDefault="00B9311E" w:rsidP="00B9311E">
            <w:pPr>
              <w:spacing w:after="0" w:line="240" w:lineRule="auto"/>
              <w:jc w:val="right"/>
              <w:rPr>
                <w:sz w:val="16"/>
                <w:szCs w:val="16"/>
              </w:rPr>
            </w:pPr>
            <w:r w:rsidRPr="00BD77D8">
              <w:rPr>
                <w:sz w:val="16"/>
                <w:szCs w:val="16"/>
              </w:rPr>
              <w:t xml:space="preserve">            2,341 </w:t>
            </w:r>
          </w:p>
        </w:tc>
        <w:tc>
          <w:tcPr>
            <w:tcW w:w="1130" w:type="dxa"/>
            <w:tcBorders>
              <w:top w:val="nil"/>
              <w:left w:val="nil"/>
              <w:bottom w:val="nil"/>
              <w:right w:val="nil"/>
            </w:tcBorders>
            <w:shd w:val="clear" w:color="auto" w:fill="auto"/>
            <w:vAlign w:val="bottom"/>
            <w:hideMark/>
          </w:tcPr>
          <w:p w14:paraId="5E5FD045" w14:textId="77777777" w:rsidR="00B9311E" w:rsidRPr="00BD77D8" w:rsidRDefault="00B9311E" w:rsidP="00B9311E">
            <w:pPr>
              <w:spacing w:after="0" w:line="240" w:lineRule="auto"/>
              <w:jc w:val="right"/>
              <w:rPr>
                <w:b/>
                <w:bCs/>
                <w:sz w:val="16"/>
                <w:szCs w:val="16"/>
              </w:rPr>
            </w:pPr>
            <w:r w:rsidRPr="00BD77D8">
              <w:rPr>
                <w:b/>
                <w:bCs/>
                <w:sz w:val="16"/>
                <w:szCs w:val="16"/>
              </w:rPr>
              <w:t xml:space="preserve">                  17 </w:t>
            </w:r>
          </w:p>
        </w:tc>
        <w:tc>
          <w:tcPr>
            <w:tcW w:w="1263" w:type="dxa"/>
            <w:tcBorders>
              <w:top w:val="nil"/>
              <w:left w:val="nil"/>
              <w:bottom w:val="nil"/>
              <w:right w:val="nil"/>
            </w:tcBorders>
            <w:shd w:val="clear" w:color="auto" w:fill="auto"/>
            <w:vAlign w:val="bottom"/>
            <w:hideMark/>
          </w:tcPr>
          <w:p w14:paraId="1CC5C28E" w14:textId="77777777" w:rsidR="00B9311E" w:rsidRPr="00BD77D8" w:rsidRDefault="00B9311E" w:rsidP="00B9311E">
            <w:pPr>
              <w:spacing w:after="0" w:line="240" w:lineRule="auto"/>
              <w:jc w:val="right"/>
              <w:rPr>
                <w:sz w:val="16"/>
                <w:szCs w:val="16"/>
              </w:rPr>
            </w:pPr>
            <w:r w:rsidRPr="00BD77D8">
              <w:rPr>
                <w:sz w:val="16"/>
                <w:szCs w:val="16"/>
              </w:rPr>
              <w:t xml:space="preserve">                     5 </w:t>
            </w:r>
          </w:p>
        </w:tc>
        <w:tc>
          <w:tcPr>
            <w:tcW w:w="1134" w:type="dxa"/>
            <w:tcBorders>
              <w:top w:val="nil"/>
              <w:left w:val="nil"/>
              <w:bottom w:val="nil"/>
              <w:right w:val="nil"/>
            </w:tcBorders>
            <w:shd w:val="clear" w:color="auto" w:fill="auto"/>
            <w:vAlign w:val="bottom"/>
            <w:hideMark/>
          </w:tcPr>
          <w:p w14:paraId="69C5931B" w14:textId="77777777" w:rsidR="00B9311E" w:rsidRPr="00BD77D8" w:rsidRDefault="00B9311E" w:rsidP="00B9311E">
            <w:pPr>
              <w:spacing w:after="0" w:line="240" w:lineRule="auto"/>
              <w:jc w:val="right"/>
              <w:rPr>
                <w:b/>
                <w:bCs/>
                <w:sz w:val="16"/>
                <w:szCs w:val="16"/>
              </w:rPr>
            </w:pPr>
            <w:r w:rsidRPr="00BD77D8">
              <w:rPr>
                <w:b/>
                <w:bCs/>
                <w:sz w:val="16"/>
                <w:szCs w:val="16"/>
              </w:rPr>
              <w:t xml:space="preserve">                115 </w:t>
            </w:r>
          </w:p>
        </w:tc>
        <w:tc>
          <w:tcPr>
            <w:tcW w:w="1135" w:type="dxa"/>
            <w:tcBorders>
              <w:top w:val="nil"/>
              <w:left w:val="nil"/>
              <w:bottom w:val="nil"/>
              <w:right w:val="nil"/>
            </w:tcBorders>
            <w:shd w:val="clear" w:color="auto" w:fill="auto"/>
            <w:vAlign w:val="bottom"/>
            <w:hideMark/>
          </w:tcPr>
          <w:p w14:paraId="5BA964A0" w14:textId="77777777" w:rsidR="00B9311E" w:rsidRPr="00BD77D8" w:rsidRDefault="00B9311E" w:rsidP="00B9311E">
            <w:pPr>
              <w:spacing w:after="0" w:line="240" w:lineRule="auto"/>
              <w:jc w:val="right"/>
              <w:rPr>
                <w:sz w:val="16"/>
                <w:szCs w:val="16"/>
              </w:rPr>
            </w:pPr>
            <w:r w:rsidRPr="00BD77D8">
              <w:rPr>
                <w:sz w:val="16"/>
                <w:szCs w:val="16"/>
              </w:rPr>
              <w:t xml:space="preserve">                     6 </w:t>
            </w:r>
          </w:p>
        </w:tc>
        <w:tc>
          <w:tcPr>
            <w:tcW w:w="1015" w:type="dxa"/>
            <w:tcBorders>
              <w:top w:val="nil"/>
              <w:left w:val="nil"/>
              <w:bottom w:val="nil"/>
              <w:right w:val="nil"/>
            </w:tcBorders>
            <w:shd w:val="clear" w:color="auto" w:fill="auto"/>
            <w:vAlign w:val="bottom"/>
            <w:hideMark/>
          </w:tcPr>
          <w:p w14:paraId="0C862499" w14:textId="77777777" w:rsidR="00B9311E" w:rsidRPr="00BD77D8" w:rsidRDefault="00B9311E" w:rsidP="00B9311E">
            <w:pPr>
              <w:spacing w:after="0" w:line="240" w:lineRule="auto"/>
              <w:jc w:val="right"/>
              <w:rPr>
                <w:b/>
                <w:bCs/>
                <w:sz w:val="16"/>
                <w:szCs w:val="16"/>
              </w:rPr>
            </w:pPr>
            <w:r w:rsidRPr="00BD77D8">
              <w:rPr>
                <w:b/>
                <w:bCs/>
                <w:sz w:val="16"/>
                <w:szCs w:val="16"/>
              </w:rPr>
              <w:t xml:space="preserve">        10,412 </w:t>
            </w:r>
          </w:p>
        </w:tc>
        <w:tc>
          <w:tcPr>
            <w:tcW w:w="1070" w:type="dxa"/>
            <w:tcBorders>
              <w:top w:val="nil"/>
              <w:left w:val="nil"/>
              <w:bottom w:val="nil"/>
              <w:right w:val="nil"/>
            </w:tcBorders>
            <w:shd w:val="clear" w:color="auto" w:fill="auto"/>
            <w:vAlign w:val="bottom"/>
            <w:hideMark/>
          </w:tcPr>
          <w:p w14:paraId="1136A63A" w14:textId="77777777" w:rsidR="00B9311E" w:rsidRPr="00BD77D8" w:rsidRDefault="00B9311E" w:rsidP="00B9311E">
            <w:pPr>
              <w:spacing w:after="0" w:line="240" w:lineRule="auto"/>
              <w:jc w:val="right"/>
              <w:rPr>
                <w:sz w:val="16"/>
                <w:szCs w:val="16"/>
              </w:rPr>
            </w:pPr>
            <w:r w:rsidRPr="00BD77D8">
              <w:rPr>
                <w:sz w:val="16"/>
                <w:szCs w:val="16"/>
              </w:rPr>
              <w:t xml:space="preserve">        10,178 </w:t>
            </w:r>
          </w:p>
        </w:tc>
      </w:tr>
      <w:tr w:rsidR="00BD77D8" w:rsidRPr="00BD77D8" w14:paraId="6C175457" w14:textId="77777777" w:rsidTr="003057FB">
        <w:trPr>
          <w:trHeight w:val="285"/>
        </w:trPr>
        <w:tc>
          <w:tcPr>
            <w:tcW w:w="3655" w:type="dxa"/>
            <w:tcBorders>
              <w:top w:val="nil"/>
              <w:left w:val="nil"/>
              <w:bottom w:val="nil"/>
              <w:right w:val="nil"/>
            </w:tcBorders>
            <w:shd w:val="clear" w:color="auto" w:fill="auto"/>
            <w:noWrap/>
            <w:vAlign w:val="bottom"/>
            <w:hideMark/>
          </w:tcPr>
          <w:p w14:paraId="542FE24D"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Grants and Other Contributions </w:t>
            </w:r>
          </w:p>
        </w:tc>
        <w:tc>
          <w:tcPr>
            <w:tcW w:w="994" w:type="dxa"/>
            <w:tcBorders>
              <w:top w:val="nil"/>
              <w:left w:val="nil"/>
              <w:bottom w:val="nil"/>
              <w:right w:val="nil"/>
            </w:tcBorders>
            <w:shd w:val="clear" w:color="auto" w:fill="auto"/>
            <w:vAlign w:val="bottom"/>
            <w:hideMark/>
          </w:tcPr>
          <w:p w14:paraId="4C0974D2" w14:textId="77777777" w:rsidR="00B9311E" w:rsidRPr="00BD77D8" w:rsidRDefault="00B9311E" w:rsidP="00B9311E">
            <w:pPr>
              <w:spacing w:after="0" w:line="240" w:lineRule="auto"/>
              <w:jc w:val="right"/>
              <w:rPr>
                <w:b/>
                <w:bCs/>
                <w:sz w:val="16"/>
                <w:szCs w:val="16"/>
              </w:rPr>
            </w:pPr>
            <w:r w:rsidRPr="00BD77D8">
              <w:rPr>
                <w:b/>
                <w:bCs/>
                <w:sz w:val="16"/>
                <w:szCs w:val="16"/>
              </w:rPr>
              <w:t xml:space="preserve">       10,206 </w:t>
            </w:r>
          </w:p>
        </w:tc>
        <w:tc>
          <w:tcPr>
            <w:tcW w:w="991" w:type="dxa"/>
            <w:tcBorders>
              <w:top w:val="nil"/>
              <w:left w:val="nil"/>
              <w:bottom w:val="nil"/>
              <w:right w:val="nil"/>
            </w:tcBorders>
            <w:shd w:val="clear" w:color="auto" w:fill="auto"/>
            <w:vAlign w:val="bottom"/>
            <w:hideMark/>
          </w:tcPr>
          <w:p w14:paraId="21D375C1" w14:textId="77777777" w:rsidR="00B9311E" w:rsidRPr="00BD77D8" w:rsidRDefault="00B9311E" w:rsidP="00B9311E">
            <w:pPr>
              <w:spacing w:after="0" w:line="240" w:lineRule="auto"/>
              <w:jc w:val="right"/>
              <w:rPr>
                <w:sz w:val="16"/>
                <w:szCs w:val="16"/>
              </w:rPr>
            </w:pPr>
            <w:r w:rsidRPr="00BD77D8">
              <w:rPr>
                <w:sz w:val="16"/>
                <w:szCs w:val="16"/>
              </w:rPr>
              <w:t xml:space="preserve">        11,469 </w:t>
            </w:r>
          </w:p>
        </w:tc>
        <w:tc>
          <w:tcPr>
            <w:tcW w:w="854" w:type="dxa"/>
            <w:tcBorders>
              <w:top w:val="nil"/>
              <w:left w:val="nil"/>
              <w:bottom w:val="nil"/>
              <w:right w:val="nil"/>
            </w:tcBorders>
            <w:shd w:val="clear" w:color="auto" w:fill="auto"/>
            <w:vAlign w:val="bottom"/>
            <w:hideMark/>
          </w:tcPr>
          <w:p w14:paraId="4859424E"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994" w:type="dxa"/>
            <w:tcBorders>
              <w:top w:val="nil"/>
              <w:left w:val="nil"/>
              <w:bottom w:val="nil"/>
              <w:right w:val="nil"/>
            </w:tcBorders>
            <w:shd w:val="clear" w:color="auto" w:fill="auto"/>
            <w:vAlign w:val="bottom"/>
            <w:hideMark/>
          </w:tcPr>
          <w:p w14:paraId="23519855"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29" w:type="dxa"/>
            <w:tcBorders>
              <w:top w:val="nil"/>
              <w:left w:val="nil"/>
              <w:bottom w:val="nil"/>
              <w:right w:val="nil"/>
            </w:tcBorders>
            <w:shd w:val="clear" w:color="auto" w:fill="auto"/>
            <w:vAlign w:val="bottom"/>
            <w:hideMark/>
          </w:tcPr>
          <w:p w14:paraId="0C4DC13C" w14:textId="77777777" w:rsidR="00B9311E" w:rsidRPr="00BD77D8" w:rsidRDefault="00B9311E" w:rsidP="00B9311E">
            <w:pPr>
              <w:spacing w:after="0" w:line="240" w:lineRule="auto"/>
              <w:jc w:val="right"/>
              <w:rPr>
                <w:sz w:val="16"/>
                <w:szCs w:val="16"/>
              </w:rPr>
            </w:pPr>
            <w:r w:rsidRPr="00BD77D8">
              <w:rPr>
                <w:sz w:val="16"/>
                <w:szCs w:val="16"/>
              </w:rPr>
              <w:t xml:space="preserve">            1,460 </w:t>
            </w:r>
          </w:p>
        </w:tc>
        <w:tc>
          <w:tcPr>
            <w:tcW w:w="1130" w:type="dxa"/>
            <w:tcBorders>
              <w:top w:val="nil"/>
              <w:left w:val="nil"/>
              <w:bottom w:val="nil"/>
              <w:right w:val="nil"/>
            </w:tcBorders>
            <w:shd w:val="clear" w:color="auto" w:fill="auto"/>
            <w:vAlign w:val="bottom"/>
            <w:hideMark/>
          </w:tcPr>
          <w:p w14:paraId="1DFAD1CC" w14:textId="77777777" w:rsidR="00B9311E" w:rsidRPr="00BD77D8" w:rsidRDefault="00B9311E" w:rsidP="00B9311E">
            <w:pPr>
              <w:spacing w:after="0" w:line="240" w:lineRule="auto"/>
              <w:jc w:val="right"/>
              <w:rPr>
                <w:b/>
                <w:bCs/>
                <w:sz w:val="16"/>
                <w:szCs w:val="16"/>
              </w:rPr>
            </w:pPr>
            <w:r w:rsidRPr="00BD77D8">
              <w:rPr>
                <w:b/>
                <w:bCs/>
                <w:sz w:val="16"/>
                <w:szCs w:val="16"/>
              </w:rPr>
              <w:t xml:space="preserve">                320 </w:t>
            </w:r>
          </w:p>
        </w:tc>
        <w:tc>
          <w:tcPr>
            <w:tcW w:w="1263" w:type="dxa"/>
            <w:tcBorders>
              <w:top w:val="nil"/>
              <w:left w:val="nil"/>
              <w:bottom w:val="nil"/>
              <w:right w:val="nil"/>
            </w:tcBorders>
            <w:shd w:val="clear" w:color="auto" w:fill="auto"/>
            <w:vAlign w:val="bottom"/>
            <w:hideMark/>
          </w:tcPr>
          <w:p w14:paraId="3A4F3F06" w14:textId="77777777" w:rsidR="00B9311E" w:rsidRPr="00BD77D8" w:rsidRDefault="00B9311E" w:rsidP="00B9311E">
            <w:pPr>
              <w:spacing w:after="0" w:line="240" w:lineRule="auto"/>
              <w:jc w:val="right"/>
              <w:rPr>
                <w:sz w:val="16"/>
                <w:szCs w:val="16"/>
              </w:rPr>
            </w:pPr>
            <w:r w:rsidRPr="00BD77D8">
              <w:rPr>
                <w:sz w:val="16"/>
                <w:szCs w:val="16"/>
              </w:rPr>
              <w:t xml:space="preserve">                   93 </w:t>
            </w:r>
          </w:p>
        </w:tc>
        <w:tc>
          <w:tcPr>
            <w:tcW w:w="1134" w:type="dxa"/>
            <w:tcBorders>
              <w:top w:val="nil"/>
              <w:left w:val="nil"/>
              <w:bottom w:val="nil"/>
              <w:right w:val="nil"/>
            </w:tcBorders>
            <w:shd w:val="clear" w:color="auto" w:fill="auto"/>
            <w:vAlign w:val="bottom"/>
            <w:hideMark/>
          </w:tcPr>
          <w:p w14:paraId="0D31A0B3" w14:textId="77777777" w:rsidR="00B9311E" w:rsidRPr="00BD77D8" w:rsidRDefault="00B9311E" w:rsidP="00B9311E">
            <w:pPr>
              <w:spacing w:after="0" w:line="240" w:lineRule="auto"/>
              <w:jc w:val="right"/>
              <w:rPr>
                <w:b/>
                <w:bCs/>
                <w:sz w:val="16"/>
                <w:szCs w:val="16"/>
              </w:rPr>
            </w:pPr>
            <w:r w:rsidRPr="00BD77D8">
              <w:rPr>
                <w:b/>
                <w:bCs/>
                <w:sz w:val="16"/>
                <w:szCs w:val="16"/>
              </w:rPr>
              <w:t xml:space="preserve">                683 </w:t>
            </w:r>
          </w:p>
        </w:tc>
        <w:tc>
          <w:tcPr>
            <w:tcW w:w="1135" w:type="dxa"/>
            <w:tcBorders>
              <w:top w:val="nil"/>
              <w:left w:val="nil"/>
              <w:bottom w:val="nil"/>
              <w:right w:val="nil"/>
            </w:tcBorders>
            <w:shd w:val="clear" w:color="auto" w:fill="auto"/>
            <w:vAlign w:val="bottom"/>
            <w:hideMark/>
          </w:tcPr>
          <w:p w14:paraId="43EEAC7F" w14:textId="77777777" w:rsidR="00B9311E" w:rsidRPr="00BD77D8" w:rsidRDefault="00B9311E" w:rsidP="00B9311E">
            <w:pPr>
              <w:spacing w:after="0" w:line="240" w:lineRule="auto"/>
              <w:jc w:val="right"/>
              <w:rPr>
                <w:sz w:val="16"/>
                <w:szCs w:val="16"/>
              </w:rPr>
            </w:pPr>
            <w:r w:rsidRPr="00BD77D8">
              <w:rPr>
                <w:sz w:val="16"/>
                <w:szCs w:val="16"/>
              </w:rPr>
              <w:t xml:space="preserve">                 467 </w:t>
            </w:r>
          </w:p>
        </w:tc>
        <w:tc>
          <w:tcPr>
            <w:tcW w:w="1015" w:type="dxa"/>
            <w:tcBorders>
              <w:top w:val="nil"/>
              <w:left w:val="nil"/>
              <w:bottom w:val="nil"/>
              <w:right w:val="nil"/>
            </w:tcBorders>
            <w:shd w:val="clear" w:color="auto" w:fill="auto"/>
            <w:vAlign w:val="bottom"/>
            <w:hideMark/>
          </w:tcPr>
          <w:p w14:paraId="365C6A31" w14:textId="77777777" w:rsidR="00B9311E" w:rsidRPr="00BD77D8" w:rsidRDefault="00B9311E" w:rsidP="00B9311E">
            <w:pPr>
              <w:spacing w:after="0" w:line="240" w:lineRule="auto"/>
              <w:jc w:val="right"/>
              <w:rPr>
                <w:b/>
                <w:bCs/>
                <w:sz w:val="16"/>
                <w:szCs w:val="16"/>
              </w:rPr>
            </w:pPr>
            <w:r w:rsidRPr="00BD77D8">
              <w:rPr>
                <w:b/>
                <w:bCs/>
                <w:sz w:val="16"/>
                <w:szCs w:val="16"/>
              </w:rPr>
              <w:t xml:space="preserve">        11,209 </w:t>
            </w:r>
          </w:p>
        </w:tc>
        <w:tc>
          <w:tcPr>
            <w:tcW w:w="1070" w:type="dxa"/>
            <w:tcBorders>
              <w:top w:val="nil"/>
              <w:left w:val="nil"/>
              <w:bottom w:val="nil"/>
              <w:right w:val="nil"/>
            </w:tcBorders>
            <w:shd w:val="clear" w:color="auto" w:fill="auto"/>
            <w:vAlign w:val="bottom"/>
            <w:hideMark/>
          </w:tcPr>
          <w:p w14:paraId="12629C6A" w14:textId="77777777" w:rsidR="00B9311E" w:rsidRPr="00BD77D8" w:rsidRDefault="00B9311E" w:rsidP="00B9311E">
            <w:pPr>
              <w:spacing w:after="0" w:line="240" w:lineRule="auto"/>
              <w:jc w:val="right"/>
              <w:rPr>
                <w:sz w:val="16"/>
                <w:szCs w:val="16"/>
              </w:rPr>
            </w:pPr>
            <w:r w:rsidRPr="00BD77D8">
              <w:rPr>
                <w:sz w:val="16"/>
                <w:szCs w:val="16"/>
              </w:rPr>
              <w:t xml:space="preserve">        13,489 </w:t>
            </w:r>
          </w:p>
        </w:tc>
      </w:tr>
      <w:tr w:rsidR="00BD77D8" w:rsidRPr="00BD77D8" w14:paraId="5A147D44" w14:textId="77777777" w:rsidTr="003057FB">
        <w:trPr>
          <w:trHeight w:val="285"/>
        </w:trPr>
        <w:tc>
          <w:tcPr>
            <w:tcW w:w="3655" w:type="dxa"/>
            <w:tcBorders>
              <w:top w:val="nil"/>
              <w:left w:val="nil"/>
              <w:bottom w:val="nil"/>
              <w:right w:val="nil"/>
            </w:tcBorders>
            <w:shd w:val="clear" w:color="auto" w:fill="auto"/>
            <w:noWrap/>
            <w:vAlign w:val="bottom"/>
            <w:hideMark/>
          </w:tcPr>
          <w:p w14:paraId="560B7288"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Interest </w:t>
            </w:r>
          </w:p>
        </w:tc>
        <w:tc>
          <w:tcPr>
            <w:tcW w:w="994" w:type="dxa"/>
            <w:tcBorders>
              <w:top w:val="nil"/>
              <w:left w:val="nil"/>
              <w:bottom w:val="nil"/>
              <w:right w:val="nil"/>
            </w:tcBorders>
            <w:shd w:val="clear" w:color="auto" w:fill="auto"/>
            <w:vAlign w:val="bottom"/>
            <w:hideMark/>
          </w:tcPr>
          <w:p w14:paraId="1035BF06"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991" w:type="dxa"/>
            <w:tcBorders>
              <w:top w:val="nil"/>
              <w:left w:val="nil"/>
              <w:bottom w:val="nil"/>
              <w:right w:val="nil"/>
            </w:tcBorders>
            <w:shd w:val="clear" w:color="auto" w:fill="auto"/>
            <w:vAlign w:val="bottom"/>
            <w:hideMark/>
          </w:tcPr>
          <w:p w14:paraId="78EE0711" w14:textId="77777777" w:rsidR="00B9311E" w:rsidRPr="00BD77D8" w:rsidRDefault="00B9311E" w:rsidP="00B9311E">
            <w:pPr>
              <w:spacing w:after="0" w:line="240" w:lineRule="auto"/>
              <w:jc w:val="right"/>
              <w:rPr>
                <w:sz w:val="16"/>
                <w:szCs w:val="16"/>
              </w:rPr>
            </w:pPr>
            <w:r w:rsidRPr="00BD77D8">
              <w:rPr>
                <w:sz w:val="16"/>
                <w:szCs w:val="16"/>
              </w:rPr>
              <w:t xml:space="preserve">                 3 </w:t>
            </w:r>
          </w:p>
        </w:tc>
        <w:tc>
          <w:tcPr>
            <w:tcW w:w="854" w:type="dxa"/>
            <w:tcBorders>
              <w:top w:val="nil"/>
              <w:left w:val="nil"/>
              <w:bottom w:val="nil"/>
              <w:right w:val="nil"/>
            </w:tcBorders>
            <w:shd w:val="clear" w:color="auto" w:fill="auto"/>
            <w:vAlign w:val="bottom"/>
            <w:hideMark/>
          </w:tcPr>
          <w:p w14:paraId="5E9218BA"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994" w:type="dxa"/>
            <w:tcBorders>
              <w:top w:val="nil"/>
              <w:left w:val="nil"/>
              <w:bottom w:val="nil"/>
              <w:right w:val="nil"/>
            </w:tcBorders>
            <w:shd w:val="clear" w:color="auto" w:fill="auto"/>
            <w:vAlign w:val="bottom"/>
            <w:hideMark/>
          </w:tcPr>
          <w:p w14:paraId="25CB73A9"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29" w:type="dxa"/>
            <w:tcBorders>
              <w:top w:val="nil"/>
              <w:left w:val="nil"/>
              <w:bottom w:val="nil"/>
              <w:right w:val="nil"/>
            </w:tcBorders>
            <w:shd w:val="clear" w:color="auto" w:fill="auto"/>
            <w:vAlign w:val="bottom"/>
            <w:hideMark/>
          </w:tcPr>
          <w:p w14:paraId="0920D6F1"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30" w:type="dxa"/>
            <w:tcBorders>
              <w:top w:val="nil"/>
              <w:left w:val="nil"/>
              <w:bottom w:val="nil"/>
              <w:right w:val="nil"/>
            </w:tcBorders>
            <w:shd w:val="clear" w:color="auto" w:fill="auto"/>
            <w:vAlign w:val="bottom"/>
            <w:hideMark/>
          </w:tcPr>
          <w:p w14:paraId="4BE28609"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1263" w:type="dxa"/>
            <w:tcBorders>
              <w:top w:val="nil"/>
              <w:left w:val="nil"/>
              <w:bottom w:val="nil"/>
              <w:right w:val="nil"/>
            </w:tcBorders>
            <w:shd w:val="clear" w:color="auto" w:fill="auto"/>
            <w:vAlign w:val="bottom"/>
            <w:hideMark/>
          </w:tcPr>
          <w:p w14:paraId="4C3CE0BC"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34" w:type="dxa"/>
            <w:tcBorders>
              <w:top w:val="nil"/>
              <w:left w:val="nil"/>
              <w:bottom w:val="nil"/>
              <w:right w:val="nil"/>
            </w:tcBorders>
            <w:shd w:val="clear" w:color="auto" w:fill="auto"/>
            <w:vAlign w:val="bottom"/>
            <w:hideMark/>
          </w:tcPr>
          <w:p w14:paraId="5686617D"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1135" w:type="dxa"/>
            <w:tcBorders>
              <w:top w:val="nil"/>
              <w:left w:val="nil"/>
              <w:bottom w:val="nil"/>
              <w:right w:val="nil"/>
            </w:tcBorders>
            <w:shd w:val="clear" w:color="auto" w:fill="auto"/>
            <w:vAlign w:val="bottom"/>
            <w:hideMark/>
          </w:tcPr>
          <w:p w14:paraId="7C56E667"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015" w:type="dxa"/>
            <w:tcBorders>
              <w:top w:val="nil"/>
              <w:left w:val="nil"/>
              <w:bottom w:val="nil"/>
              <w:right w:val="nil"/>
            </w:tcBorders>
            <w:shd w:val="clear" w:color="auto" w:fill="auto"/>
            <w:vAlign w:val="bottom"/>
            <w:hideMark/>
          </w:tcPr>
          <w:p w14:paraId="2CD1F022"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1070" w:type="dxa"/>
            <w:tcBorders>
              <w:top w:val="nil"/>
              <w:left w:val="nil"/>
              <w:bottom w:val="nil"/>
              <w:right w:val="nil"/>
            </w:tcBorders>
            <w:shd w:val="clear" w:color="auto" w:fill="auto"/>
            <w:vAlign w:val="bottom"/>
            <w:hideMark/>
          </w:tcPr>
          <w:p w14:paraId="0CF625CA" w14:textId="77777777" w:rsidR="00B9311E" w:rsidRPr="00BD77D8" w:rsidRDefault="00B9311E" w:rsidP="00B9311E">
            <w:pPr>
              <w:spacing w:after="0" w:line="240" w:lineRule="auto"/>
              <w:jc w:val="right"/>
              <w:rPr>
                <w:sz w:val="16"/>
                <w:szCs w:val="16"/>
              </w:rPr>
            </w:pPr>
            <w:r w:rsidRPr="00BD77D8">
              <w:rPr>
                <w:sz w:val="16"/>
                <w:szCs w:val="16"/>
              </w:rPr>
              <w:t xml:space="preserve">                 3 </w:t>
            </w:r>
          </w:p>
        </w:tc>
      </w:tr>
      <w:tr w:rsidR="00BD77D8" w:rsidRPr="00BD77D8" w14:paraId="2FBA10E8" w14:textId="77777777" w:rsidTr="003057FB">
        <w:trPr>
          <w:trHeight w:val="285"/>
        </w:trPr>
        <w:tc>
          <w:tcPr>
            <w:tcW w:w="3655" w:type="dxa"/>
            <w:tcBorders>
              <w:top w:val="nil"/>
              <w:left w:val="nil"/>
              <w:bottom w:val="nil"/>
              <w:right w:val="nil"/>
            </w:tcBorders>
            <w:shd w:val="clear" w:color="auto" w:fill="auto"/>
            <w:noWrap/>
            <w:vAlign w:val="bottom"/>
            <w:hideMark/>
          </w:tcPr>
          <w:p w14:paraId="5F166D19"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Reversal of revaluation decrement </w:t>
            </w:r>
          </w:p>
        </w:tc>
        <w:tc>
          <w:tcPr>
            <w:tcW w:w="994" w:type="dxa"/>
            <w:tcBorders>
              <w:top w:val="nil"/>
              <w:left w:val="nil"/>
              <w:bottom w:val="nil"/>
              <w:right w:val="nil"/>
            </w:tcBorders>
            <w:shd w:val="clear" w:color="auto" w:fill="auto"/>
            <w:vAlign w:val="bottom"/>
            <w:hideMark/>
          </w:tcPr>
          <w:p w14:paraId="7A643849" w14:textId="77777777" w:rsidR="00B9311E" w:rsidRPr="00BD77D8" w:rsidRDefault="00B9311E" w:rsidP="00B9311E">
            <w:pPr>
              <w:spacing w:after="0" w:line="240" w:lineRule="auto"/>
              <w:jc w:val="right"/>
              <w:rPr>
                <w:b/>
                <w:bCs/>
                <w:sz w:val="16"/>
                <w:szCs w:val="16"/>
              </w:rPr>
            </w:pPr>
            <w:r w:rsidRPr="00BD77D8">
              <w:rPr>
                <w:b/>
                <w:bCs/>
                <w:sz w:val="16"/>
                <w:szCs w:val="16"/>
              </w:rPr>
              <w:t xml:space="preserve">       25,852 </w:t>
            </w:r>
          </w:p>
        </w:tc>
        <w:tc>
          <w:tcPr>
            <w:tcW w:w="991" w:type="dxa"/>
            <w:tcBorders>
              <w:top w:val="nil"/>
              <w:left w:val="nil"/>
              <w:bottom w:val="nil"/>
              <w:right w:val="nil"/>
            </w:tcBorders>
            <w:shd w:val="clear" w:color="auto" w:fill="auto"/>
            <w:vAlign w:val="bottom"/>
            <w:hideMark/>
          </w:tcPr>
          <w:p w14:paraId="71D05169" w14:textId="77777777" w:rsidR="00B9311E" w:rsidRPr="00BD77D8" w:rsidRDefault="00B9311E" w:rsidP="00B9311E">
            <w:pPr>
              <w:spacing w:after="0" w:line="240" w:lineRule="auto"/>
              <w:jc w:val="right"/>
              <w:rPr>
                <w:sz w:val="16"/>
                <w:szCs w:val="16"/>
              </w:rPr>
            </w:pPr>
            <w:r w:rsidRPr="00BD77D8">
              <w:rPr>
                <w:sz w:val="16"/>
                <w:szCs w:val="16"/>
              </w:rPr>
              <w:t xml:space="preserve">          1,220 </w:t>
            </w:r>
          </w:p>
        </w:tc>
        <w:tc>
          <w:tcPr>
            <w:tcW w:w="854" w:type="dxa"/>
            <w:tcBorders>
              <w:top w:val="nil"/>
              <w:left w:val="nil"/>
              <w:bottom w:val="nil"/>
              <w:right w:val="nil"/>
            </w:tcBorders>
            <w:shd w:val="clear" w:color="auto" w:fill="auto"/>
            <w:vAlign w:val="bottom"/>
            <w:hideMark/>
          </w:tcPr>
          <w:p w14:paraId="5FD023F3" w14:textId="77777777" w:rsidR="00B9311E" w:rsidRPr="00BD77D8" w:rsidRDefault="00B9311E" w:rsidP="00B9311E">
            <w:pPr>
              <w:spacing w:after="0" w:line="240" w:lineRule="auto"/>
              <w:jc w:val="right"/>
              <w:rPr>
                <w:b/>
                <w:bCs/>
                <w:sz w:val="16"/>
                <w:szCs w:val="16"/>
              </w:rPr>
            </w:pPr>
            <w:r w:rsidRPr="00BD77D8">
              <w:rPr>
                <w:b/>
                <w:bCs/>
                <w:sz w:val="16"/>
                <w:szCs w:val="16"/>
              </w:rPr>
              <w:t xml:space="preserve">            248 </w:t>
            </w:r>
          </w:p>
        </w:tc>
        <w:tc>
          <w:tcPr>
            <w:tcW w:w="994" w:type="dxa"/>
            <w:tcBorders>
              <w:top w:val="nil"/>
              <w:left w:val="nil"/>
              <w:bottom w:val="nil"/>
              <w:right w:val="nil"/>
            </w:tcBorders>
            <w:shd w:val="clear" w:color="auto" w:fill="auto"/>
            <w:vAlign w:val="bottom"/>
            <w:hideMark/>
          </w:tcPr>
          <w:p w14:paraId="4F001664"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29" w:type="dxa"/>
            <w:tcBorders>
              <w:top w:val="nil"/>
              <w:left w:val="nil"/>
              <w:bottom w:val="nil"/>
              <w:right w:val="nil"/>
            </w:tcBorders>
            <w:shd w:val="clear" w:color="auto" w:fill="auto"/>
            <w:vAlign w:val="bottom"/>
            <w:hideMark/>
          </w:tcPr>
          <w:p w14:paraId="5167D07F"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30" w:type="dxa"/>
            <w:tcBorders>
              <w:top w:val="nil"/>
              <w:left w:val="nil"/>
              <w:bottom w:val="nil"/>
              <w:right w:val="nil"/>
            </w:tcBorders>
            <w:shd w:val="clear" w:color="auto" w:fill="auto"/>
            <w:vAlign w:val="bottom"/>
            <w:hideMark/>
          </w:tcPr>
          <w:p w14:paraId="16B66DA2" w14:textId="77777777" w:rsidR="00B9311E" w:rsidRPr="00BD77D8" w:rsidRDefault="00B9311E" w:rsidP="00B9311E">
            <w:pPr>
              <w:spacing w:after="0" w:line="240" w:lineRule="auto"/>
              <w:jc w:val="right"/>
              <w:rPr>
                <w:b/>
                <w:bCs/>
                <w:sz w:val="16"/>
                <w:szCs w:val="16"/>
              </w:rPr>
            </w:pPr>
            <w:r w:rsidRPr="00BD77D8">
              <w:rPr>
                <w:b/>
                <w:bCs/>
                <w:sz w:val="16"/>
                <w:szCs w:val="16"/>
              </w:rPr>
              <w:t xml:space="preserve">                242 </w:t>
            </w:r>
          </w:p>
        </w:tc>
        <w:tc>
          <w:tcPr>
            <w:tcW w:w="1263" w:type="dxa"/>
            <w:tcBorders>
              <w:top w:val="nil"/>
              <w:left w:val="nil"/>
              <w:bottom w:val="nil"/>
              <w:right w:val="nil"/>
            </w:tcBorders>
            <w:shd w:val="clear" w:color="auto" w:fill="auto"/>
            <w:vAlign w:val="bottom"/>
            <w:hideMark/>
          </w:tcPr>
          <w:p w14:paraId="6F989CFE" w14:textId="77777777" w:rsidR="00B9311E" w:rsidRPr="00BD77D8" w:rsidRDefault="00B9311E" w:rsidP="00B9311E">
            <w:pPr>
              <w:spacing w:after="0" w:line="240" w:lineRule="auto"/>
              <w:jc w:val="right"/>
              <w:rPr>
                <w:sz w:val="16"/>
                <w:szCs w:val="16"/>
              </w:rPr>
            </w:pPr>
            <w:r w:rsidRPr="00BD77D8">
              <w:rPr>
                <w:sz w:val="16"/>
                <w:szCs w:val="16"/>
              </w:rPr>
              <w:t xml:space="preserve">                     1 </w:t>
            </w:r>
          </w:p>
        </w:tc>
        <w:tc>
          <w:tcPr>
            <w:tcW w:w="1134" w:type="dxa"/>
            <w:tcBorders>
              <w:top w:val="nil"/>
              <w:left w:val="nil"/>
              <w:bottom w:val="nil"/>
              <w:right w:val="nil"/>
            </w:tcBorders>
            <w:shd w:val="clear" w:color="auto" w:fill="auto"/>
            <w:vAlign w:val="bottom"/>
            <w:hideMark/>
          </w:tcPr>
          <w:p w14:paraId="4CCB9E81" w14:textId="77777777" w:rsidR="00B9311E" w:rsidRPr="00BD77D8" w:rsidRDefault="00B9311E" w:rsidP="00B9311E">
            <w:pPr>
              <w:spacing w:after="0" w:line="240" w:lineRule="auto"/>
              <w:jc w:val="right"/>
              <w:rPr>
                <w:b/>
                <w:bCs/>
                <w:sz w:val="16"/>
                <w:szCs w:val="16"/>
              </w:rPr>
            </w:pPr>
            <w:r w:rsidRPr="00BD77D8">
              <w:rPr>
                <w:b/>
                <w:bCs/>
                <w:sz w:val="16"/>
                <w:szCs w:val="16"/>
              </w:rPr>
              <w:t xml:space="preserve">             2,227 </w:t>
            </w:r>
          </w:p>
        </w:tc>
        <w:tc>
          <w:tcPr>
            <w:tcW w:w="1135" w:type="dxa"/>
            <w:tcBorders>
              <w:top w:val="nil"/>
              <w:left w:val="nil"/>
              <w:bottom w:val="nil"/>
              <w:right w:val="nil"/>
            </w:tcBorders>
            <w:shd w:val="clear" w:color="auto" w:fill="auto"/>
            <w:vAlign w:val="bottom"/>
            <w:hideMark/>
          </w:tcPr>
          <w:p w14:paraId="3A8C99CC" w14:textId="77777777" w:rsidR="00B9311E" w:rsidRPr="00BD77D8" w:rsidRDefault="00B9311E" w:rsidP="00B9311E">
            <w:pPr>
              <w:spacing w:after="0" w:line="240" w:lineRule="auto"/>
              <w:jc w:val="right"/>
              <w:rPr>
                <w:sz w:val="16"/>
                <w:szCs w:val="16"/>
              </w:rPr>
            </w:pPr>
            <w:r w:rsidRPr="00BD77D8">
              <w:rPr>
                <w:sz w:val="16"/>
                <w:szCs w:val="16"/>
              </w:rPr>
              <w:t xml:space="preserve">                     8 </w:t>
            </w:r>
          </w:p>
        </w:tc>
        <w:tc>
          <w:tcPr>
            <w:tcW w:w="1015" w:type="dxa"/>
            <w:tcBorders>
              <w:top w:val="nil"/>
              <w:left w:val="nil"/>
              <w:bottom w:val="nil"/>
              <w:right w:val="nil"/>
            </w:tcBorders>
            <w:shd w:val="clear" w:color="auto" w:fill="auto"/>
            <w:vAlign w:val="bottom"/>
            <w:hideMark/>
          </w:tcPr>
          <w:p w14:paraId="3EF50645" w14:textId="77777777" w:rsidR="00B9311E" w:rsidRPr="00BD77D8" w:rsidRDefault="00B9311E" w:rsidP="00B9311E">
            <w:pPr>
              <w:spacing w:after="0" w:line="240" w:lineRule="auto"/>
              <w:jc w:val="right"/>
              <w:rPr>
                <w:b/>
                <w:bCs/>
                <w:sz w:val="16"/>
                <w:szCs w:val="16"/>
              </w:rPr>
            </w:pPr>
            <w:r w:rsidRPr="00BD77D8">
              <w:rPr>
                <w:b/>
                <w:bCs/>
                <w:sz w:val="16"/>
                <w:szCs w:val="16"/>
              </w:rPr>
              <w:t xml:space="preserve">        28,569 </w:t>
            </w:r>
          </w:p>
        </w:tc>
        <w:tc>
          <w:tcPr>
            <w:tcW w:w="1070" w:type="dxa"/>
            <w:tcBorders>
              <w:top w:val="nil"/>
              <w:left w:val="nil"/>
              <w:bottom w:val="nil"/>
              <w:right w:val="nil"/>
            </w:tcBorders>
            <w:shd w:val="clear" w:color="auto" w:fill="auto"/>
            <w:vAlign w:val="bottom"/>
            <w:hideMark/>
          </w:tcPr>
          <w:p w14:paraId="58FE52C4" w14:textId="77777777" w:rsidR="00B9311E" w:rsidRPr="00BD77D8" w:rsidRDefault="00B9311E" w:rsidP="00B9311E">
            <w:pPr>
              <w:spacing w:after="0" w:line="240" w:lineRule="auto"/>
              <w:jc w:val="right"/>
              <w:rPr>
                <w:sz w:val="16"/>
                <w:szCs w:val="16"/>
              </w:rPr>
            </w:pPr>
            <w:r w:rsidRPr="00BD77D8">
              <w:rPr>
                <w:sz w:val="16"/>
                <w:szCs w:val="16"/>
              </w:rPr>
              <w:t xml:space="preserve">          1,229 </w:t>
            </w:r>
          </w:p>
        </w:tc>
      </w:tr>
      <w:tr w:rsidR="00BD77D8" w:rsidRPr="00BD77D8" w14:paraId="6CEFE383" w14:textId="77777777" w:rsidTr="003057FB">
        <w:trPr>
          <w:trHeight w:val="285"/>
        </w:trPr>
        <w:tc>
          <w:tcPr>
            <w:tcW w:w="3655" w:type="dxa"/>
            <w:tcBorders>
              <w:top w:val="nil"/>
              <w:left w:val="nil"/>
              <w:bottom w:val="nil"/>
              <w:right w:val="nil"/>
            </w:tcBorders>
            <w:shd w:val="clear" w:color="auto" w:fill="auto"/>
            <w:noWrap/>
            <w:vAlign w:val="bottom"/>
            <w:hideMark/>
          </w:tcPr>
          <w:p w14:paraId="102756BF"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Other revenue  </w:t>
            </w:r>
          </w:p>
        </w:tc>
        <w:tc>
          <w:tcPr>
            <w:tcW w:w="994" w:type="dxa"/>
            <w:tcBorders>
              <w:top w:val="nil"/>
              <w:left w:val="nil"/>
              <w:bottom w:val="nil"/>
              <w:right w:val="nil"/>
            </w:tcBorders>
            <w:shd w:val="clear" w:color="auto" w:fill="auto"/>
            <w:vAlign w:val="bottom"/>
            <w:hideMark/>
          </w:tcPr>
          <w:p w14:paraId="50379548" w14:textId="77777777" w:rsidR="00B9311E" w:rsidRPr="00BD77D8" w:rsidRDefault="00B9311E" w:rsidP="00B9311E">
            <w:pPr>
              <w:spacing w:after="0" w:line="240" w:lineRule="auto"/>
              <w:jc w:val="right"/>
              <w:rPr>
                <w:b/>
                <w:bCs/>
                <w:sz w:val="16"/>
                <w:szCs w:val="16"/>
              </w:rPr>
            </w:pPr>
            <w:r w:rsidRPr="00BD77D8">
              <w:rPr>
                <w:b/>
                <w:bCs/>
                <w:sz w:val="16"/>
                <w:szCs w:val="16"/>
              </w:rPr>
              <w:t xml:space="preserve">            756 </w:t>
            </w:r>
          </w:p>
        </w:tc>
        <w:tc>
          <w:tcPr>
            <w:tcW w:w="991" w:type="dxa"/>
            <w:tcBorders>
              <w:top w:val="nil"/>
              <w:left w:val="nil"/>
              <w:bottom w:val="nil"/>
              <w:right w:val="nil"/>
            </w:tcBorders>
            <w:shd w:val="clear" w:color="auto" w:fill="auto"/>
            <w:vAlign w:val="bottom"/>
            <w:hideMark/>
          </w:tcPr>
          <w:p w14:paraId="7F66D853" w14:textId="77777777" w:rsidR="00B9311E" w:rsidRPr="00BD77D8" w:rsidRDefault="00B9311E" w:rsidP="00B9311E">
            <w:pPr>
              <w:spacing w:after="0" w:line="240" w:lineRule="auto"/>
              <w:jc w:val="right"/>
              <w:rPr>
                <w:sz w:val="16"/>
                <w:szCs w:val="16"/>
              </w:rPr>
            </w:pPr>
            <w:r w:rsidRPr="00BD77D8">
              <w:rPr>
                <w:sz w:val="16"/>
                <w:szCs w:val="16"/>
              </w:rPr>
              <w:t xml:space="preserve">          2,781 </w:t>
            </w:r>
          </w:p>
        </w:tc>
        <w:tc>
          <w:tcPr>
            <w:tcW w:w="854" w:type="dxa"/>
            <w:tcBorders>
              <w:top w:val="nil"/>
              <w:left w:val="nil"/>
              <w:bottom w:val="nil"/>
              <w:right w:val="nil"/>
            </w:tcBorders>
            <w:shd w:val="clear" w:color="auto" w:fill="auto"/>
            <w:vAlign w:val="bottom"/>
            <w:hideMark/>
          </w:tcPr>
          <w:p w14:paraId="2785DAF2" w14:textId="77777777" w:rsidR="00B9311E" w:rsidRPr="00BD77D8" w:rsidRDefault="00B9311E" w:rsidP="00B9311E">
            <w:pPr>
              <w:spacing w:after="0" w:line="240" w:lineRule="auto"/>
              <w:jc w:val="right"/>
              <w:rPr>
                <w:b/>
                <w:bCs/>
                <w:sz w:val="16"/>
                <w:szCs w:val="16"/>
              </w:rPr>
            </w:pPr>
            <w:r w:rsidRPr="00BD77D8">
              <w:rPr>
                <w:b/>
                <w:bCs/>
                <w:sz w:val="16"/>
                <w:szCs w:val="16"/>
              </w:rPr>
              <w:t xml:space="preserve">         1,174 </w:t>
            </w:r>
          </w:p>
        </w:tc>
        <w:tc>
          <w:tcPr>
            <w:tcW w:w="994" w:type="dxa"/>
            <w:tcBorders>
              <w:top w:val="nil"/>
              <w:left w:val="nil"/>
              <w:bottom w:val="nil"/>
              <w:right w:val="nil"/>
            </w:tcBorders>
            <w:shd w:val="clear" w:color="auto" w:fill="auto"/>
            <w:vAlign w:val="bottom"/>
            <w:hideMark/>
          </w:tcPr>
          <w:p w14:paraId="552D33E1" w14:textId="77777777" w:rsidR="00B9311E" w:rsidRPr="00BD77D8" w:rsidRDefault="00B9311E" w:rsidP="00B9311E">
            <w:pPr>
              <w:spacing w:after="0" w:line="240" w:lineRule="auto"/>
              <w:jc w:val="right"/>
              <w:rPr>
                <w:sz w:val="16"/>
                <w:szCs w:val="16"/>
              </w:rPr>
            </w:pPr>
            <w:r w:rsidRPr="00BD77D8">
              <w:rPr>
                <w:sz w:val="16"/>
                <w:szCs w:val="16"/>
              </w:rPr>
              <w:t xml:space="preserve">                  6 </w:t>
            </w:r>
          </w:p>
        </w:tc>
        <w:tc>
          <w:tcPr>
            <w:tcW w:w="1129" w:type="dxa"/>
            <w:tcBorders>
              <w:top w:val="nil"/>
              <w:left w:val="nil"/>
              <w:bottom w:val="nil"/>
              <w:right w:val="nil"/>
            </w:tcBorders>
            <w:shd w:val="clear" w:color="auto" w:fill="auto"/>
            <w:vAlign w:val="bottom"/>
            <w:hideMark/>
          </w:tcPr>
          <w:p w14:paraId="422C20E5" w14:textId="77777777" w:rsidR="00B9311E" w:rsidRPr="00BD77D8" w:rsidRDefault="00B9311E" w:rsidP="00B9311E">
            <w:pPr>
              <w:spacing w:after="0" w:line="240" w:lineRule="auto"/>
              <w:jc w:val="right"/>
              <w:rPr>
                <w:sz w:val="16"/>
                <w:szCs w:val="16"/>
              </w:rPr>
            </w:pPr>
            <w:r w:rsidRPr="00BD77D8">
              <w:rPr>
                <w:sz w:val="16"/>
                <w:szCs w:val="16"/>
              </w:rPr>
              <w:t xml:space="preserve">               742 </w:t>
            </w:r>
          </w:p>
        </w:tc>
        <w:tc>
          <w:tcPr>
            <w:tcW w:w="1130" w:type="dxa"/>
            <w:tcBorders>
              <w:top w:val="nil"/>
              <w:left w:val="nil"/>
              <w:bottom w:val="nil"/>
              <w:right w:val="nil"/>
            </w:tcBorders>
            <w:shd w:val="clear" w:color="auto" w:fill="auto"/>
            <w:vAlign w:val="bottom"/>
            <w:hideMark/>
          </w:tcPr>
          <w:p w14:paraId="31F6C915" w14:textId="77777777" w:rsidR="00B9311E" w:rsidRPr="00BD77D8" w:rsidRDefault="00B9311E" w:rsidP="00B9311E">
            <w:pPr>
              <w:spacing w:after="0" w:line="240" w:lineRule="auto"/>
              <w:jc w:val="right"/>
              <w:rPr>
                <w:b/>
                <w:bCs/>
                <w:sz w:val="16"/>
                <w:szCs w:val="16"/>
              </w:rPr>
            </w:pPr>
            <w:r w:rsidRPr="00BD77D8">
              <w:rPr>
                <w:b/>
                <w:bCs/>
                <w:sz w:val="16"/>
                <w:szCs w:val="16"/>
              </w:rPr>
              <w:t xml:space="preserve">                100 </w:t>
            </w:r>
          </w:p>
        </w:tc>
        <w:tc>
          <w:tcPr>
            <w:tcW w:w="1263" w:type="dxa"/>
            <w:tcBorders>
              <w:top w:val="nil"/>
              <w:left w:val="nil"/>
              <w:bottom w:val="nil"/>
              <w:right w:val="nil"/>
            </w:tcBorders>
            <w:shd w:val="clear" w:color="auto" w:fill="auto"/>
            <w:vAlign w:val="bottom"/>
            <w:hideMark/>
          </w:tcPr>
          <w:p w14:paraId="638D06F0" w14:textId="77777777" w:rsidR="00B9311E" w:rsidRPr="00BD77D8" w:rsidRDefault="00B9311E" w:rsidP="00B9311E">
            <w:pPr>
              <w:spacing w:after="0" w:line="240" w:lineRule="auto"/>
              <w:jc w:val="right"/>
              <w:rPr>
                <w:sz w:val="16"/>
                <w:szCs w:val="16"/>
              </w:rPr>
            </w:pPr>
            <w:r w:rsidRPr="00BD77D8">
              <w:rPr>
                <w:sz w:val="16"/>
                <w:szCs w:val="16"/>
              </w:rPr>
              <w:t xml:space="preserve">                   26 </w:t>
            </w:r>
          </w:p>
        </w:tc>
        <w:tc>
          <w:tcPr>
            <w:tcW w:w="1134" w:type="dxa"/>
            <w:tcBorders>
              <w:top w:val="nil"/>
              <w:left w:val="nil"/>
              <w:bottom w:val="nil"/>
              <w:right w:val="nil"/>
            </w:tcBorders>
            <w:shd w:val="clear" w:color="auto" w:fill="auto"/>
            <w:vAlign w:val="bottom"/>
            <w:hideMark/>
          </w:tcPr>
          <w:p w14:paraId="34501D00" w14:textId="77777777" w:rsidR="00B9311E" w:rsidRPr="00BD77D8" w:rsidRDefault="00B9311E" w:rsidP="00B9311E">
            <w:pPr>
              <w:spacing w:after="0" w:line="240" w:lineRule="auto"/>
              <w:jc w:val="right"/>
              <w:rPr>
                <w:b/>
                <w:bCs/>
                <w:sz w:val="16"/>
                <w:szCs w:val="16"/>
              </w:rPr>
            </w:pPr>
            <w:r w:rsidRPr="00BD77D8">
              <w:rPr>
                <w:b/>
                <w:bCs/>
                <w:sz w:val="16"/>
                <w:szCs w:val="16"/>
              </w:rPr>
              <w:t xml:space="preserve">                939 </w:t>
            </w:r>
          </w:p>
        </w:tc>
        <w:tc>
          <w:tcPr>
            <w:tcW w:w="1135" w:type="dxa"/>
            <w:tcBorders>
              <w:top w:val="nil"/>
              <w:left w:val="nil"/>
              <w:bottom w:val="nil"/>
              <w:right w:val="nil"/>
            </w:tcBorders>
            <w:shd w:val="clear" w:color="auto" w:fill="auto"/>
            <w:vAlign w:val="bottom"/>
            <w:hideMark/>
          </w:tcPr>
          <w:p w14:paraId="00754D7D" w14:textId="77777777" w:rsidR="00B9311E" w:rsidRPr="00BD77D8" w:rsidRDefault="00B9311E" w:rsidP="00B9311E">
            <w:pPr>
              <w:spacing w:after="0" w:line="240" w:lineRule="auto"/>
              <w:jc w:val="right"/>
              <w:rPr>
                <w:sz w:val="16"/>
                <w:szCs w:val="16"/>
              </w:rPr>
            </w:pPr>
            <w:r w:rsidRPr="00BD77D8">
              <w:rPr>
                <w:sz w:val="16"/>
                <w:szCs w:val="16"/>
              </w:rPr>
              <w:t xml:space="preserve">                 633 </w:t>
            </w:r>
          </w:p>
        </w:tc>
        <w:tc>
          <w:tcPr>
            <w:tcW w:w="1015" w:type="dxa"/>
            <w:tcBorders>
              <w:top w:val="nil"/>
              <w:left w:val="nil"/>
              <w:bottom w:val="nil"/>
              <w:right w:val="nil"/>
            </w:tcBorders>
            <w:shd w:val="clear" w:color="auto" w:fill="auto"/>
            <w:vAlign w:val="bottom"/>
            <w:hideMark/>
          </w:tcPr>
          <w:p w14:paraId="2F2A68A3" w14:textId="77777777" w:rsidR="00B9311E" w:rsidRPr="00BD77D8" w:rsidRDefault="00B9311E" w:rsidP="00B9311E">
            <w:pPr>
              <w:spacing w:after="0" w:line="240" w:lineRule="auto"/>
              <w:jc w:val="right"/>
              <w:rPr>
                <w:b/>
                <w:bCs/>
                <w:sz w:val="16"/>
                <w:szCs w:val="16"/>
              </w:rPr>
            </w:pPr>
            <w:r w:rsidRPr="00BD77D8">
              <w:rPr>
                <w:b/>
                <w:bCs/>
                <w:sz w:val="16"/>
                <w:szCs w:val="16"/>
              </w:rPr>
              <w:t xml:space="preserve">          2,969 </w:t>
            </w:r>
          </w:p>
        </w:tc>
        <w:tc>
          <w:tcPr>
            <w:tcW w:w="1070" w:type="dxa"/>
            <w:tcBorders>
              <w:top w:val="nil"/>
              <w:left w:val="nil"/>
              <w:bottom w:val="nil"/>
              <w:right w:val="nil"/>
            </w:tcBorders>
            <w:shd w:val="clear" w:color="auto" w:fill="auto"/>
            <w:vAlign w:val="bottom"/>
            <w:hideMark/>
          </w:tcPr>
          <w:p w14:paraId="08FCFFD9" w14:textId="77777777" w:rsidR="00B9311E" w:rsidRPr="00BD77D8" w:rsidRDefault="00B9311E" w:rsidP="00B9311E">
            <w:pPr>
              <w:spacing w:after="0" w:line="240" w:lineRule="auto"/>
              <w:jc w:val="right"/>
              <w:rPr>
                <w:sz w:val="16"/>
                <w:szCs w:val="16"/>
              </w:rPr>
            </w:pPr>
            <w:r w:rsidRPr="00BD77D8">
              <w:rPr>
                <w:sz w:val="16"/>
                <w:szCs w:val="16"/>
              </w:rPr>
              <w:t xml:space="preserve">          4,188 </w:t>
            </w:r>
          </w:p>
        </w:tc>
      </w:tr>
      <w:tr w:rsidR="00BD77D8" w:rsidRPr="00BD77D8" w14:paraId="1CE87A1C" w14:textId="77777777" w:rsidTr="003057FB">
        <w:trPr>
          <w:trHeight w:val="300"/>
        </w:trPr>
        <w:tc>
          <w:tcPr>
            <w:tcW w:w="3655" w:type="dxa"/>
            <w:tcBorders>
              <w:top w:val="nil"/>
              <w:left w:val="nil"/>
              <w:bottom w:val="nil"/>
              <w:right w:val="nil"/>
            </w:tcBorders>
            <w:shd w:val="clear" w:color="auto" w:fill="auto"/>
            <w:noWrap/>
            <w:vAlign w:val="bottom"/>
            <w:hideMark/>
          </w:tcPr>
          <w:p w14:paraId="49F7F936" w14:textId="77777777" w:rsidR="00B9311E" w:rsidRPr="00BD77D8" w:rsidRDefault="00B9311E" w:rsidP="00B9311E">
            <w:pPr>
              <w:spacing w:after="0" w:line="240" w:lineRule="auto"/>
              <w:rPr>
                <w:b/>
                <w:bCs/>
                <w:sz w:val="16"/>
                <w:szCs w:val="16"/>
              </w:rPr>
            </w:pPr>
            <w:r w:rsidRPr="00BD77D8">
              <w:rPr>
                <w:b/>
                <w:bCs/>
                <w:sz w:val="16"/>
                <w:szCs w:val="16"/>
              </w:rPr>
              <w:t xml:space="preserve"> Total Income from Continuing Operations </w:t>
            </w:r>
          </w:p>
        </w:tc>
        <w:tc>
          <w:tcPr>
            <w:tcW w:w="994" w:type="dxa"/>
            <w:tcBorders>
              <w:top w:val="single" w:sz="4" w:space="0" w:color="auto"/>
              <w:left w:val="nil"/>
              <w:bottom w:val="single" w:sz="4" w:space="0" w:color="auto"/>
              <w:right w:val="nil"/>
            </w:tcBorders>
            <w:shd w:val="clear" w:color="auto" w:fill="auto"/>
            <w:vAlign w:val="bottom"/>
            <w:hideMark/>
          </w:tcPr>
          <w:p w14:paraId="49205BF7" w14:textId="77777777" w:rsidR="00B9311E" w:rsidRPr="00BD77D8" w:rsidRDefault="00B9311E" w:rsidP="00B9311E">
            <w:pPr>
              <w:spacing w:after="0" w:line="240" w:lineRule="auto"/>
              <w:jc w:val="right"/>
              <w:rPr>
                <w:b/>
                <w:bCs/>
                <w:sz w:val="16"/>
                <w:szCs w:val="16"/>
              </w:rPr>
            </w:pPr>
            <w:r w:rsidRPr="00BD77D8">
              <w:rPr>
                <w:b/>
                <w:bCs/>
                <w:sz w:val="16"/>
                <w:szCs w:val="16"/>
              </w:rPr>
              <w:t xml:space="preserve">     256,623 </w:t>
            </w:r>
          </w:p>
        </w:tc>
        <w:tc>
          <w:tcPr>
            <w:tcW w:w="991" w:type="dxa"/>
            <w:tcBorders>
              <w:top w:val="single" w:sz="4" w:space="0" w:color="auto"/>
              <w:left w:val="nil"/>
              <w:bottom w:val="single" w:sz="4" w:space="0" w:color="auto"/>
              <w:right w:val="nil"/>
            </w:tcBorders>
            <w:shd w:val="clear" w:color="auto" w:fill="auto"/>
            <w:vAlign w:val="bottom"/>
            <w:hideMark/>
          </w:tcPr>
          <w:p w14:paraId="7974FA47" w14:textId="77777777" w:rsidR="00B9311E" w:rsidRPr="00BD77D8" w:rsidRDefault="00B9311E" w:rsidP="00B9311E">
            <w:pPr>
              <w:spacing w:after="0" w:line="240" w:lineRule="auto"/>
              <w:jc w:val="right"/>
              <w:rPr>
                <w:b/>
                <w:bCs/>
                <w:sz w:val="16"/>
                <w:szCs w:val="16"/>
              </w:rPr>
            </w:pPr>
            <w:r w:rsidRPr="00BD77D8">
              <w:rPr>
                <w:b/>
                <w:bCs/>
                <w:sz w:val="16"/>
                <w:szCs w:val="16"/>
              </w:rPr>
              <w:t xml:space="preserve">      234,424 </w:t>
            </w:r>
          </w:p>
        </w:tc>
        <w:tc>
          <w:tcPr>
            <w:tcW w:w="854" w:type="dxa"/>
            <w:tcBorders>
              <w:top w:val="single" w:sz="4" w:space="0" w:color="auto"/>
              <w:left w:val="nil"/>
              <w:bottom w:val="single" w:sz="4" w:space="0" w:color="auto"/>
              <w:right w:val="nil"/>
            </w:tcBorders>
            <w:shd w:val="clear" w:color="auto" w:fill="auto"/>
            <w:vAlign w:val="bottom"/>
            <w:hideMark/>
          </w:tcPr>
          <w:p w14:paraId="17B2770C" w14:textId="77777777" w:rsidR="00B9311E" w:rsidRPr="00BD77D8" w:rsidRDefault="00B9311E" w:rsidP="00B9311E">
            <w:pPr>
              <w:spacing w:after="0" w:line="240" w:lineRule="auto"/>
              <w:jc w:val="right"/>
              <w:rPr>
                <w:b/>
                <w:bCs/>
                <w:sz w:val="16"/>
                <w:szCs w:val="16"/>
              </w:rPr>
            </w:pPr>
            <w:r w:rsidRPr="00BD77D8">
              <w:rPr>
                <w:b/>
                <w:bCs/>
                <w:sz w:val="16"/>
                <w:szCs w:val="16"/>
              </w:rPr>
              <w:t xml:space="preserve">       12,666 </w:t>
            </w:r>
          </w:p>
        </w:tc>
        <w:tc>
          <w:tcPr>
            <w:tcW w:w="994" w:type="dxa"/>
            <w:tcBorders>
              <w:top w:val="single" w:sz="4" w:space="0" w:color="auto"/>
              <w:left w:val="nil"/>
              <w:bottom w:val="single" w:sz="4" w:space="0" w:color="auto"/>
              <w:right w:val="nil"/>
            </w:tcBorders>
            <w:shd w:val="clear" w:color="auto" w:fill="auto"/>
            <w:vAlign w:val="bottom"/>
            <w:hideMark/>
          </w:tcPr>
          <w:p w14:paraId="348DC793" w14:textId="77777777" w:rsidR="00B9311E" w:rsidRPr="00BD77D8" w:rsidRDefault="00B9311E" w:rsidP="00B9311E">
            <w:pPr>
              <w:spacing w:after="0" w:line="240" w:lineRule="auto"/>
              <w:jc w:val="right"/>
              <w:rPr>
                <w:b/>
                <w:bCs/>
                <w:sz w:val="16"/>
                <w:szCs w:val="16"/>
              </w:rPr>
            </w:pPr>
            <w:r w:rsidRPr="00BD77D8">
              <w:rPr>
                <w:b/>
                <w:bCs/>
                <w:sz w:val="16"/>
                <w:szCs w:val="16"/>
              </w:rPr>
              <w:t xml:space="preserve">         11,707 </w:t>
            </w:r>
          </w:p>
        </w:tc>
        <w:tc>
          <w:tcPr>
            <w:tcW w:w="1129" w:type="dxa"/>
            <w:tcBorders>
              <w:top w:val="single" w:sz="4" w:space="0" w:color="auto"/>
              <w:left w:val="nil"/>
              <w:bottom w:val="single" w:sz="4" w:space="0" w:color="auto"/>
              <w:right w:val="nil"/>
            </w:tcBorders>
            <w:shd w:val="clear" w:color="auto" w:fill="auto"/>
            <w:vAlign w:val="bottom"/>
            <w:hideMark/>
          </w:tcPr>
          <w:p w14:paraId="3E2E1F6E" w14:textId="77777777" w:rsidR="00B9311E" w:rsidRPr="00BD77D8" w:rsidRDefault="00B9311E" w:rsidP="00B9311E">
            <w:pPr>
              <w:spacing w:after="0" w:line="240" w:lineRule="auto"/>
              <w:jc w:val="right"/>
              <w:rPr>
                <w:b/>
                <w:bCs/>
                <w:sz w:val="16"/>
                <w:szCs w:val="16"/>
              </w:rPr>
            </w:pPr>
            <w:r w:rsidRPr="00BD77D8">
              <w:rPr>
                <w:b/>
                <w:bCs/>
                <w:sz w:val="16"/>
                <w:szCs w:val="16"/>
              </w:rPr>
              <w:t xml:space="preserve">          69,375 </w:t>
            </w:r>
          </w:p>
        </w:tc>
        <w:tc>
          <w:tcPr>
            <w:tcW w:w="1130" w:type="dxa"/>
            <w:tcBorders>
              <w:top w:val="single" w:sz="4" w:space="0" w:color="auto"/>
              <w:left w:val="nil"/>
              <w:bottom w:val="single" w:sz="4" w:space="0" w:color="auto"/>
              <w:right w:val="nil"/>
            </w:tcBorders>
            <w:shd w:val="clear" w:color="auto" w:fill="auto"/>
            <w:vAlign w:val="bottom"/>
            <w:hideMark/>
          </w:tcPr>
          <w:p w14:paraId="0A788E50" w14:textId="77777777" w:rsidR="00B9311E" w:rsidRPr="00BD77D8" w:rsidRDefault="00B9311E" w:rsidP="00B9311E">
            <w:pPr>
              <w:spacing w:after="0" w:line="240" w:lineRule="auto"/>
              <w:jc w:val="right"/>
              <w:rPr>
                <w:b/>
                <w:bCs/>
                <w:sz w:val="16"/>
                <w:szCs w:val="16"/>
              </w:rPr>
            </w:pPr>
            <w:r w:rsidRPr="00BD77D8">
              <w:rPr>
                <w:b/>
                <w:bCs/>
                <w:sz w:val="16"/>
                <w:szCs w:val="16"/>
              </w:rPr>
              <w:t xml:space="preserve">           28,710 </w:t>
            </w:r>
          </w:p>
        </w:tc>
        <w:tc>
          <w:tcPr>
            <w:tcW w:w="1263" w:type="dxa"/>
            <w:tcBorders>
              <w:top w:val="single" w:sz="4" w:space="0" w:color="auto"/>
              <w:left w:val="nil"/>
              <w:bottom w:val="single" w:sz="4" w:space="0" w:color="auto"/>
              <w:right w:val="nil"/>
            </w:tcBorders>
            <w:shd w:val="clear" w:color="auto" w:fill="auto"/>
            <w:vAlign w:val="bottom"/>
            <w:hideMark/>
          </w:tcPr>
          <w:p w14:paraId="4DF85440" w14:textId="77777777" w:rsidR="00B9311E" w:rsidRPr="00BD77D8" w:rsidRDefault="00B9311E" w:rsidP="00B9311E">
            <w:pPr>
              <w:spacing w:after="0" w:line="240" w:lineRule="auto"/>
              <w:jc w:val="right"/>
              <w:rPr>
                <w:b/>
                <w:bCs/>
                <w:sz w:val="16"/>
                <w:szCs w:val="16"/>
              </w:rPr>
            </w:pPr>
            <w:r w:rsidRPr="00BD77D8">
              <w:rPr>
                <w:b/>
                <w:bCs/>
                <w:sz w:val="16"/>
                <w:szCs w:val="16"/>
              </w:rPr>
              <w:t xml:space="preserve">            16,361 </w:t>
            </w:r>
          </w:p>
        </w:tc>
        <w:tc>
          <w:tcPr>
            <w:tcW w:w="1134" w:type="dxa"/>
            <w:tcBorders>
              <w:top w:val="single" w:sz="4" w:space="0" w:color="auto"/>
              <w:left w:val="nil"/>
              <w:bottom w:val="single" w:sz="4" w:space="0" w:color="auto"/>
              <w:right w:val="nil"/>
            </w:tcBorders>
            <w:shd w:val="clear" w:color="auto" w:fill="auto"/>
            <w:vAlign w:val="bottom"/>
            <w:hideMark/>
          </w:tcPr>
          <w:p w14:paraId="4AC4F623" w14:textId="77777777" w:rsidR="00B9311E" w:rsidRPr="00BD77D8" w:rsidRDefault="00B9311E" w:rsidP="00B9311E">
            <w:pPr>
              <w:spacing w:after="0" w:line="240" w:lineRule="auto"/>
              <w:jc w:val="right"/>
              <w:rPr>
                <w:b/>
                <w:bCs/>
                <w:sz w:val="16"/>
                <w:szCs w:val="16"/>
              </w:rPr>
            </w:pPr>
            <w:r w:rsidRPr="00BD77D8">
              <w:rPr>
                <w:b/>
                <w:bCs/>
                <w:sz w:val="16"/>
                <w:szCs w:val="16"/>
              </w:rPr>
              <w:t xml:space="preserve">           38,128 </w:t>
            </w:r>
          </w:p>
        </w:tc>
        <w:tc>
          <w:tcPr>
            <w:tcW w:w="1135" w:type="dxa"/>
            <w:tcBorders>
              <w:top w:val="single" w:sz="4" w:space="0" w:color="auto"/>
              <w:left w:val="nil"/>
              <w:bottom w:val="single" w:sz="4" w:space="0" w:color="auto"/>
              <w:right w:val="nil"/>
            </w:tcBorders>
            <w:shd w:val="clear" w:color="auto" w:fill="auto"/>
            <w:vAlign w:val="bottom"/>
            <w:hideMark/>
          </w:tcPr>
          <w:p w14:paraId="01238339" w14:textId="77777777" w:rsidR="00B9311E" w:rsidRPr="00BD77D8" w:rsidRDefault="00B9311E" w:rsidP="00B9311E">
            <w:pPr>
              <w:spacing w:after="0" w:line="240" w:lineRule="auto"/>
              <w:jc w:val="right"/>
              <w:rPr>
                <w:b/>
                <w:bCs/>
                <w:sz w:val="16"/>
                <w:szCs w:val="16"/>
              </w:rPr>
            </w:pPr>
            <w:r w:rsidRPr="00BD77D8">
              <w:rPr>
                <w:b/>
                <w:bCs/>
                <w:sz w:val="16"/>
                <w:szCs w:val="16"/>
              </w:rPr>
              <w:t xml:space="preserve">            17,956 </w:t>
            </w:r>
          </w:p>
        </w:tc>
        <w:tc>
          <w:tcPr>
            <w:tcW w:w="1015" w:type="dxa"/>
            <w:tcBorders>
              <w:top w:val="single" w:sz="4" w:space="0" w:color="auto"/>
              <w:left w:val="nil"/>
              <w:bottom w:val="single" w:sz="4" w:space="0" w:color="auto"/>
              <w:right w:val="nil"/>
            </w:tcBorders>
            <w:shd w:val="clear" w:color="auto" w:fill="auto"/>
            <w:vAlign w:val="bottom"/>
            <w:hideMark/>
          </w:tcPr>
          <w:p w14:paraId="4A6DC167" w14:textId="77777777" w:rsidR="00B9311E" w:rsidRPr="00BD77D8" w:rsidRDefault="00B9311E" w:rsidP="00B9311E">
            <w:pPr>
              <w:spacing w:after="0" w:line="240" w:lineRule="auto"/>
              <w:jc w:val="right"/>
              <w:rPr>
                <w:b/>
                <w:bCs/>
                <w:sz w:val="16"/>
                <w:szCs w:val="16"/>
              </w:rPr>
            </w:pPr>
            <w:r w:rsidRPr="00BD77D8">
              <w:rPr>
                <w:b/>
                <w:bCs/>
                <w:sz w:val="16"/>
                <w:szCs w:val="16"/>
              </w:rPr>
              <w:t xml:space="preserve">      336,127 </w:t>
            </w:r>
          </w:p>
        </w:tc>
        <w:tc>
          <w:tcPr>
            <w:tcW w:w="1070" w:type="dxa"/>
            <w:tcBorders>
              <w:top w:val="single" w:sz="4" w:space="0" w:color="auto"/>
              <w:left w:val="nil"/>
              <w:bottom w:val="single" w:sz="4" w:space="0" w:color="auto"/>
              <w:right w:val="nil"/>
            </w:tcBorders>
            <w:shd w:val="clear" w:color="auto" w:fill="auto"/>
            <w:vAlign w:val="bottom"/>
            <w:hideMark/>
          </w:tcPr>
          <w:p w14:paraId="6FA15FE3" w14:textId="77777777" w:rsidR="00B9311E" w:rsidRPr="00BD77D8" w:rsidRDefault="00B9311E" w:rsidP="00B9311E">
            <w:pPr>
              <w:spacing w:after="0" w:line="240" w:lineRule="auto"/>
              <w:jc w:val="right"/>
              <w:rPr>
                <w:b/>
                <w:bCs/>
                <w:sz w:val="16"/>
                <w:szCs w:val="16"/>
              </w:rPr>
            </w:pPr>
            <w:r w:rsidRPr="00BD77D8">
              <w:rPr>
                <w:b/>
                <w:bCs/>
                <w:sz w:val="16"/>
                <w:szCs w:val="16"/>
              </w:rPr>
              <w:t xml:space="preserve">      349,823 </w:t>
            </w:r>
          </w:p>
        </w:tc>
      </w:tr>
      <w:tr w:rsidR="00BD77D8" w:rsidRPr="00BD77D8" w14:paraId="2DCDF6C3" w14:textId="77777777" w:rsidTr="003057FB">
        <w:trPr>
          <w:trHeight w:val="285"/>
        </w:trPr>
        <w:tc>
          <w:tcPr>
            <w:tcW w:w="3655" w:type="dxa"/>
            <w:tcBorders>
              <w:top w:val="nil"/>
              <w:left w:val="nil"/>
              <w:bottom w:val="nil"/>
              <w:right w:val="nil"/>
            </w:tcBorders>
            <w:shd w:val="clear" w:color="auto" w:fill="auto"/>
            <w:noWrap/>
            <w:vAlign w:val="bottom"/>
            <w:hideMark/>
          </w:tcPr>
          <w:p w14:paraId="1DA1345A" w14:textId="77777777" w:rsidR="00B9311E" w:rsidRPr="00BD77D8" w:rsidRDefault="00B9311E" w:rsidP="00B9311E">
            <w:pPr>
              <w:spacing w:after="0" w:line="240" w:lineRule="auto"/>
              <w:rPr>
                <w:b/>
                <w:bCs/>
                <w:sz w:val="16"/>
                <w:szCs w:val="16"/>
              </w:rPr>
            </w:pPr>
            <w:r w:rsidRPr="00BD77D8">
              <w:rPr>
                <w:b/>
                <w:bCs/>
                <w:sz w:val="16"/>
                <w:szCs w:val="16"/>
              </w:rPr>
              <w:t xml:space="preserve"> Expenses from Continuing Operations </w:t>
            </w:r>
          </w:p>
        </w:tc>
        <w:tc>
          <w:tcPr>
            <w:tcW w:w="994" w:type="dxa"/>
            <w:tcBorders>
              <w:top w:val="nil"/>
              <w:left w:val="nil"/>
              <w:bottom w:val="nil"/>
              <w:right w:val="nil"/>
            </w:tcBorders>
            <w:shd w:val="clear" w:color="auto" w:fill="auto"/>
            <w:vAlign w:val="bottom"/>
            <w:hideMark/>
          </w:tcPr>
          <w:p w14:paraId="4C6232AB" w14:textId="77777777" w:rsidR="00B9311E" w:rsidRPr="00BD77D8" w:rsidRDefault="00B9311E" w:rsidP="00B9311E">
            <w:pPr>
              <w:spacing w:after="0" w:line="240" w:lineRule="auto"/>
              <w:rPr>
                <w:b/>
                <w:bCs/>
                <w:sz w:val="16"/>
                <w:szCs w:val="16"/>
              </w:rPr>
            </w:pPr>
          </w:p>
        </w:tc>
        <w:tc>
          <w:tcPr>
            <w:tcW w:w="991" w:type="dxa"/>
            <w:tcBorders>
              <w:top w:val="nil"/>
              <w:left w:val="nil"/>
              <w:bottom w:val="nil"/>
              <w:right w:val="nil"/>
            </w:tcBorders>
            <w:shd w:val="clear" w:color="auto" w:fill="auto"/>
            <w:vAlign w:val="bottom"/>
            <w:hideMark/>
          </w:tcPr>
          <w:p w14:paraId="6E3E9905"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854" w:type="dxa"/>
            <w:tcBorders>
              <w:top w:val="nil"/>
              <w:left w:val="nil"/>
              <w:bottom w:val="nil"/>
              <w:right w:val="nil"/>
            </w:tcBorders>
            <w:shd w:val="clear" w:color="auto" w:fill="auto"/>
            <w:vAlign w:val="bottom"/>
            <w:hideMark/>
          </w:tcPr>
          <w:p w14:paraId="728138EB"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994" w:type="dxa"/>
            <w:tcBorders>
              <w:top w:val="nil"/>
              <w:left w:val="nil"/>
              <w:bottom w:val="nil"/>
              <w:right w:val="nil"/>
            </w:tcBorders>
            <w:shd w:val="clear" w:color="auto" w:fill="auto"/>
            <w:vAlign w:val="bottom"/>
            <w:hideMark/>
          </w:tcPr>
          <w:p w14:paraId="627182FC"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129" w:type="dxa"/>
            <w:tcBorders>
              <w:top w:val="nil"/>
              <w:left w:val="nil"/>
              <w:bottom w:val="nil"/>
              <w:right w:val="nil"/>
            </w:tcBorders>
            <w:shd w:val="clear" w:color="auto" w:fill="auto"/>
            <w:vAlign w:val="bottom"/>
            <w:hideMark/>
          </w:tcPr>
          <w:p w14:paraId="37BAE1E0"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130" w:type="dxa"/>
            <w:tcBorders>
              <w:top w:val="nil"/>
              <w:left w:val="nil"/>
              <w:bottom w:val="nil"/>
              <w:right w:val="nil"/>
            </w:tcBorders>
            <w:shd w:val="clear" w:color="auto" w:fill="auto"/>
            <w:vAlign w:val="bottom"/>
            <w:hideMark/>
          </w:tcPr>
          <w:p w14:paraId="17783089"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263" w:type="dxa"/>
            <w:tcBorders>
              <w:top w:val="nil"/>
              <w:left w:val="nil"/>
              <w:bottom w:val="nil"/>
              <w:right w:val="nil"/>
            </w:tcBorders>
            <w:shd w:val="clear" w:color="auto" w:fill="auto"/>
            <w:vAlign w:val="bottom"/>
            <w:hideMark/>
          </w:tcPr>
          <w:p w14:paraId="78EAA94B"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134" w:type="dxa"/>
            <w:tcBorders>
              <w:top w:val="nil"/>
              <w:left w:val="nil"/>
              <w:bottom w:val="nil"/>
              <w:right w:val="nil"/>
            </w:tcBorders>
            <w:shd w:val="clear" w:color="auto" w:fill="auto"/>
            <w:vAlign w:val="bottom"/>
            <w:hideMark/>
          </w:tcPr>
          <w:p w14:paraId="5D6DA4EB"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135" w:type="dxa"/>
            <w:tcBorders>
              <w:top w:val="nil"/>
              <w:left w:val="nil"/>
              <w:bottom w:val="nil"/>
              <w:right w:val="nil"/>
            </w:tcBorders>
            <w:shd w:val="clear" w:color="auto" w:fill="auto"/>
            <w:vAlign w:val="bottom"/>
            <w:hideMark/>
          </w:tcPr>
          <w:p w14:paraId="525CC32E"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015" w:type="dxa"/>
            <w:tcBorders>
              <w:top w:val="nil"/>
              <w:left w:val="nil"/>
              <w:bottom w:val="nil"/>
              <w:right w:val="nil"/>
            </w:tcBorders>
            <w:shd w:val="clear" w:color="auto" w:fill="auto"/>
            <w:vAlign w:val="bottom"/>
            <w:hideMark/>
          </w:tcPr>
          <w:p w14:paraId="4BB8A68F"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070" w:type="dxa"/>
            <w:tcBorders>
              <w:top w:val="nil"/>
              <w:left w:val="nil"/>
              <w:bottom w:val="nil"/>
              <w:right w:val="nil"/>
            </w:tcBorders>
            <w:shd w:val="clear" w:color="auto" w:fill="auto"/>
            <w:vAlign w:val="bottom"/>
            <w:hideMark/>
          </w:tcPr>
          <w:p w14:paraId="05DA968B"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28DC53E2" w14:textId="77777777" w:rsidTr="003057FB">
        <w:trPr>
          <w:trHeight w:val="285"/>
        </w:trPr>
        <w:tc>
          <w:tcPr>
            <w:tcW w:w="3655" w:type="dxa"/>
            <w:tcBorders>
              <w:top w:val="nil"/>
              <w:left w:val="nil"/>
              <w:bottom w:val="nil"/>
              <w:right w:val="nil"/>
            </w:tcBorders>
            <w:shd w:val="clear" w:color="auto" w:fill="auto"/>
            <w:noWrap/>
            <w:vAlign w:val="bottom"/>
            <w:hideMark/>
          </w:tcPr>
          <w:p w14:paraId="51806D62"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Employee expenses </w:t>
            </w:r>
          </w:p>
        </w:tc>
        <w:tc>
          <w:tcPr>
            <w:tcW w:w="994" w:type="dxa"/>
            <w:tcBorders>
              <w:top w:val="nil"/>
              <w:left w:val="nil"/>
              <w:bottom w:val="nil"/>
              <w:right w:val="nil"/>
            </w:tcBorders>
            <w:shd w:val="clear" w:color="auto" w:fill="auto"/>
            <w:vAlign w:val="bottom"/>
            <w:hideMark/>
          </w:tcPr>
          <w:p w14:paraId="46F11A93" w14:textId="77777777" w:rsidR="00B9311E" w:rsidRPr="00BD77D8" w:rsidRDefault="00B9311E" w:rsidP="00B9311E">
            <w:pPr>
              <w:spacing w:after="0" w:line="240" w:lineRule="auto"/>
              <w:jc w:val="right"/>
              <w:rPr>
                <w:b/>
                <w:bCs/>
                <w:sz w:val="16"/>
                <w:szCs w:val="16"/>
              </w:rPr>
            </w:pPr>
            <w:r w:rsidRPr="00BD77D8">
              <w:rPr>
                <w:b/>
                <w:bCs/>
                <w:sz w:val="16"/>
                <w:szCs w:val="16"/>
              </w:rPr>
              <w:t xml:space="preserve">     176,439 </w:t>
            </w:r>
          </w:p>
        </w:tc>
        <w:tc>
          <w:tcPr>
            <w:tcW w:w="991" w:type="dxa"/>
            <w:tcBorders>
              <w:top w:val="nil"/>
              <w:left w:val="nil"/>
              <w:bottom w:val="nil"/>
              <w:right w:val="nil"/>
            </w:tcBorders>
            <w:shd w:val="clear" w:color="auto" w:fill="auto"/>
            <w:vAlign w:val="bottom"/>
            <w:hideMark/>
          </w:tcPr>
          <w:p w14:paraId="2A95484E" w14:textId="77777777" w:rsidR="00B9311E" w:rsidRPr="00BD77D8" w:rsidRDefault="00B9311E" w:rsidP="00B9311E">
            <w:pPr>
              <w:spacing w:after="0" w:line="240" w:lineRule="auto"/>
              <w:jc w:val="right"/>
              <w:rPr>
                <w:sz w:val="16"/>
                <w:szCs w:val="16"/>
              </w:rPr>
            </w:pPr>
            <w:r w:rsidRPr="00BD77D8">
              <w:rPr>
                <w:sz w:val="16"/>
                <w:szCs w:val="16"/>
              </w:rPr>
              <w:t xml:space="preserve">      177,589 </w:t>
            </w:r>
          </w:p>
        </w:tc>
        <w:tc>
          <w:tcPr>
            <w:tcW w:w="854" w:type="dxa"/>
            <w:tcBorders>
              <w:top w:val="nil"/>
              <w:left w:val="nil"/>
              <w:bottom w:val="nil"/>
              <w:right w:val="nil"/>
            </w:tcBorders>
            <w:shd w:val="clear" w:color="auto" w:fill="auto"/>
            <w:vAlign w:val="bottom"/>
            <w:hideMark/>
          </w:tcPr>
          <w:p w14:paraId="3C039614" w14:textId="77777777" w:rsidR="00B9311E" w:rsidRPr="00BD77D8" w:rsidRDefault="00B9311E" w:rsidP="00B9311E">
            <w:pPr>
              <w:spacing w:after="0" w:line="240" w:lineRule="auto"/>
              <w:jc w:val="right"/>
              <w:rPr>
                <w:b/>
                <w:bCs/>
                <w:sz w:val="16"/>
                <w:szCs w:val="16"/>
              </w:rPr>
            </w:pPr>
            <w:r w:rsidRPr="00BD77D8">
              <w:rPr>
                <w:b/>
                <w:bCs/>
                <w:sz w:val="16"/>
                <w:szCs w:val="16"/>
              </w:rPr>
              <w:t xml:space="preserve">         1,024 </w:t>
            </w:r>
          </w:p>
        </w:tc>
        <w:tc>
          <w:tcPr>
            <w:tcW w:w="994" w:type="dxa"/>
            <w:tcBorders>
              <w:top w:val="nil"/>
              <w:left w:val="nil"/>
              <w:bottom w:val="nil"/>
              <w:right w:val="nil"/>
            </w:tcBorders>
            <w:shd w:val="clear" w:color="auto" w:fill="auto"/>
            <w:vAlign w:val="bottom"/>
            <w:hideMark/>
          </w:tcPr>
          <w:p w14:paraId="70A14A84" w14:textId="77777777" w:rsidR="00B9311E" w:rsidRPr="00BD77D8" w:rsidRDefault="00B9311E" w:rsidP="00B9311E">
            <w:pPr>
              <w:spacing w:after="0" w:line="240" w:lineRule="auto"/>
              <w:jc w:val="right"/>
              <w:rPr>
                <w:sz w:val="16"/>
                <w:szCs w:val="16"/>
              </w:rPr>
            </w:pPr>
            <w:r w:rsidRPr="00BD77D8">
              <w:rPr>
                <w:sz w:val="16"/>
                <w:szCs w:val="16"/>
              </w:rPr>
              <w:t xml:space="preserve">              739 </w:t>
            </w:r>
          </w:p>
        </w:tc>
        <w:tc>
          <w:tcPr>
            <w:tcW w:w="1129" w:type="dxa"/>
            <w:tcBorders>
              <w:top w:val="nil"/>
              <w:left w:val="nil"/>
              <w:bottom w:val="nil"/>
              <w:right w:val="nil"/>
            </w:tcBorders>
            <w:shd w:val="clear" w:color="auto" w:fill="auto"/>
            <w:vAlign w:val="bottom"/>
            <w:hideMark/>
          </w:tcPr>
          <w:p w14:paraId="76B48E34" w14:textId="77777777" w:rsidR="00B9311E" w:rsidRPr="00BD77D8" w:rsidRDefault="00B9311E" w:rsidP="00B9311E">
            <w:pPr>
              <w:spacing w:after="0" w:line="240" w:lineRule="auto"/>
              <w:jc w:val="right"/>
              <w:rPr>
                <w:sz w:val="16"/>
                <w:szCs w:val="16"/>
              </w:rPr>
            </w:pPr>
            <w:r w:rsidRPr="00BD77D8">
              <w:rPr>
                <w:sz w:val="16"/>
                <w:szCs w:val="16"/>
              </w:rPr>
              <w:t xml:space="preserve">            5,743 </w:t>
            </w:r>
          </w:p>
        </w:tc>
        <w:tc>
          <w:tcPr>
            <w:tcW w:w="1130" w:type="dxa"/>
            <w:tcBorders>
              <w:top w:val="nil"/>
              <w:left w:val="nil"/>
              <w:bottom w:val="nil"/>
              <w:right w:val="nil"/>
            </w:tcBorders>
            <w:shd w:val="clear" w:color="auto" w:fill="auto"/>
            <w:vAlign w:val="bottom"/>
            <w:hideMark/>
          </w:tcPr>
          <w:p w14:paraId="07C06298" w14:textId="77777777" w:rsidR="00B9311E" w:rsidRPr="00BD77D8" w:rsidRDefault="00B9311E" w:rsidP="00B9311E">
            <w:pPr>
              <w:spacing w:after="0" w:line="240" w:lineRule="auto"/>
              <w:jc w:val="right"/>
              <w:rPr>
                <w:b/>
                <w:bCs/>
                <w:sz w:val="16"/>
                <w:szCs w:val="16"/>
              </w:rPr>
            </w:pPr>
            <w:r w:rsidRPr="00BD77D8">
              <w:rPr>
                <w:b/>
                <w:bCs/>
                <w:sz w:val="16"/>
                <w:szCs w:val="16"/>
              </w:rPr>
              <w:t xml:space="preserve">           17,271 </w:t>
            </w:r>
          </w:p>
        </w:tc>
        <w:tc>
          <w:tcPr>
            <w:tcW w:w="1263" w:type="dxa"/>
            <w:tcBorders>
              <w:top w:val="nil"/>
              <w:left w:val="nil"/>
              <w:bottom w:val="nil"/>
              <w:right w:val="nil"/>
            </w:tcBorders>
            <w:shd w:val="clear" w:color="auto" w:fill="auto"/>
            <w:vAlign w:val="bottom"/>
            <w:hideMark/>
          </w:tcPr>
          <w:p w14:paraId="7A9324E0" w14:textId="77777777" w:rsidR="00B9311E" w:rsidRPr="00BD77D8" w:rsidRDefault="00B9311E" w:rsidP="00B9311E">
            <w:pPr>
              <w:spacing w:after="0" w:line="240" w:lineRule="auto"/>
              <w:jc w:val="right"/>
              <w:rPr>
                <w:sz w:val="16"/>
                <w:szCs w:val="16"/>
              </w:rPr>
            </w:pPr>
            <w:r w:rsidRPr="00BD77D8">
              <w:rPr>
                <w:sz w:val="16"/>
                <w:szCs w:val="16"/>
              </w:rPr>
              <w:t xml:space="preserve">            10,473 </w:t>
            </w:r>
          </w:p>
        </w:tc>
        <w:tc>
          <w:tcPr>
            <w:tcW w:w="1134" w:type="dxa"/>
            <w:tcBorders>
              <w:top w:val="nil"/>
              <w:left w:val="nil"/>
              <w:bottom w:val="nil"/>
              <w:right w:val="nil"/>
            </w:tcBorders>
            <w:shd w:val="clear" w:color="auto" w:fill="auto"/>
            <w:vAlign w:val="bottom"/>
            <w:hideMark/>
          </w:tcPr>
          <w:p w14:paraId="79FAA666" w14:textId="77777777" w:rsidR="00B9311E" w:rsidRPr="00BD77D8" w:rsidRDefault="00B9311E" w:rsidP="00B9311E">
            <w:pPr>
              <w:spacing w:after="0" w:line="240" w:lineRule="auto"/>
              <w:jc w:val="right"/>
              <w:rPr>
                <w:b/>
                <w:bCs/>
                <w:sz w:val="16"/>
                <w:szCs w:val="16"/>
              </w:rPr>
            </w:pPr>
            <w:r w:rsidRPr="00BD77D8">
              <w:rPr>
                <w:b/>
                <w:bCs/>
                <w:sz w:val="16"/>
                <w:szCs w:val="16"/>
              </w:rPr>
              <w:t xml:space="preserve">           20,174 </w:t>
            </w:r>
          </w:p>
        </w:tc>
        <w:tc>
          <w:tcPr>
            <w:tcW w:w="1135" w:type="dxa"/>
            <w:tcBorders>
              <w:top w:val="nil"/>
              <w:left w:val="nil"/>
              <w:bottom w:val="nil"/>
              <w:right w:val="nil"/>
            </w:tcBorders>
            <w:shd w:val="clear" w:color="auto" w:fill="auto"/>
            <w:vAlign w:val="bottom"/>
            <w:hideMark/>
          </w:tcPr>
          <w:p w14:paraId="1FCE8F2B" w14:textId="77777777" w:rsidR="00B9311E" w:rsidRPr="00BD77D8" w:rsidRDefault="00B9311E" w:rsidP="00B9311E">
            <w:pPr>
              <w:spacing w:after="0" w:line="240" w:lineRule="auto"/>
              <w:jc w:val="right"/>
              <w:rPr>
                <w:sz w:val="16"/>
                <w:szCs w:val="16"/>
              </w:rPr>
            </w:pPr>
            <w:r w:rsidRPr="00BD77D8">
              <w:rPr>
                <w:sz w:val="16"/>
                <w:szCs w:val="16"/>
              </w:rPr>
              <w:t xml:space="preserve">            11,414 </w:t>
            </w:r>
          </w:p>
        </w:tc>
        <w:tc>
          <w:tcPr>
            <w:tcW w:w="1015" w:type="dxa"/>
            <w:tcBorders>
              <w:top w:val="nil"/>
              <w:left w:val="nil"/>
              <w:bottom w:val="nil"/>
              <w:right w:val="nil"/>
            </w:tcBorders>
            <w:shd w:val="clear" w:color="auto" w:fill="auto"/>
            <w:vAlign w:val="bottom"/>
            <w:hideMark/>
          </w:tcPr>
          <w:p w14:paraId="52571EB1" w14:textId="77777777" w:rsidR="00B9311E" w:rsidRPr="00BD77D8" w:rsidRDefault="00B9311E" w:rsidP="00B9311E">
            <w:pPr>
              <w:spacing w:after="0" w:line="240" w:lineRule="auto"/>
              <w:jc w:val="right"/>
              <w:rPr>
                <w:b/>
                <w:bCs/>
                <w:sz w:val="16"/>
                <w:szCs w:val="16"/>
              </w:rPr>
            </w:pPr>
            <w:r w:rsidRPr="00BD77D8">
              <w:rPr>
                <w:b/>
                <w:bCs/>
                <w:sz w:val="16"/>
                <w:szCs w:val="16"/>
              </w:rPr>
              <w:t xml:space="preserve">      214,908 </w:t>
            </w:r>
          </w:p>
        </w:tc>
        <w:tc>
          <w:tcPr>
            <w:tcW w:w="1070" w:type="dxa"/>
            <w:tcBorders>
              <w:top w:val="nil"/>
              <w:left w:val="nil"/>
              <w:bottom w:val="nil"/>
              <w:right w:val="nil"/>
            </w:tcBorders>
            <w:shd w:val="clear" w:color="auto" w:fill="auto"/>
            <w:vAlign w:val="bottom"/>
            <w:hideMark/>
          </w:tcPr>
          <w:p w14:paraId="73413D5F" w14:textId="77777777" w:rsidR="00B9311E" w:rsidRPr="00BD77D8" w:rsidRDefault="00B9311E" w:rsidP="00B9311E">
            <w:pPr>
              <w:spacing w:after="0" w:line="240" w:lineRule="auto"/>
              <w:jc w:val="right"/>
              <w:rPr>
                <w:sz w:val="16"/>
                <w:szCs w:val="16"/>
              </w:rPr>
            </w:pPr>
            <w:r w:rsidRPr="00BD77D8">
              <w:rPr>
                <w:sz w:val="16"/>
                <w:szCs w:val="16"/>
              </w:rPr>
              <w:t xml:space="preserve">      205,688 </w:t>
            </w:r>
          </w:p>
        </w:tc>
      </w:tr>
      <w:tr w:rsidR="00BD77D8" w:rsidRPr="00BD77D8" w14:paraId="547065A0" w14:textId="77777777" w:rsidTr="003057FB">
        <w:trPr>
          <w:trHeight w:val="285"/>
        </w:trPr>
        <w:tc>
          <w:tcPr>
            <w:tcW w:w="3655" w:type="dxa"/>
            <w:tcBorders>
              <w:top w:val="nil"/>
              <w:left w:val="nil"/>
              <w:bottom w:val="nil"/>
              <w:right w:val="nil"/>
            </w:tcBorders>
            <w:shd w:val="clear" w:color="auto" w:fill="auto"/>
            <w:noWrap/>
            <w:vAlign w:val="bottom"/>
            <w:hideMark/>
          </w:tcPr>
          <w:p w14:paraId="278ACE02"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Supplies and services </w:t>
            </w:r>
          </w:p>
        </w:tc>
        <w:tc>
          <w:tcPr>
            <w:tcW w:w="994" w:type="dxa"/>
            <w:tcBorders>
              <w:top w:val="nil"/>
              <w:left w:val="nil"/>
              <w:bottom w:val="nil"/>
              <w:right w:val="nil"/>
            </w:tcBorders>
            <w:shd w:val="clear" w:color="auto" w:fill="auto"/>
            <w:vAlign w:val="bottom"/>
            <w:hideMark/>
          </w:tcPr>
          <w:p w14:paraId="130DF274" w14:textId="77777777" w:rsidR="00B9311E" w:rsidRPr="00BD77D8" w:rsidRDefault="00B9311E" w:rsidP="00B9311E">
            <w:pPr>
              <w:spacing w:after="0" w:line="240" w:lineRule="auto"/>
              <w:jc w:val="right"/>
              <w:rPr>
                <w:b/>
                <w:bCs/>
                <w:sz w:val="16"/>
                <w:szCs w:val="16"/>
              </w:rPr>
            </w:pPr>
            <w:r w:rsidRPr="00BD77D8">
              <w:rPr>
                <w:b/>
                <w:bCs/>
                <w:sz w:val="16"/>
                <w:szCs w:val="16"/>
              </w:rPr>
              <w:t xml:space="preserve">       42,908 </w:t>
            </w:r>
          </w:p>
        </w:tc>
        <w:tc>
          <w:tcPr>
            <w:tcW w:w="991" w:type="dxa"/>
            <w:tcBorders>
              <w:top w:val="nil"/>
              <w:left w:val="nil"/>
              <w:bottom w:val="nil"/>
              <w:right w:val="nil"/>
            </w:tcBorders>
            <w:shd w:val="clear" w:color="auto" w:fill="auto"/>
            <w:vAlign w:val="bottom"/>
            <w:hideMark/>
          </w:tcPr>
          <w:p w14:paraId="191B09CF" w14:textId="77777777" w:rsidR="00B9311E" w:rsidRPr="00BD77D8" w:rsidRDefault="00B9311E" w:rsidP="00B9311E">
            <w:pPr>
              <w:spacing w:after="0" w:line="240" w:lineRule="auto"/>
              <w:jc w:val="right"/>
              <w:rPr>
                <w:sz w:val="16"/>
                <w:szCs w:val="16"/>
              </w:rPr>
            </w:pPr>
            <w:r w:rsidRPr="00BD77D8">
              <w:rPr>
                <w:sz w:val="16"/>
                <w:szCs w:val="16"/>
              </w:rPr>
              <w:t xml:space="preserve">        45,983 </w:t>
            </w:r>
          </w:p>
        </w:tc>
        <w:tc>
          <w:tcPr>
            <w:tcW w:w="854" w:type="dxa"/>
            <w:tcBorders>
              <w:top w:val="nil"/>
              <w:left w:val="nil"/>
              <w:bottom w:val="nil"/>
              <w:right w:val="nil"/>
            </w:tcBorders>
            <w:shd w:val="clear" w:color="auto" w:fill="auto"/>
            <w:vAlign w:val="bottom"/>
            <w:hideMark/>
          </w:tcPr>
          <w:p w14:paraId="3D54107C" w14:textId="77777777" w:rsidR="00B9311E" w:rsidRPr="00BD77D8" w:rsidRDefault="00B9311E" w:rsidP="00B9311E">
            <w:pPr>
              <w:spacing w:after="0" w:line="240" w:lineRule="auto"/>
              <w:jc w:val="right"/>
              <w:rPr>
                <w:b/>
                <w:bCs/>
                <w:sz w:val="16"/>
                <w:szCs w:val="16"/>
              </w:rPr>
            </w:pPr>
            <w:r w:rsidRPr="00BD77D8">
              <w:rPr>
                <w:b/>
                <w:bCs/>
                <w:sz w:val="16"/>
                <w:szCs w:val="16"/>
              </w:rPr>
              <w:t xml:space="preserve">       10,387 </w:t>
            </w:r>
          </w:p>
        </w:tc>
        <w:tc>
          <w:tcPr>
            <w:tcW w:w="994" w:type="dxa"/>
            <w:tcBorders>
              <w:top w:val="nil"/>
              <w:left w:val="nil"/>
              <w:bottom w:val="nil"/>
              <w:right w:val="nil"/>
            </w:tcBorders>
            <w:shd w:val="clear" w:color="auto" w:fill="auto"/>
            <w:vAlign w:val="bottom"/>
            <w:hideMark/>
          </w:tcPr>
          <w:p w14:paraId="5D09270F" w14:textId="77777777" w:rsidR="00B9311E" w:rsidRPr="00BD77D8" w:rsidRDefault="00B9311E" w:rsidP="00B9311E">
            <w:pPr>
              <w:spacing w:after="0" w:line="240" w:lineRule="auto"/>
              <w:jc w:val="right"/>
              <w:rPr>
                <w:sz w:val="16"/>
                <w:szCs w:val="16"/>
              </w:rPr>
            </w:pPr>
            <w:r w:rsidRPr="00BD77D8">
              <w:rPr>
                <w:sz w:val="16"/>
                <w:szCs w:val="16"/>
              </w:rPr>
              <w:t xml:space="preserve">         10,402 </w:t>
            </w:r>
          </w:p>
        </w:tc>
        <w:tc>
          <w:tcPr>
            <w:tcW w:w="1129" w:type="dxa"/>
            <w:tcBorders>
              <w:top w:val="nil"/>
              <w:left w:val="nil"/>
              <w:bottom w:val="nil"/>
              <w:right w:val="nil"/>
            </w:tcBorders>
            <w:shd w:val="clear" w:color="auto" w:fill="auto"/>
            <w:vAlign w:val="bottom"/>
            <w:hideMark/>
          </w:tcPr>
          <w:p w14:paraId="432C4543" w14:textId="77777777" w:rsidR="00B9311E" w:rsidRPr="00BD77D8" w:rsidRDefault="00B9311E" w:rsidP="00B9311E">
            <w:pPr>
              <w:spacing w:after="0" w:line="240" w:lineRule="auto"/>
              <w:jc w:val="right"/>
              <w:rPr>
                <w:sz w:val="16"/>
                <w:szCs w:val="16"/>
              </w:rPr>
            </w:pPr>
            <w:r w:rsidRPr="00BD77D8">
              <w:rPr>
                <w:sz w:val="16"/>
                <w:szCs w:val="16"/>
              </w:rPr>
              <w:t xml:space="preserve">          51,827 </w:t>
            </w:r>
          </w:p>
        </w:tc>
        <w:tc>
          <w:tcPr>
            <w:tcW w:w="1130" w:type="dxa"/>
            <w:tcBorders>
              <w:top w:val="nil"/>
              <w:left w:val="nil"/>
              <w:bottom w:val="nil"/>
              <w:right w:val="nil"/>
            </w:tcBorders>
            <w:shd w:val="clear" w:color="auto" w:fill="auto"/>
            <w:vAlign w:val="bottom"/>
            <w:hideMark/>
          </w:tcPr>
          <w:p w14:paraId="1469FAE0" w14:textId="77777777" w:rsidR="00B9311E" w:rsidRPr="00BD77D8" w:rsidRDefault="00B9311E" w:rsidP="00B9311E">
            <w:pPr>
              <w:spacing w:after="0" w:line="240" w:lineRule="auto"/>
              <w:jc w:val="right"/>
              <w:rPr>
                <w:b/>
                <w:bCs/>
                <w:sz w:val="16"/>
                <w:szCs w:val="16"/>
              </w:rPr>
            </w:pPr>
            <w:r w:rsidRPr="00BD77D8">
              <w:rPr>
                <w:b/>
                <w:bCs/>
                <w:sz w:val="16"/>
                <w:szCs w:val="16"/>
              </w:rPr>
              <w:t xml:space="preserve">             6,804 </w:t>
            </w:r>
          </w:p>
        </w:tc>
        <w:tc>
          <w:tcPr>
            <w:tcW w:w="1263" w:type="dxa"/>
            <w:tcBorders>
              <w:top w:val="nil"/>
              <w:left w:val="nil"/>
              <w:bottom w:val="nil"/>
              <w:right w:val="nil"/>
            </w:tcBorders>
            <w:shd w:val="clear" w:color="auto" w:fill="auto"/>
            <w:vAlign w:val="bottom"/>
            <w:hideMark/>
          </w:tcPr>
          <w:p w14:paraId="40CA2D8E" w14:textId="77777777" w:rsidR="00B9311E" w:rsidRPr="00BD77D8" w:rsidRDefault="00B9311E" w:rsidP="00B9311E">
            <w:pPr>
              <w:spacing w:after="0" w:line="240" w:lineRule="auto"/>
              <w:jc w:val="right"/>
              <w:rPr>
                <w:sz w:val="16"/>
                <w:szCs w:val="16"/>
              </w:rPr>
            </w:pPr>
            <w:r w:rsidRPr="00BD77D8">
              <w:rPr>
                <w:sz w:val="16"/>
                <w:szCs w:val="16"/>
              </w:rPr>
              <w:t xml:space="preserve">              4,419 </w:t>
            </w:r>
          </w:p>
        </w:tc>
        <w:tc>
          <w:tcPr>
            <w:tcW w:w="1134" w:type="dxa"/>
            <w:tcBorders>
              <w:top w:val="nil"/>
              <w:left w:val="nil"/>
              <w:bottom w:val="nil"/>
              <w:right w:val="nil"/>
            </w:tcBorders>
            <w:shd w:val="clear" w:color="auto" w:fill="auto"/>
            <w:vAlign w:val="bottom"/>
            <w:hideMark/>
          </w:tcPr>
          <w:p w14:paraId="274273AF" w14:textId="77777777" w:rsidR="00B9311E" w:rsidRPr="00BD77D8" w:rsidRDefault="00B9311E" w:rsidP="00B9311E">
            <w:pPr>
              <w:spacing w:after="0" w:line="240" w:lineRule="auto"/>
              <w:jc w:val="right"/>
              <w:rPr>
                <w:b/>
                <w:bCs/>
                <w:sz w:val="16"/>
                <w:szCs w:val="16"/>
              </w:rPr>
            </w:pPr>
            <w:r w:rsidRPr="00BD77D8">
              <w:rPr>
                <w:b/>
                <w:bCs/>
                <w:sz w:val="16"/>
                <w:szCs w:val="16"/>
              </w:rPr>
              <w:t xml:space="preserve">             7,537 </w:t>
            </w:r>
          </w:p>
        </w:tc>
        <w:tc>
          <w:tcPr>
            <w:tcW w:w="1135" w:type="dxa"/>
            <w:tcBorders>
              <w:top w:val="nil"/>
              <w:left w:val="nil"/>
              <w:bottom w:val="nil"/>
              <w:right w:val="nil"/>
            </w:tcBorders>
            <w:shd w:val="clear" w:color="auto" w:fill="auto"/>
            <w:vAlign w:val="bottom"/>
            <w:hideMark/>
          </w:tcPr>
          <w:p w14:paraId="3B5CC4E9" w14:textId="77777777" w:rsidR="00B9311E" w:rsidRPr="00BD77D8" w:rsidRDefault="00B9311E" w:rsidP="00B9311E">
            <w:pPr>
              <w:spacing w:after="0" w:line="240" w:lineRule="auto"/>
              <w:jc w:val="right"/>
              <w:rPr>
                <w:sz w:val="16"/>
                <w:szCs w:val="16"/>
              </w:rPr>
            </w:pPr>
            <w:r w:rsidRPr="00BD77D8">
              <w:rPr>
                <w:sz w:val="16"/>
                <w:szCs w:val="16"/>
              </w:rPr>
              <w:t xml:space="preserve">              3,908 </w:t>
            </w:r>
          </w:p>
        </w:tc>
        <w:tc>
          <w:tcPr>
            <w:tcW w:w="1015" w:type="dxa"/>
            <w:tcBorders>
              <w:top w:val="nil"/>
              <w:left w:val="nil"/>
              <w:bottom w:val="nil"/>
              <w:right w:val="nil"/>
            </w:tcBorders>
            <w:shd w:val="clear" w:color="auto" w:fill="auto"/>
            <w:vAlign w:val="bottom"/>
            <w:hideMark/>
          </w:tcPr>
          <w:p w14:paraId="70FAEB4B" w14:textId="77777777" w:rsidR="00B9311E" w:rsidRPr="00BD77D8" w:rsidRDefault="00B9311E" w:rsidP="00B9311E">
            <w:pPr>
              <w:spacing w:after="0" w:line="240" w:lineRule="auto"/>
              <w:jc w:val="right"/>
              <w:rPr>
                <w:b/>
                <w:bCs/>
                <w:sz w:val="16"/>
                <w:szCs w:val="16"/>
              </w:rPr>
            </w:pPr>
            <w:r w:rsidRPr="00BD77D8">
              <w:rPr>
                <w:b/>
                <w:bCs/>
                <w:sz w:val="16"/>
                <w:szCs w:val="16"/>
              </w:rPr>
              <w:t xml:space="preserve">        67,636 </w:t>
            </w:r>
          </w:p>
        </w:tc>
        <w:tc>
          <w:tcPr>
            <w:tcW w:w="1070" w:type="dxa"/>
            <w:tcBorders>
              <w:top w:val="nil"/>
              <w:left w:val="nil"/>
              <w:bottom w:val="nil"/>
              <w:right w:val="nil"/>
            </w:tcBorders>
            <w:shd w:val="clear" w:color="auto" w:fill="auto"/>
            <w:vAlign w:val="bottom"/>
            <w:hideMark/>
          </w:tcPr>
          <w:p w14:paraId="6521957A" w14:textId="77777777" w:rsidR="00B9311E" w:rsidRPr="00BD77D8" w:rsidRDefault="00B9311E" w:rsidP="00B9311E">
            <w:pPr>
              <w:spacing w:after="0" w:line="240" w:lineRule="auto"/>
              <w:jc w:val="right"/>
              <w:rPr>
                <w:sz w:val="16"/>
                <w:szCs w:val="16"/>
              </w:rPr>
            </w:pPr>
            <w:r w:rsidRPr="00BD77D8">
              <w:rPr>
                <w:sz w:val="16"/>
                <w:szCs w:val="16"/>
              </w:rPr>
              <w:t xml:space="preserve">      116,539 </w:t>
            </w:r>
          </w:p>
        </w:tc>
      </w:tr>
      <w:tr w:rsidR="00BD77D8" w:rsidRPr="00BD77D8" w14:paraId="44FAF542" w14:textId="77777777" w:rsidTr="003057FB">
        <w:trPr>
          <w:trHeight w:val="285"/>
        </w:trPr>
        <w:tc>
          <w:tcPr>
            <w:tcW w:w="3655" w:type="dxa"/>
            <w:tcBorders>
              <w:top w:val="nil"/>
              <w:left w:val="nil"/>
              <w:bottom w:val="nil"/>
              <w:right w:val="nil"/>
            </w:tcBorders>
            <w:shd w:val="clear" w:color="auto" w:fill="auto"/>
            <w:noWrap/>
            <w:vAlign w:val="bottom"/>
            <w:hideMark/>
          </w:tcPr>
          <w:p w14:paraId="76F79213"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Grants and Subsidies </w:t>
            </w:r>
          </w:p>
        </w:tc>
        <w:tc>
          <w:tcPr>
            <w:tcW w:w="994" w:type="dxa"/>
            <w:tcBorders>
              <w:top w:val="nil"/>
              <w:left w:val="nil"/>
              <w:bottom w:val="nil"/>
              <w:right w:val="nil"/>
            </w:tcBorders>
            <w:shd w:val="clear" w:color="auto" w:fill="auto"/>
            <w:vAlign w:val="bottom"/>
            <w:hideMark/>
          </w:tcPr>
          <w:p w14:paraId="12ABD2C6" w14:textId="77777777" w:rsidR="00B9311E" w:rsidRPr="00BD77D8" w:rsidRDefault="00B9311E" w:rsidP="00B9311E">
            <w:pPr>
              <w:spacing w:after="0" w:line="240" w:lineRule="auto"/>
              <w:jc w:val="right"/>
              <w:rPr>
                <w:b/>
                <w:bCs/>
                <w:sz w:val="16"/>
                <w:szCs w:val="16"/>
              </w:rPr>
            </w:pPr>
            <w:r w:rsidRPr="00BD77D8">
              <w:rPr>
                <w:b/>
                <w:bCs/>
                <w:sz w:val="16"/>
                <w:szCs w:val="16"/>
              </w:rPr>
              <w:t xml:space="preserve">         4,541 </w:t>
            </w:r>
          </w:p>
        </w:tc>
        <w:tc>
          <w:tcPr>
            <w:tcW w:w="991" w:type="dxa"/>
            <w:tcBorders>
              <w:top w:val="nil"/>
              <w:left w:val="nil"/>
              <w:bottom w:val="nil"/>
              <w:right w:val="nil"/>
            </w:tcBorders>
            <w:shd w:val="clear" w:color="auto" w:fill="auto"/>
            <w:vAlign w:val="bottom"/>
            <w:hideMark/>
          </w:tcPr>
          <w:p w14:paraId="64C1B0BF" w14:textId="77777777" w:rsidR="00B9311E" w:rsidRPr="00BD77D8" w:rsidRDefault="00B9311E" w:rsidP="00B9311E">
            <w:pPr>
              <w:spacing w:after="0" w:line="240" w:lineRule="auto"/>
              <w:jc w:val="right"/>
              <w:rPr>
                <w:sz w:val="16"/>
                <w:szCs w:val="16"/>
              </w:rPr>
            </w:pPr>
            <w:r w:rsidRPr="00BD77D8">
              <w:rPr>
                <w:sz w:val="16"/>
                <w:szCs w:val="16"/>
              </w:rPr>
              <w:t xml:space="preserve">          4,099 </w:t>
            </w:r>
          </w:p>
        </w:tc>
        <w:tc>
          <w:tcPr>
            <w:tcW w:w="854" w:type="dxa"/>
            <w:tcBorders>
              <w:top w:val="nil"/>
              <w:left w:val="nil"/>
              <w:bottom w:val="nil"/>
              <w:right w:val="nil"/>
            </w:tcBorders>
            <w:shd w:val="clear" w:color="auto" w:fill="auto"/>
            <w:vAlign w:val="bottom"/>
            <w:hideMark/>
          </w:tcPr>
          <w:p w14:paraId="75A67FC7" w14:textId="77777777" w:rsidR="00B9311E" w:rsidRPr="00BD77D8" w:rsidRDefault="00B9311E" w:rsidP="00B9311E">
            <w:pPr>
              <w:spacing w:after="0" w:line="240" w:lineRule="auto"/>
              <w:jc w:val="right"/>
              <w:rPr>
                <w:b/>
                <w:bCs/>
                <w:sz w:val="16"/>
                <w:szCs w:val="16"/>
              </w:rPr>
            </w:pPr>
            <w:r w:rsidRPr="00BD77D8">
              <w:rPr>
                <w:b/>
                <w:bCs/>
                <w:sz w:val="16"/>
                <w:szCs w:val="16"/>
              </w:rPr>
              <w:t xml:space="preserve">            223 </w:t>
            </w:r>
          </w:p>
        </w:tc>
        <w:tc>
          <w:tcPr>
            <w:tcW w:w="994" w:type="dxa"/>
            <w:tcBorders>
              <w:top w:val="nil"/>
              <w:left w:val="nil"/>
              <w:bottom w:val="nil"/>
              <w:right w:val="nil"/>
            </w:tcBorders>
            <w:shd w:val="clear" w:color="auto" w:fill="auto"/>
            <w:vAlign w:val="bottom"/>
            <w:hideMark/>
          </w:tcPr>
          <w:p w14:paraId="0F80E0D1" w14:textId="77777777" w:rsidR="00B9311E" w:rsidRPr="00BD77D8" w:rsidRDefault="00B9311E" w:rsidP="00B9311E">
            <w:pPr>
              <w:spacing w:after="0" w:line="240" w:lineRule="auto"/>
              <w:jc w:val="right"/>
              <w:rPr>
                <w:sz w:val="16"/>
                <w:szCs w:val="16"/>
              </w:rPr>
            </w:pPr>
            <w:r w:rsidRPr="00BD77D8">
              <w:rPr>
                <w:sz w:val="16"/>
                <w:szCs w:val="16"/>
              </w:rPr>
              <w:t xml:space="preserve">              520 </w:t>
            </w:r>
          </w:p>
        </w:tc>
        <w:tc>
          <w:tcPr>
            <w:tcW w:w="1129" w:type="dxa"/>
            <w:tcBorders>
              <w:top w:val="nil"/>
              <w:left w:val="nil"/>
              <w:bottom w:val="nil"/>
              <w:right w:val="nil"/>
            </w:tcBorders>
            <w:shd w:val="clear" w:color="auto" w:fill="auto"/>
            <w:vAlign w:val="bottom"/>
            <w:hideMark/>
          </w:tcPr>
          <w:p w14:paraId="5E3D7E93" w14:textId="77777777" w:rsidR="00B9311E" w:rsidRPr="00BD77D8" w:rsidRDefault="00B9311E" w:rsidP="00B9311E">
            <w:pPr>
              <w:spacing w:after="0" w:line="240" w:lineRule="auto"/>
              <w:jc w:val="right"/>
              <w:rPr>
                <w:sz w:val="16"/>
                <w:szCs w:val="16"/>
              </w:rPr>
            </w:pPr>
            <w:r w:rsidRPr="00BD77D8">
              <w:rPr>
                <w:sz w:val="16"/>
                <w:szCs w:val="16"/>
              </w:rPr>
              <w:t xml:space="preserve">            9,221 </w:t>
            </w:r>
          </w:p>
        </w:tc>
        <w:tc>
          <w:tcPr>
            <w:tcW w:w="1130" w:type="dxa"/>
            <w:tcBorders>
              <w:top w:val="nil"/>
              <w:left w:val="nil"/>
              <w:bottom w:val="nil"/>
              <w:right w:val="nil"/>
            </w:tcBorders>
            <w:shd w:val="clear" w:color="auto" w:fill="auto"/>
            <w:vAlign w:val="bottom"/>
            <w:hideMark/>
          </w:tcPr>
          <w:p w14:paraId="782DC6A2" w14:textId="77777777" w:rsidR="00B9311E" w:rsidRPr="00BD77D8" w:rsidRDefault="00B9311E" w:rsidP="00B9311E">
            <w:pPr>
              <w:spacing w:after="0" w:line="240" w:lineRule="auto"/>
              <w:jc w:val="right"/>
              <w:rPr>
                <w:b/>
                <w:bCs/>
                <w:sz w:val="16"/>
                <w:szCs w:val="16"/>
              </w:rPr>
            </w:pPr>
            <w:r w:rsidRPr="00BD77D8">
              <w:rPr>
                <w:b/>
                <w:bCs/>
                <w:sz w:val="16"/>
                <w:szCs w:val="16"/>
              </w:rPr>
              <w:t xml:space="preserve">             4,070 </w:t>
            </w:r>
          </w:p>
        </w:tc>
        <w:tc>
          <w:tcPr>
            <w:tcW w:w="1263" w:type="dxa"/>
            <w:tcBorders>
              <w:top w:val="nil"/>
              <w:left w:val="nil"/>
              <w:bottom w:val="nil"/>
              <w:right w:val="nil"/>
            </w:tcBorders>
            <w:shd w:val="clear" w:color="auto" w:fill="auto"/>
            <w:vAlign w:val="bottom"/>
            <w:hideMark/>
          </w:tcPr>
          <w:p w14:paraId="0F2A3103" w14:textId="77777777" w:rsidR="00B9311E" w:rsidRPr="00BD77D8" w:rsidRDefault="00B9311E" w:rsidP="00B9311E">
            <w:pPr>
              <w:spacing w:after="0" w:line="240" w:lineRule="auto"/>
              <w:jc w:val="right"/>
              <w:rPr>
                <w:sz w:val="16"/>
                <w:szCs w:val="16"/>
              </w:rPr>
            </w:pPr>
            <w:r w:rsidRPr="00BD77D8">
              <w:rPr>
                <w:sz w:val="16"/>
                <w:szCs w:val="16"/>
              </w:rPr>
              <w:t xml:space="preserve">              1,202 </w:t>
            </w:r>
          </w:p>
        </w:tc>
        <w:tc>
          <w:tcPr>
            <w:tcW w:w="1134" w:type="dxa"/>
            <w:tcBorders>
              <w:top w:val="nil"/>
              <w:left w:val="nil"/>
              <w:bottom w:val="nil"/>
              <w:right w:val="nil"/>
            </w:tcBorders>
            <w:shd w:val="clear" w:color="auto" w:fill="auto"/>
            <w:vAlign w:val="bottom"/>
            <w:hideMark/>
          </w:tcPr>
          <w:p w14:paraId="60A6F2D1" w14:textId="77777777" w:rsidR="00B9311E" w:rsidRPr="00BD77D8" w:rsidRDefault="00B9311E" w:rsidP="00B9311E">
            <w:pPr>
              <w:spacing w:after="0" w:line="240" w:lineRule="auto"/>
              <w:jc w:val="right"/>
              <w:rPr>
                <w:b/>
                <w:bCs/>
                <w:sz w:val="16"/>
                <w:szCs w:val="16"/>
              </w:rPr>
            </w:pPr>
            <w:r w:rsidRPr="00BD77D8">
              <w:rPr>
                <w:b/>
                <w:bCs/>
                <w:sz w:val="16"/>
                <w:szCs w:val="16"/>
              </w:rPr>
              <w:t xml:space="preserve">             7,029 </w:t>
            </w:r>
          </w:p>
        </w:tc>
        <w:tc>
          <w:tcPr>
            <w:tcW w:w="1135" w:type="dxa"/>
            <w:tcBorders>
              <w:top w:val="nil"/>
              <w:left w:val="nil"/>
              <w:bottom w:val="nil"/>
              <w:right w:val="nil"/>
            </w:tcBorders>
            <w:shd w:val="clear" w:color="auto" w:fill="auto"/>
            <w:vAlign w:val="bottom"/>
            <w:hideMark/>
          </w:tcPr>
          <w:p w14:paraId="7FBE14A3" w14:textId="77777777" w:rsidR="00B9311E" w:rsidRPr="00BD77D8" w:rsidRDefault="00B9311E" w:rsidP="00B9311E">
            <w:pPr>
              <w:spacing w:after="0" w:line="240" w:lineRule="auto"/>
              <w:jc w:val="right"/>
              <w:rPr>
                <w:sz w:val="16"/>
                <w:szCs w:val="16"/>
              </w:rPr>
            </w:pPr>
            <w:r w:rsidRPr="00BD77D8">
              <w:rPr>
                <w:sz w:val="16"/>
                <w:szCs w:val="16"/>
              </w:rPr>
              <w:t xml:space="preserve">              1,721 </w:t>
            </w:r>
          </w:p>
        </w:tc>
        <w:tc>
          <w:tcPr>
            <w:tcW w:w="1015" w:type="dxa"/>
            <w:tcBorders>
              <w:top w:val="nil"/>
              <w:left w:val="nil"/>
              <w:bottom w:val="nil"/>
              <w:right w:val="nil"/>
            </w:tcBorders>
            <w:shd w:val="clear" w:color="auto" w:fill="auto"/>
            <w:vAlign w:val="bottom"/>
            <w:hideMark/>
          </w:tcPr>
          <w:p w14:paraId="3A2AB3D1" w14:textId="77777777" w:rsidR="00B9311E" w:rsidRPr="00BD77D8" w:rsidRDefault="00B9311E" w:rsidP="00B9311E">
            <w:pPr>
              <w:spacing w:after="0" w:line="240" w:lineRule="auto"/>
              <w:jc w:val="right"/>
              <w:rPr>
                <w:b/>
                <w:bCs/>
                <w:sz w:val="16"/>
                <w:szCs w:val="16"/>
              </w:rPr>
            </w:pPr>
            <w:r w:rsidRPr="00BD77D8">
              <w:rPr>
                <w:b/>
                <w:bCs/>
                <w:sz w:val="16"/>
                <w:szCs w:val="16"/>
              </w:rPr>
              <w:t xml:space="preserve">        15,863 </w:t>
            </w:r>
          </w:p>
        </w:tc>
        <w:tc>
          <w:tcPr>
            <w:tcW w:w="1070" w:type="dxa"/>
            <w:tcBorders>
              <w:top w:val="nil"/>
              <w:left w:val="nil"/>
              <w:bottom w:val="nil"/>
              <w:right w:val="nil"/>
            </w:tcBorders>
            <w:shd w:val="clear" w:color="auto" w:fill="auto"/>
            <w:vAlign w:val="bottom"/>
            <w:hideMark/>
          </w:tcPr>
          <w:p w14:paraId="1341237C" w14:textId="77777777" w:rsidR="00B9311E" w:rsidRPr="00BD77D8" w:rsidRDefault="00B9311E" w:rsidP="00B9311E">
            <w:pPr>
              <w:spacing w:after="0" w:line="240" w:lineRule="auto"/>
              <w:jc w:val="right"/>
              <w:rPr>
                <w:sz w:val="16"/>
                <w:szCs w:val="16"/>
              </w:rPr>
            </w:pPr>
            <w:r w:rsidRPr="00BD77D8">
              <w:rPr>
                <w:sz w:val="16"/>
                <w:szCs w:val="16"/>
              </w:rPr>
              <w:t xml:space="preserve">        16,763 </w:t>
            </w:r>
          </w:p>
        </w:tc>
      </w:tr>
      <w:tr w:rsidR="00BD77D8" w:rsidRPr="00BD77D8" w14:paraId="7348B19B" w14:textId="77777777" w:rsidTr="003057FB">
        <w:trPr>
          <w:trHeight w:val="285"/>
        </w:trPr>
        <w:tc>
          <w:tcPr>
            <w:tcW w:w="3655" w:type="dxa"/>
            <w:tcBorders>
              <w:top w:val="nil"/>
              <w:left w:val="nil"/>
              <w:bottom w:val="nil"/>
              <w:right w:val="nil"/>
            </w:tcBorders>
            <w:shd w:val="clear" w:color="auto" w:fill="auto"/>
            <w:noWrap/>
            <w:vAlign w:val="bottom"/>
            <w:hideMark/>
          </w:tcPr>
          <w:p w14:paraId="6A9FBB11"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Depreciation and amortisation </w:t>
            </w:r>
          </w:p>
        </w:tc>
        <w:tc>
          <w:tcPr>
            <w:tcW w:w="994" w:type="dxa"/>
            <w:tcBorders>
              <w:top w:val="nil"/>
              <w:left w:val="nil"/>
              <w:bottom w:val="nil"/>
              <w:right w:val="nil"/>
            </w:tcBorders>
            <w:shd w:val="clear" w:color="auto" w:fill="auto"/>
            <w:vAlign w:val="bottom"/>
            <w:hideMark/>
          </w:tcPr>
          <w:p w14:paraId="0CD87011" w14:textId="77777777" w:rsidR="00B9311E" w:rsidRPr="00BD77D8" w:rsidRDefault="00B9311E" w:rsidP="00B9311E">
            <w:pPr>
              <w:spacing w:after="0" w:line="240" w:lineRule="auto"/>
              <w:jc w:val="right"/>
              <w:rPr>
                <w:b/>
                <w:bCs/>
                <w:sz w:val="16"/>
                <w:szCs w:val="16"/>
              </w:rPr>
            </w:pPr>
            <w:r w:rsidRPr="00BD77D8">
              <w:rPr>
                <w:b/>
                <w:bCs/>
                <w:sz w:val="16"/>
                <w:szCs w:val="16"/>
              </w:rPr>
              <w:t xml:space="preserve">         2,852 </w:t>
            </w:r>
          </w:p>
        </w:tc>
        <w:tc>
          <w:tcPr>
            <w:tcW w:w="991" w:type="dxa"/>
            <w:tcBorders>
              <w:top w:val="nil"/>
              <w:left w:val="nil"/>
              <w:bottom w:val="nil"/>
              <w:right w:val="nil"/>
            </w:tcBorders>
            <w:shd w:val="clear" w:color="auto" w:fill="auto"/>
            <w:vAlign w:val="bottom"/>
            <w:hideMark/>
          </w:tcPr>
          <w:p w14:paraId="664FFD70" w14:textId="77777777" w:rsidR="00B9311E" w:rsidRPr="00BD77D8" w:rsidRDefault="00B9311E" w:rsidP="00B9311E">
            <w:pPr>
              <w:spacing w:after="0" w:line="240" w:lineRule="auto"/>
              <w:jc w:val="right"/>
              <w:rPr>
                <w:sz w:val="16"/>
                <w:szCs w:val="16"/>
              </w:rPr>
            </w:pPr>
            <w:r w:rsidRPr="00BD77D8">
              <w:rPr>
                <w:sz w:val="16"/>
                <w:szCs w:val="16"/>
              </w:rPr>
              <w:t xml:space="preserve">          3,368 </w:t>
            </w:r>
          </w:p>
        </w:tc>
        <w:tc>
          <w:tcPr>
            <w:tcW w:w="854" w:type="dxa"/>
            <w:tcBorders>
              <w:top w:val="nil"/>
              <w:left w:val="nil"/>
              <w:bottom w:val="nil"/>
              <w:right w:val="nil"/>
            </w:tcBorders>
            <w:shd w:val="clear" w:color="auto" w:fill="auto"/>
            <w:vAlign w:val="bottom"/>
            <w:hideMark/>
          </w:tcPr>
          <w:p w14:paraId="25BA938C" w14:textId="77777777" w:rsidR="00B9311E" w:rsidRPr="00BD77D8" w:rsidRDefault="00B9311E" w:rsidP="00B9311E">
            <w:pPr>
              <w:spacing w:after="0" w:line="240" w:lineRule="auto"/>
              <w:jc w:val="right"/>
              <w:rPr>
                <w:b/>
                <w:bCs/>
                <w:sz w:val="16"/>
                <w:szCs w:val="16"/>
              </w:rPr>
            </w:pPr>
            <w:r w:rsidRPr="00BD77D8">
              <w:rPr>
                <w:b/>
                <w:bCs/>
                <w:sz w:val="16"/>
                <w:szCs w:val="16"/>
              </w:rPr>
              <w:t xml:space="preserve">              28 </w:t>
            </w:r>
          </w:p>
        </w:tc>
        <w:tc>
          <w:tcPr>
            <w:tcW w:w="994" w:type="dxa"/>
            <w:tcBorders>
              <w:top w:val="nil"/>
              <w:left w:val="nil"/>
              <w:bottom w:val="nil"/>
              <w:right w:val="nil"/>
            </w:tcBorders>
            <w:shd w:val="clear" w:color="auto" w:fill="auto"/>
            <w:vAlign w:val="bottom"/>
            <w:hideMark/>
          </w:tcPr>
          <w:p w14:paraId="01BB1DE2"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29" w:type="dxa"/>
            <w:tcBorders>
              <w:top w:val="nil"/>
              <w:left w:val="nil"/>
              <w:bottom w:val="nil"/>
              <w:right w:val="nil"/>
            </w:tcBorders>
            <w:shd w:val="clear" w:color="auto" w:fill="auto"/>
            <w:vAlign w:val="bottom"/>
            <w:hideMark/>
          </w:tcPr>
          <w:p w14:paraId="0276072D" w14:textId="77777777" w:rsidR="00B9311E" w:rsidRPr="00BD77D8" w:rsidRDefault="00B9311E" w:rsidP="00B9311E">
            <w:pPr>
              <w:spacing w:after="0" w:line="240" w:lineRule="auto"/>
              <w:jc w:val="right"/>
              <w:rPr>
                <w:sz w:val="16"/>
                <w:szCs w:val="16"/>
              </w:rPr>
            </w:pPr>
            <w:r w:rsidRPr="00BD77D8">
              <w:rPr>
                <w:sz w:val="16"/>
                <w:szCs w:val="16"/>
              </w:rPr>
              <w:t xml:space="preserve">               980 </w:t>
            </w:r>
          </w:p>
        </w:tc>
        <w:tc>
          <w:tcPr>
            <w:tcW w:w="1130" w:type="dxa"/>
            <w:tcBorders>
              <w:top w:val="nil"/>
              <w:left w:val="nil"/>
              <w:bottom w:val="nil"/>
              <w:right w:val="nil"/>
            </w:tcBorders>
            <w:shd w:val="clear" w:color="auto" w:fill="auto"/>
            <w:vAlign w:val="bottom"/>
            <w:hideMark/>
          </w:tcPr>
          <w:p w14:paraId="04FDF2F0" w14:textId="77777777" w:rsidR="00B9311E" w:rsidRPr="00BD77D8" w:rsidRDefault="00B9311E" w:rsidP="00B9311E">
            <w:pPr>
              <w:spacing w:after="0" w:line="240" w:lineRule="auto"/>
              <w:jc w:val="right"/>
              <w:rPr>
                <w:b/>
                <w:bCs/>
                <w:sz w:val="16"/>
                <w:szCs w:val="16"/>
              </w:rPr>
            </w:pPr>
            <w:r w:rsidRPr="00BD77D8">
              <w:rPr>
                <w:b/>
                <w:bCs/>
                <w:sz w:val="16"/>
                <w:szCs w:val="16"/>
              </w:rPr>
              <w:t xml:space="preserve">                  55 </w:t>
            </w:r>
          </w:p>
        </w:tc>
        <w:tc>
          <w:tcPr>
            <w:tcW w:w="1263" w:type="dxa"/>
            <w:tcBorders>
              <w:top w:val="nil"/>
              <w:left w:val="nil"/>
              <w:bottom w:val="nil"/>
              <w:right w:val="nil"/>
            </w:tcBorders>
            <w:shd w:val="clear" w:color="auto" w:fill="auto"/>
            <w:vAlign w:val="bottom"/>
            <w:hideMark/>
          </w:tcPr>
          <w:p w14:paraId="1D5DA465" w14:textId="77777777" w:rsidR="00B9311E" w:rsidRPr="00BD77D8" w:rsidRDefault="00B9311E" w:rsidP="00B9311E">
            <w:pPr>
              <w:spacing w:after="0" w:line="240" w:lineRule="auto"/>
              <w:jc w:val="right"/>
              <w:rPr>
                <w:sz w:val="16"/>
                <w:szCs w:val="16"/>
              </w:rPr>
            </w:pPr>
            <w:r w:rsidRPr="00BD77D8">
              <w:rPr>
                <w:sz w:val="16"/>
                <w:szCs w:val="16"/>
              </w:rPr>
              <w:t xml:space="preserve">                   39 </w:t>
            </w:r>
          </w:p>
        </w:tc>
        <w:tc>
          <w:tcPr>
            <w:tcW w:w="1134" w:type="dxa"/>
            <w:tcBorders>
              <w:top w:val="nil"/>
              <w:left w:val="nil"/>
              <w:bottom w:val="nil"/>
              <w:right w:val="nil"/>
            </w:tcBorders>
            <w:shd w:val="clear" w:color="auto" w:fill="auto"/>
            <w:vAlign w:val="bottom"/>
            <w:hideMark/>
          </w:tcPr>
          <w:p w14:paraId="2C788648" w14:textId="77777777" w:rsidR="00B9311E" w:rsidRPr="00BD77D8" w:rsidRDefault="00B9311E" w:rsidP="00B9311E">
            <w:pPr>
              <w:spacing w:after="0" w:line="240" w:lineRule="auto"/>
              <w:jc w:val="right"/>
              <w:rPr>
                <w:b/>
                <w:bCs/>
                <w:sz w:val="16"/>
                <w:szCs w:val="16"/>
              </w:rPr>
            </w:pPr>
            <w:r w:rsidRPr="00BD77D8">
              <w:rPr>
                <w:b/>
                <w:bCs/>
                <w:sz w:val="16"/>
                <w:szCs w:val="16"/>
              </w:rPr>
              <w:t xml:space="preserve">                849 </w:t>
            </w:r>
          </w:p>
        </w:tc>
        <w:tc>
          <w:tcPr>
            <w:tcW w:w="1135" w:type="dxa"/>
            <w:tcBorders>
              <w:top w:val="nil"/>
              <w:left w:val="nil"/>
              <w:bottom w:val="nil"/>
              <w:right w:val="nil"/>
            </w:tcBorders>
            <w:shd w:val="clear" w:color="auto" w:fill="auto"/>
            <w:vAlign w:val="bottom"/>
            <w:hideMark/>
          </w:tcPr>
          <w:p w14:paraId="26C43EC7" w14:textId="77777777" w:rsidR="00B9311E" w:rsidRPr="00BD77D8" w:rsidRDefault="00B9311E" w:rsidP="00B9311E">
            <w:pPr>
              <w:spacing w:after="0" w:line="240" w:lineRule="auto"/>
              <w:jc w:val="right"/>
              <w:rPr>
                <w:sz w:val="16"/>
                <w:szCs w:val="16"/>
              </w:rPr>
            </w:pPr>
            <w:r w:rsidRPr="00BD77D8">
              <w:rPr>
                <w:sz w:val="16"/>
                <w:szCs w:val="16"/>
              </w:rPr>
              <w:t xml:space="preserve">                 664 </w:t>
            </w:r>
          </w:p>
        </w:tc>
        <w:tc>
          <w:tcPr>
            <w:tcW w:w="1015" w:type="dxa"/>
            <w:tcBorders>
              <w:top w:val="nil"/>
              <w:left w:val="nil"/>
              <w:bottom w:val="nil"/>
              <w:right w:val="nil"/>
            </w:tcBorders>
            <w:shd w:val="clear" w:color="auto" w:fill="auto"/>
            <w:vAlign w:val="bottom"/>
            <w:hideMark/>
          </w:tcPr>
          <w:p w14:paraId="51A9267B" w14:textId="77777777" w:rsidR="00B9311E" w:rsidRPr="00BD77D8" w:rsidRDefault="00B9311E" w:rsidP="00B9311E">
            <w:pPr>
              <w:spacing w:after="0" w:line="240" w:lineRule="auto"/>
              <w:jc w:val="right"/>
              <w:rPr>
                <w:b/>
                <w:bCs/>
                <w:sz w:val="16"/>
                <w:szCs w:val="16"/>
              </w:rPr>
            </w:pPr>
            <w:r w:rsidRPr="00BD77D8">
              <w:rPr>
                <w:b/>
                <w:bCs/>
                <w:sz w:val="16"/>
                <w:szCs w:val="16"/>
              </w:rPr>
              <w:t xml:space="preserve">          3,784 </w:t>
            </w:r>
          </w:p>
        </w:tc>
        <w:tc>
          <w:tcPr>
            <w:tcW w:w="1070" w:type="dxa"/>
            <w:tcBorders>
              <w:top w:val="nil"/>
              <w:left w:val="nil"/>
              <w:bottom w:val="nil"/>
              <w:right w:val="nil"/>
            </w:tcBorders>
            <w:shd w:val="clear" w:color="auto" w:fill="auto"/>
            <w:vAlign w:val="bottom"/>
            <w:hideMark/>
          </w:tcPr>
          <w:p w14:paraId="61361822" w14:textId="77777777" w:rsidR="00B9311E" w:rsidRPr="00BD77D8" w:rsidRDefault="00B9311E" w:rsidP="00B9311E">
            <w:pPr>
              <w:spacing w:after="0" w:line="240" w:lineRule="auto"/>
              <w:jc w:val="right"/>
              <w:rPr>
                <w:sz w:val="16"/>
                <w:szCs w:val="16"/>
              </w:rPr>
            </w:pPr>
            <w:r w:rsidRPr="00BD77D8">
              <w:rPr>
                <w:sz w:val="16"/>
                <w:szCs w:val="16"/>
              </w:rPr>
              <w:t xml:space="preserve">          5,051 </w:t>
            </w:r>
          </w:p>
        </w:tc>
      </w:tr>
      <w:tr w:rsidR="00BD77D8" w:rsidRPr="00BD77D8" w14:paraId="056F8068" w14:textId="77777777" w:rsidTr="003057FB">
        <w:trPr>
          <w:trHeight w:val="285"/>
        </w:trPr>
        <w:tc>
          <w:tcPr>
            <w:tcW w:w="3655" w:type="dxa"/>
            <w:tcBorders>
              <w:top w:val="nil"/>
              <w:left w:val="nil"/>
              <w:bottom w:val="nil"/>
              <w:right w:val="nil"/>
            </w:tcBorders>
            <w:shd w:val="clear" w:color="auto" w:fill="auto"/>
            <w:noWrap/>
            <w:vAlign w:val="bottom"/>
            <w:hideMark/>
          </w:tcPr>
          <w:p w14:paraId="46D27EAB"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Impairment losses on financial assets </w:t>
            </w:r>
          </w:p>
        </w:tc>
        <w:tc>
          <w:tcPr>
            <w:tcW w:w="994" w:type="dxa"/>
            <w:tcBorders>
              <w:top w:val="nil"/>
              <w:left w:val="nil"/>
              <w:bottom w:val="nil"/>
              <w:right w:val="nil"/>
            </w:tcBorders>
            <w:shd w:val="clear" w:color="auto" w:fill="auto"/>
            <w:vAlign w:val="bottom"/>
            <w:hideMark/>
          </w:tcPr>
          <w:p w14:paraId="14524D9A" w14:textId="77777777" w:rsidR="00B9311E" w:rsidRPr="00BD77D8" w:rsidRDefault="00B9311E" w:rsidP="00B9311E">
            <w:pPr>
              <w:spacing w:after="0" w:line="240" w:lineRule="auto"/>
              <w:jc w:val="right"/>
              <w:rPr>
                <w:b/>
                <w:bCs/>
                <w:sz w:val="16"/>
                <w:szCs w:val="16"/>
              </w:rPr>
            </w:pPr>
            <w:r w:rsidRPr="00BD77D8">
              <w:rPr>
                <w:b/>
                <w:bCs/>
                <w:sz w:val="16"/>
                <w:szCs w:val="16"/>
              </w:rPr>
              <w:t xml:space="preserve">          (227)</w:t>
            </w:r>
          </w:p>
        </w:tc>
        <w:tc>
          <w:tcPr>
            <w:tcW w:w="991" w:type="dxa"/>
            <w:tcBorders>
              <w:top w:val="nil"/>
              <w:left w:val="nil"/>
              <w:bottom w:val="nil"/>
              <w:right w:val="nil"/>
            </w:tcBorders>
            <w:shd w:val="clear" w:color="auto" w:fill="auto"/>
            <w:vAlign w:val="bottom"/>
            <w:hideMark/>
          </w:tcPr>
          <w:p w14:paraId="3477BA81" w14:textId="77777777" w:rsidR="00B9311E" w:rsidRPr="00BD77D8" w:rsidRDefault="00B9311E" w:rsidP="00B9311E">
            <w:pPr>
              <w:spacing w:after="0" w:line="240" w:lineRule="auto"/>
              <w:jc w:val="right"/>
              <w:rPr>
                <w:sz w:val="16"/>
                <w:szCs w:val="16"/>
              </w:rPr>
            </w:pPr>
            <w:r w:rsidRPr="00BD77D8">
              <w:rPr>
                <w:sz w:val="16"/>
                <w:szCs w:val="16"/>
              </w:rPr>
              <w:t xml:space="preserve">             (57)</w:t>
            </w:r>
          </w:p>
        </w:tc>
        <w:tc>
          <w:tcPr>
            <w:tcW w:w="854" w:type="dxa"/>
            <w:tcBorders>
              <w:top w:val="nil"/>
              <w:left w:val="nil"/>
              <w:bottom w:val="nil"/>
              <w:right w:val="nil"/>
            </w:tcBorders>
            <w:shd w:val="clear" w:color="auto" w:fill="auto"/>
            <w:vAlign w:val="bottom"/>
            <w:hideMark/>
          </w:tcPr>
          <w:p w14:paraId="703AAB1F" w14:textId="77777777" w:rsidR="00B9311E" w:rsidRPr="00BD77D8" w:rsidRDefault="00B9311E" w:rsidP="00B9311E">
            <w:pPr>
              <w:spacing w:after="0" w:line="240" w:lineRule="auto"/>
              <w:jc w:val="right"/>
              <w:rPr>
                <w:b/>
                <w:bCs/>
                <w:sz w:val="16"/>
                <w:szCs w:val="16"/>
              </w:rPr>
            </w:pPr>
            <w:r w:rsidRPr="00BD77D8">
              <w:rPr>
                <w:b/>
                <w:bCs/>
                <w:sz w:val="16"/>
                <w:szCs w:val="16"/>
              </w:rPr>
              <w:t xml:space="preserve">            755 </w:t>
            </w:r>
          </w:p>
        </w:tc>
        <w:tc>
          <w:tcPr>
            <w:tcW w:w="994" w:type="dxa"/>
            <w:tcBorders>
              <w:top w:val="nil"/>
              <w:left w:val="nil"/>
              <w:bottom w:val="nil"/>
              <w:right w:val="nil"/>
            </w:tcBorders>
            <w:shd w:val="clear" w:color="auto" w:fill="auto"/>
            <w:vAlign w:val="bottom"/>
            <w:hideMark/>
          </w:tcPr>
          <w:p w14:paraId="15C3B050"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29" w:type="dxa"/>
            <w:tcBorders>
              <w:top w:val="nil"/>
              <w:left w:val="nil"/>
              <w:bottom w:val="nil"/>
              <w:right w:val="nil"/>
            </w:tcBorders>
            <w:shd w:val="clear" w:color="auto" w:fill="auto"/>
            <w:vAlign w:val="bottom"/>
            <w:hideMark/>
          </w:tcPr>
          <w:p w14:paraId="0F4F9DD8"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30" w:type="dxa"/>
            <w:tcBorders>
              <w:top w:val="nil"/>
              <w:left w:val="nil"/>
              <w:bottom w:val="nil"/>
              <w:right w:val="nil"/>
            </w:tcBorders>
            <w:shd w:val="clear" w:color="auto" w:fill="auto"/>
            <w:vAlign w:val="bottom"/>
            <w:hideMark/>
          </w:tcPr>
          <w:p w14:paraId="7C672475" w14:textId="77777777" w:rsidR="00B9311E" w:rsidRPr="00BD77D8" w:rsidRDefault="00B9311E" w:rsidP="00B9311E">
            <w:pPr>
              <w:spacing w:after="0" w:line="240" w:lineRule="auto"/>
              <w:jc w:val="right"/>
              <w:rPr>
                <w:b/>
                <w:bCs/>
                <w:sz w:val="16"/>
                <w:szCs w:val="16"/>
              </w:rPr>
            </w:pPr>
            <w:r w:rsidRPr="00BD77D8">
              <w:rPr>
                <w:b/>
                <w:bCs/>
                <w:sz w:val="16"/>
                <w:szCs w:val="16"/>
              </w:rPr>
              <w:t xml:space="preserve">                    2 </w:t>
            </w:r>
          </w:p>
        </w:tc>
        <w:tc>
          <w:tcPr>
            <w:tcW w:w="1263" w:type="dxa"/>
            <w:tcBorders>
              <w:top w:val="nil"/>
              <w:left w:val="nil"/>
              <w:bottom w:val="nil"/>
              <w:right w:val="nil"/>
            </w:tcBorders>
            <w:shd w:val="clear" w:color="auto" w:fill="auto"/>
            <w:vAlign w:val="bottom"/>
            <w:hideMark/>
          </w:tcPr>
          <w:p w14:paraId="1BEE972A"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34" w:type="dxa"/>
            <w:tcBorders>
              <w:top w:val="nil"/>
              <w:left w:val="nil"/>
              <w:bottom w:val="nil"/>
              <w:right w:val="nil"/>
            </w:tcBorders>
            <w:shd w:val="clear" w:color="auto" w:fill="auto"/>
            <w:vAlign w:val="bottom"/>
            <w:hideMark/>
          </w:tcPr>
          <w:p w14:paraId="2B29E713" w14:textId="77777777" w:rsidR="00B9311E" w:rsidRPr="00BD77D8" w:rsidRDefault="00B9311E" w:rsidP="00B9311E">
            <w:pPr>
              <w:spacing w:after="0" w:line="240" w:lineRule="auto"/>
              <w:jc w:val="right"/>
              <w:rPr>
                <w:b/>
                <w:bCs/>
                <w:sz w:val="16"/>
                <w:szCs w:val="16"/>
              </w:rPr>
            </w:pPr>
            <w:r w:rsidRPr="00BD77D8">
              <w:rPr>
                <w:b/>
                <w:bCs/>
                <w:sz w:val="16"/>
                <w:szCs w:val="16"/>
              </w:rPr>
              <w:t xml:space="preserve">                    1 </w:t>
            </w:r>
          </w:p>
        </w:tc>
        <w:tc>
          <w:tcPr>
            <w:tcW w:w="1135" w:type="dxa"/>
            <w:tcBorders>
              <w:top w:val="nil"/>
              <w:left w:val="nil"/>
              <w:bottom w:val="nil"/>
              <w:right w:val="nil"/>
            </w:tcBorders>
            <w:shd w:val="clear" w:color="auto" w:fill="auto"/>
            <w:vAlign w:val="bottom"/>
            <w:hideMark/>
          </w:tcPr>
          <w:p w14:paraId="01927BF4"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015" w:type="dxa"/>
            <w:tcBorders>
              <w:top w:val="nil"/>
              <w:left w:val="nil"/>
              <w:bottom w:val="nil"/>
              <w:right w:val="nil"/>
            </w:tcBorders>
            <w:shd w:val="clear" w:color="auto" w:fill="auto"/>
            <w:vAlign w:val="bottom"/>
            <w:hideMark/>
          </w:tcPr>
          <w:p w14:paraId="6BA9EE05" w14:textId="77777777" w:rsidR="00B9311E" w:rsidRPr="00BD77D8" w:rsidRDefault="00B9311E" w:rsidP="00B9311E">
            <w:pPr>
              <w:spacing w:after="0" w:line="240" w:lineRule="auto"/>
              <w:jc w:val="right"/>
              <w:rPr>
                <w:b/>
                <w:bCs/>
                <w:sz w:val="16"/>
                <w:szCs w:val="16"/>
              </w:rPr>
            </w:pPr>
            <w:r w:rsidRPr="00BD77D8">
              <w:rPr>
                <w:b/>
                <w:bCs/>
                <w:sz w:val="16"/>
                <w:szCs w:val="16"/>
              </w:rPr>
              <w:t xml:space="preserve">             531 </w:t>
            </w:r>
          </w:p>
        </w:tc>
        <w:tc>
          <w:tcPr>
            <w:tcW w:w="1070" w:type="dxa"/>
            <w:tcBorders>
              <w:top w:val="nil"/>
              <w:left w:val="nil"/>
              <w:bottom w:val="nil"/>
              <w:right w:val="nil"/>
            </w:tcBorders>
            <w:shd w:val="clear" w:color="auto" w:fill="auto"/>
            <w:vAlign w:val="bottom"/>
            <w:hideMark/>
          </w:tcPr>
          <w:p w14:paraId="711D205D" w14:textId="77777777" w:rsidR="00B9311E" w:rsidRPr="00BD77D8" w:rsidRDefault="00B9311E" w:rsidP="00B9311E">
            <w:pPr>
              <w:spacing w:after="0" w:line="240" w:lineRule="auto"/>
              <w:jc w:val="right"/>
              <w:rPr>
                <w:sz w:val="16"/>
                <w:szCs w:val="16"/>
              </w:rPr>
            </w:pPr>
            <w:r w:rsidRPr="00BD77D8">
              <w:rPr>
                <w:sz w:val="16"/>
                <w:szCs w:val="16"/>
              </w:rPr>
              <w:t xml:space="preserve">             (57)</w:t>
            </w:r>
          </w:p>
        </w:tc>
      </w:tr>
      <w:tr w:rsidR="00BD77D8" w:rsidRPr="00BD77D8" w14:paraId="470FF28C" w14:textId="77777777" w:rsidTr="003057FB">
        <w:trPr>
          <w:trHeight w:val="285"/>
        </w:trPr>
        <w:tc>
          <w:tcPr>
            <w:tcW w:w="3655" w:type="dxa"/>
            <w:tcBorders>
              <w:top w:val="nil"/>
              <w:left w:val="nil"/>
              <w:bottom w:val="nil"/>
              <w:right w:val="nil"/>
            </w:tcBorders>
            <w:shd w:val="clear" w:color="auto" w:fill="auto"/>
            <w:noWrap/>
            <w:vAlign w:val="bottom"/>
            <w:hideMark/>
          </w:tcPr>
          <w:p w14:paraId="219DC98F"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Other Expenses </w:t>
            </w:r>
          </w:p>
        </w:tc>
        <w:tc>
          <w:tcPr>
            <w:tcW w:w="994" w:type="dxa"/>
            <w:tcBorders>
              <w:top w:val="nil"/>
              <w:left w:val="nil"/>
              <w:bottom w:val="nil"/>
              <w:right w:val="nil"/>
            </w:tcBorders>
            <w:shd w:val="clear" w:color="auto" w:fill="auto"/>
            <w:vAlign w:val="bottom"/>
            <w:hideMark/>
          </w:tcPr>
          <w:p w14:paraId="3D4A3A22" w14:textId="77777777" w:rsidR="00B9311E" w:rsidRPr="00BD77D8" w:rsidRDefault="00B9311E" w:rsidP="00B9311E">
            <w:pPr>
              <w:spacing w:after="0" w:line="240" w:lineRule="auto"/>
              <w:jc w:val="right"/>
              <w:rPr>
                <w:b/>
                <w:bCs/>
                <w:sz w:val="16"/>
                <w:szCs w:val="16"/>
              </w:rPr>
            </w:pPr>
            <w:r w:rsidRPr="00BD77D8">
              <w:rPr>
                <w:b/>
                <w:bCs/>
                <w:sz w:val="16"/>
                <w:szCs w:val="16"/>
              </w:rPr>
              <w:t xml:space="preserve">         1,636 </w:t>
            </w:r>
          </w:p>
        </w:tc>
        <w:tc>
          <w:tcPr>
            <w:tcW w:w="991" w:type="dxa"/>
            <w:tcBorders>
              <w:top w:val="nil"/>
              <w:left w:val="nil"/>
              <w:bottom w:val="nil"/>
              <w:right w:val="nil"/>
            </w:tcBorders>
            <w:shd w:val="clear" w:color="auto" w:fill="auto"/>
            <w:vAlign w:val="bottom"/>
            <w:hideMark/>
          </w:tcPr>
          <w:p w14:paraId="63A4F341" w14:textId="77777777" w:rsidR="00B9311E" w:rsidRPr="00BD77D8" w:rsidRDefault="00B9311E" w:rsidP="00B9311E">
            <w:pPr>
              <w:spacing w:after="0" w:line="240" w:lineRule="auto"/>
              <w:jc w:val="right"/>
              <w:rPr>
                <w:sz w:val="16"/>
                <w:szCs w:val="16"/>
              </w:rPr>
            </w:pPr>
            <w:r w:rsidRPr="00BD77D8">
              <w:rPr>
                <w:sz w:val="16"/>
                <w:szCs w:val="16"/>
              </w:rPr>
              <w:t xml:space="preserve">             716 </w:t>
            </w:r>
          </w:p>
        </w:tc>
        <w:tc>
          <w:tcPr>
            <w:tcW w:w="854" w:type="dxa"/>
            <w:tcBorders>
              <w:top w:val="nil"/>
              <w:left w:val="nil"/>
              <w:bottom w:val="nil"/>
              <w:right w:val="nil"/>
            </w:tcBorders>
            <w:shd w:val="clear" w:color="auto" w:fill="auto"/>
            <w:vAlign w:val="bottom"/>
            <w:hideMark/>
          </w:tcPr>
          <w:p w14:paraId="4A14FAB3" w14:textId="77777777" w:rsidR="00B9311E" w:rsidRPr="00BD77D8" w:rsidRDefault="00B9311E" w:rsidP="00B9311E">
            <w:pPr>
              <w:spacing w:after="0" w:line="240" w:lineRule="auto"/>
              <w:jc w:val="right"/>
              <w:rPr>
                <w:b/>
                <w:bCs/>
                <w:sz w:val="16"/>
                <w:szCs w:val="16"/>
              </w:rPr>
            </w:pPr>
            <w:r w:rsidRPr="00BD77D8">
              <w:rPr>
                <w:b/>
                <w:bCs/>
                <w:sz w:val="16"/>
                <w:szCs w:val="16"/>
              </w:rPr>
              <w:t xml:space="preserve">                1 </w:t>
            </w:r>
          </w:p>
        </w:tc>
        <w:tc>
          <w:tcPr>
            <w:tcW w:w="994" w:type="dxa"/>
            <w:tcBorders>
              <w:top w:val="nil"/>
              <w:left w:val="nil"/>
              <w:bottom w:val="nil"/>
              <w:right w:val="nil"/>
            </w:tcBorders>
            <w:shd w:val="clear" w:color="auto" w:fill="auto"/>
            <w:vAlign w:val="bottom"/>
            <w:hideMark/>
          </w:tcPr>
          <w:p w14:paraId="21E2890F" w14:textId="77777777" w:rsidR="00B9311E" w:rsidRPr="00BD77D8" w:rsidRDefault="00B9311E" w:rsidP="00B9311E">
            <w:pPr>
              <w:spacing w:after="0" w:line="240" w:lineRule="auto"/>
              <w:jc w:val="right"/>
              <w:rPr>
                <w:sz w:val="16"/>
                <w:szCs w:val="16"/>
              </w:rPr>
            </w:pPr>
            <w:r w:rsidRPr="00BD77D8">
              <w:rPr>
                <w:sz w:val="16"/>
                <w:szCs w:val="16"/>
              </w:rPr>
              <w:t xml:space="preserve">                36 </w:t>
            </w:r>
          </w:p>
        </w:tc>
        <w:tc>
          <w:tcPr>
            <w:tcW w:w="1129" w:type="dxa"/>
            <w:tcBorders>
              <w:top w:val="nil"/>
              <w:left w:val="nil"/>
              <w:bottom w:val="nil"/>
              <w:right w:val="nil"/>
            </w:tcBorders>
            <w:shd w:val="clear" w:color="auto" w:fill="auto"/>
            <w:vAlign w:val="bottom"/>
            <w:hideMark/>
          </w:tcPr>
          <w:p w14:paraId="0AB0CABC" w14:textId="77777777" w:rsidR="00B9311E" w:rsidRPr="00BD77D8" w:rsidRDefault="00B9311E" w:rsidP="00B9311E">
            <w:pPr>
              <w:spacing w:after="0" w:line="240" w:lineRule="auto"/>
              <w:jc w:val="right"/>
              <w:rPr>
                <w:sz w:val="16"/>
                <w:szCs w:val="16"/>
              </w:rPr>
            </w:pPr>
            <w:r w:rsidRPr="00BD77D8">
              <w:rPr>
                <w:sz w:val="16"/>
                <w:szCs w:val="16"/>
              </w:rPr>
              <w:t xml:space="preserve">            1,874 </w:t>
            </w:r>
          </w:p>
        </w:tc>
        <w:tc>
          <w:tcPr>
            <w:tcW w:w="1130" w:type="dxa"/>
            <w:tcBorders>
              <w:top w:val="nil"/>
              <w:left w:val="nil"/>
              <w:bottom w:val="nil"/>
              <w:right w:val="nil"/>
            </w:tcBorders>
            <w:shd w:val="clear" w:color="auto" w:fill="auto"/>
            <w:vAlign w:val="bottom"/>
            <w:hideMark/>
          </w:tcPr>
          <w:p w14:paraId="3B5E504F" w14:textId="77777777" w:rsidR="00B9311E" w:rsidRPr="00BD77D8" w:rsidRDefault="00B9311E" w:rsidP="00B9311E">
            <w:pPr>
              <w:spacing w:after="0" w:line="240" w:lineRule="auto"/>
              <w:jc w:val="right"/>
              <w:rPr>
                <w:b/>
                <w:bCs/>
                <w:sz w:val="16"/>
                <w:szCs w:val="16"/>
              </w:rPr>
            </w:pPr>
            <w:r w:rsidRPr="00BD77D8">
              <w:rPr>
                <w:b/>
                <w:bCs/>
                <w:sz w:val="16"/>
                <w:szCs w:val="16"/>
              </w:rPr>
              <w:t xml:space="preserve">                266 </w:t>
            </w:r>
          </w:p>
        </w:tc>
        <w:tc>
          <w:tcPr>
            <w:tcW w:w="1263" w:type="dxa"/>
            <w:tcBorders>
              <w:top w:val="nil"/>
              <w:left w:val="nil"/>
              <w:bottom w:val="nil"/>
              <w:right w:val="nil"/>
            </w:tcBorders>
            <w:shd w:val="clear" w:color="auto" w:fill="auto"/>
            <w:vAlign w:val="bottom"/>
            <w:hideMark/>
          </w:tcPr>
          <w:p w14:paraId="2C3BC184" w14:textId="77777777" w:rsidR="00B9311E" w:rsidRPr="00BD77D8" w:rsidRDefault="00B9311E" w:rsidP="00B9311E">
            <w:pPr>
              <w:spacing w:after="0" w:line="240" w:lineRule="auto"/>
              <w:jc w:val="right"/>
              <w:rPr>
                <w:sz w:val="16"/>
                <w:szCs w:val="16"/>
              </w:rPr>
            </w:pPr>
            <w:r w:rsidRPr="00BD77D8">
              <w:rPr>
                <w:sz w:val="16"/>
                <w:szCs w:val="16"/>
              </w:rPr>
              <w:t xml:space="preserve">                 146 </w:t>
            </w:r>
          </w:p>
        </w:tc>
        <w:tc>
          <w:tcPr>
            <w:tcW w:w="1134" w:type="dxa"/>
            <w:tcBorders>
              <w:top w:val="nil"/>
              <w:left w:val="nil"/>
              <w:bottom w:val="nil"/>
              <w:right w:val="nil"/>
            </w:tcBorders>
            <w:shd w:val="clear" w:color="auto" w:fill="auto"/>
            <w:vAlign w:val="bottom"/>
            <w:hideMark/>
          </w:tcPr>
          <w:p w14:paraId="0B7B9E20" w14:textId="77777777" w:rsidR="00B9311E" w:rsidRPr="00BD77D8" w:rsidRDefault="00B9311E" w:rsidP="00B9311E">
            <w:pPr>
              <w:spacing w:after="0" w:line="240" w:lineRule="auto"/>
              <w:jc w:val="right"/>
              <w:rPr>
                <w:b/>
                <w:bCs/>
                <w:sz w:val="16"/>
                <w:szCs w:val="16"/>
              </w:rPr>
            </w:pPr>
            <w:r w:rsidRPr="00BD77D8">
              <w:rPr>
                <w:b/>
                <w:bCs/>
                <w:sz w:val="16"/>
                <w:szCs w:val="16"/>
              </w:rPr>
              <w:t xml:space="preserve">                311 </w:t>
            </w:r>
          </w:p>
        </w:tc>
        <w:tc>
          <w:tcPr>
            <w:tcW w:w="1135" w:type="dxa"/>
            <w:tcBorders>
              <w:top w:val="nil"/>
              <w:left w:val="nil"/>
              <w:bottom w:val="nil"/>
              <w:right w:val="nil"/>
            </w:tcBorders>
            <w:shd w:val="clear" w:color="auto" w:fill="auto"/>
            <w:vAlign w:val="bottom"/>
            <w:hideMark/>
          </w:tcPr>
          <w:p w14:paraId="206DFBCE" w14:textId="77777777" w:rsidR="00B9311E" w:rsidRPr="00BD77D8" w:rsidRDefault="00B9311E" w:rsidP="00B9311E">
            <w:pPr>
              <w:spacing w:after="0" w:line="240" w:lineRule="auto"/>
              <w:jc w:val="right"/>
              <w:rPr>
                <w:sz w:val="16"/>
                <w:szCs w:val="16"/>
              </w:rPr>
            </w:pPr>
            <w:r w:rsidRPr="00BD77D8">
              <w:rPr>
                <w:sz w:val="16"/>
                <w:szCs w:val="16"/>
              </w:rPr>
              <w:t xml:space="preserve">                 172 </w:t>
            </w:r>
          </w:p>
        </w:tc>
        <w:tc>
          <w:tcPr>
            <w:tcW w:w="1015" w:type="dxa"/>
            <w:tcBorders>
              <w:top w:val="nil"/>
              <w:left w:val="nil"/>
              <w:bottom w:val="nil"/>
              <w:right w:val="nil"/>
            </w:tcBorders>
            <w:shd w:val="clear" w:color="auto" w:fill="auto"/>
            <w:vAlign w:val="bottom"/>
            <w:hideMark/>
          </w:tcPr>
          <w:p w14:paraId="3661E0EF" w14:textId="77777777" w:rsidR="00B9311E" w:rsidRPr="00BD77D8" w:rsidRDefault="00B9311E" w:rsidP="00B9311E">
            <w:pPr>
              <w:spacing w:after="0" w:line="240" w:lineRule="auto"/>
              <w:jc w:val="right"/>
              <w:rPr>
                <w:b/>
                <w:bCs/>
                <w:sz w:val="16"/>
                <w:szCs w:val="16"/>
              </w:rPr>
            </w:pPr>
            <w:r w:rsidRPr="00BD77D8">
              <w:rPr>
                <w:b/>
                <w:bCs/>
                <w:sz w:val="16"/>
                <w:szCs w:val="16"/>
              </w:rPr>
              <w:t xml:space="preserve">          2,214 </w:t>
            </w:r>
          </w:p>
        </w:tc>
        <w:tc>
          <w:tcPr>
            <w:tcW w:w="1070" w:type="dxa"/>
            <w:tcBorders>
              <w:top w:val="nil"/>
              <w:left w:val="nil"/>
              <w:bottom w:val="nil"/>
              <w:right w:val="nil"/>
            </w:tcBorders>
            <w:shd w:val="clear" w:color="auto" w:fill="auto"/>
            <w:vAlign w:val="bottom"/>
            <w:hideMark/>
          </w:tcPr>
          <w:p w14:paraId="63FEF528" w14:textId="77777777" w:rsidR="00B9311E" w:rsidRPr="00BD77D8" w:rsidRDefault="00B9311E" w:rsidP="00B9311E">
            <w:pPr>
              <w:spacing w:after="0" w:line="240" w:lineRule="auto"/>
              <w:jc w:val="right"/>
              <w:rPr>
                <w:sz w:val="16"/>
                <w:szCs w:val="16"/>
              </w:rPr>
            </w:pPr>
            <w:r w:rsidRPr="00BD77D8">
              <w:rPr>
                <w:sz w:val="16"/>
                <w:szCs w:val="16"/>
              </w:rPr>
              <w:t xml:space="preserve">          2,944 </w:t>
            </w:r>
          </w:p>
        </w:tc>
      </w:tr>
      <w:tr w:rsidR="00BD77D8" w:rsidRPr="00BD77D8" w14:paraId="7328CE0C" w14:textId="77777777" w:rsidTr="003057FB">
        <w:trPr>
          <w:trHeight w:val="285"/>
        </w:trPr>
        <w:tc>
          <w:tcPr>
            <w:tcW w:w="3655" w:type="dxa"/>
            <w:tcBorders>
              <w:top w:val="nil"/>
              <w:left w:val="nil"/>
              <w:bottom w:val="nil"/>
              <w:right w:val="nil"/>
            </w:tcBorders>
            <w:shd w:val="clear" w:color="auto" w:fill="auto"/>
            <w:noWrap/>
            <w:vAlign w:val="bottom"/>
            <w:hideMark/>
          </w:tcPr>
          <w:p w14:paraId="49D8B7BB" w14:textId="77777777" w:rsidR="00B9311E" w:rsidRPr="00BD77D8" w:rsidRDefault="00B9311E" w:rsidP="00B9311E">
            <w:pPr>
              <w:spacing w:after="0" w:line="240" w:lineRule="auto"/>
              <w:ind w:firstLineChars="100" w:firstLine="160"/>
              <w:rPr>
                <w:sz w:val="16"/>
                <w:szCs w:val="16"/>
              </w:rPr>
            </w:pPr>
            <w:r w:rsidRPr="00BD77D8">
              <w:rPr>
                <w:sz w:val="16"/>
                <w:szCs w:val="16"/>
              </w:rPr>
              <w:t xml:space="preserve"> Revaluation Decrement    </w:t>
            </w:r>
          </w:p>
        </w:tc>
        <w:tc>
          <w:tcPr>
            <w:tcW w:w="994" w:type="dxa"/>
            <w:tcBorders>
              <w:top w:val="nil"/>
              <w:left w:val="nil"/>
              <w:bottom w:val="nil"/>
              <w:right w:val="nil"/>
            </w:tcBorders>
            <w:shd w:val="clear" w:color="auto" w:fill="auto"/>
            <w:vAlign w:val="bottom"/>
            <w:hideMark/>
          </w:tcPr>
          <w:p w14:paraId="1A0D56BB"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991" w:type="dxa"/>
            <w:tcBorders>
              <w:top w:val="nil"/>
              <w:left w:val="nil"/>
              <w:bottom w:val="nil"/>
              <w:right w:val="nil"/>
            </w:tcBorders>
            <w:shd w:val="clear" w:color="auto" w:fill="auto"/>
            <w:vAlign w:val="bottom"/>
            <w:hideMark/>
          </w:tcPr>
          <w:p w14:paraId="0CC4F697" w14:textId="77777777" w:rsidR="00B9311E" w:rsidRPr="00BD77D8" w:rsidRDefault="00B9311E" w:rsidP="00B9311E">
            <w:pPr>
              <w:spacing w:after="0" w:line="240" w:lineRule="auto"/>
              <w:jc w:val="right"/>
              <w:rPr>
                <w:sz w:val="16"/>
                <w:szCs w:val="16"/>
              </w:rPr>
            </w:pPr>
            <w:r w:rsidRPr="00BD77D8">
              <w:rPr>
                <w:sz w:val="16"/>
                <w:szCs w:val="16"/>
              </w:rPr>
              <w:t xml:space="preserve">             112 </w:t>
            </w:r>
          </w:p>
        </w:tc>
        <w:tc>
          <w:tcPr>
            <w:tcW w:w="854" w:type="dxa"/>
            <w:tcBorders>
              <w:top w:val="nil"/>
              <w:left w:val="nil"/>
              <w:bottom w:val="nil"/>
              <w:right w:val="nil"/>
            </w:tcBorders>
            <w:shd w:val="clear" w:color="auto" w:fill="auto"/>
            <w:vAlign w:val="bottom"/>
            <w:hideMark/>
          </w:tcPr>
          <w:p w14:paraId="7B34AA3C"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994" w:type="dxa"/>
            <w:tcBorders>
              <w:top w:val="nil"/>
              <w:left w:val="nil"/>
              <w:bottom w:val="nil"/>
              <w:right w:val="nil"/>
            </w:tcBorders>
            <w:shd w:val="clear" w:color="auto" w:fill="auto"/>
            <w:vAlign w:val="bottom"/>
            <w:hideMark/>
          </w:tcPr>
          <w:p w14:paraId="2E73C685"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29" w:type="dxa"/>
            <w:tcBorders>
              <w:top w:val="nil"/>
              <w:left w:val="nil"/>
              <w:bottom w:val="nil"/>
              <w:right w:val="nil"/>
            </w:tcBorders>
            <w:shd w:val="clear" w:color="auto" w:fill="auto"/>
            <w:vAlign w:val="bottom"/>
            <w:hideMark/>
          </w:tcPr>
          <w:p w14:paraId="2A93A692"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30" w:type="dxa"/>
            <w:tcBorders>
              <w:top w:val="nil"/>
              <w:left w:val="nil"/>
              <w:bottom w:val="nil"/>
              <w:right w:val="nil"/>
            </w:tcBorders>
            <w:shd w:val="clear" w:color="auto" w:fill="auto"/>
            <w:vAlign w:val="bottom"/>
            <w:hideMark/>
          </w:tcPr>
          <w:p w14:paraId="7D6A0919"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1263" w:type="dxa"/>
            <w:tcBorders>
              <w:top w:val="nil"/>
              <w:left w:val="nil"/>
              <w:bottom w:val="nil"/>
              <w:right w:val="nil"/>
            </w:tcBorders>
            <w:shd w:val="clear" w:color="auto" w:fill="auto"/>
            <w:vAlign w:val="bottom"/>
            <w:hideMark/>
          </w:tcPr>
          <w:p w14:paraId="67EC1105"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34" w:type="dxa"/>
            <w:tcBorders>
              <w:top w:val="nil"/>
              <w:left w:val="nil"/>
              <w:bottom w:val="nil"/>
              <w:right w:val="nil"/>
            </w:tcBorders>
            <w:shd w:val="clear" w:color="auto" w:fill="auto"/>
            <w:vAlign w:val="bottom"/>
            <w:hideMark/>
          </w:tcPr>
          <w:p w14:paraId="6655E047"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1135" w:type="dxa"/>
            <w:tcBorders>
              <w:top w:val="nil"/>
              <w:left w:val="nil"/>
              <w:bottom w:val="nil"/>
              <w:right w:val="nil"/>
            </w:tcBorders>
            <w:shd w:val="clear" w:color="auto" w:fill="auto"/>
            <w:vAlign w:val="bottom"/>
            <w:hideMark/>
          </w:tcPr>
          <w:p w14:paraId="078A007A"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015" w:type="dxa"/>
            <w:tcBorders>
              <w:top w:val="nil"/>
              <w:left w:val="nil"/>
              <w:bottom w:val="nil"/>
              <w:right w:val="nil"/>
            </w:tcBorders>
            <w:shd w:val="clear" w:color="auto" w:fill="auto"/>
            <w:vAlign w:val="bottom"/>
            <w:hideMark/>
          </w:tcPr>
          <w:p w14:paraId="54410563"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1070" w:type="dxa"/>
            <w:tcBorders>
              <w:top w:val="nil"/>
              <w:left w:val="nil"/>
              <w:bottom w:val="nil"/>
              <w:right w:val="nil"/>
            </w:tcBorders>
            <w:shd w:val="clear" w:color="auto" w:fill="auto"/>
            <w:vAlign w:val="bottom"/>
            <w:hideMark/>
          </w:tcPr>
          <w:p w14:paraId="5D78823A" w14:textId="77777777" w:rsidR="00B9311E" w:rsidRPr="00BD77D8" w:rsidRDefault="00B9311E" w:rsidP="00B9311E">
            <w:pPr>
              <w:spacing w:after="0" w:line="240" w:lineRule="auto"/>
              <w:jc w:val="right"/>
              <w:rPr>
                <w:sz w:val="16"/>
                <w:szCs w:val="16"/>
              </w:rPr>
            </w:pPr>
            <w:r w:rsidRPr="00BD77D8">
              <w:rPr>
                <w:sz w:val="16"/>
                <w:szCs w:val="16"/>
              </w:rPr>
              <w:t xml:space="preserve">             112 </w:t>
            </w:r>
          </w:p>
        </w:tc>
      </w:tr>
      <w:tr w:rsidR="00BD77D8" w:rsidRPr="00BD77D8" w14:paraId="73BFFE0B" w14:textId="77777777" w:rsidTr="003057FB">
        <w:trPr>
          <w:trHeight w:val="300"/>
        </w:trPr>
        <w:tc>
          <w:tcPr>
            <w:tcW w:w="3655" w:type="dxa"/>
            <w:tcBorders>
              <w:top w:val="nil"/>
              <w:left w:val="nil"/>
              <w:bottom w:val="nil"/>
              <w:right w:val="nil"/>
            </w:tcBorders>
            <w:shd w:val="clear" w:color="auto" w:fill="auto"/>
            <w:noWrap/>
            <w:vAlign w:val="bottom"/>
            <w:hideMark/>
          </w:tcPr>
          <w:p w14:paraId="7F75A089" w14:textId="77777777" w:rsidR="00B9311E" w:rsidRPr="00BD77D8" w:rsidRDefault="00B9311E" w:rsidP="00B9311E">
            <w:pPr>
              <w:spacing w:after="0" w:line="240" w:lineRule="auto"/>
              <w:rPr>
                <w:b/>
                <w:bCs/>
                <w:sz w:val="16"/>
                <w:szCs w:val="16"/>
              </w:rPr>
            </w:pPr>
            <w:r w:rsidRPr="00BD77D8">
              <w:rPr>
                <w:b/>
                <w:bCs/>
                <w:sz w:val="16"/>
                <w:szCs w:val="16"/>
              </w:rPr>
              <w:t xml:space="preserve"> Total Expenses from Continuing Operations  </w:t>
            </w:r>
          </w:p>
        </w:tc>
        <w:tc>
          <w:tcPr>
            <w:tcW w:w="994" w:type="dxa"/>
            <w:tcBorders>
              <w:top w:val="single" w:sz="4" w:space="0" w:color="auto"/>
              <w:left w:val="nil"/>
              <w:bottom w:val="nil"/>
              <w:right w:val="nil"/>
            </w:tcBorders>
            <w:shd w:val="clear" w:color="auto" w:fill="auto"/>
            <w:vAlign w:val="bottom"/>
            <w:hideMark/>
          </w:tcPr>
          <w:p w14:paraId="5E9CA379" w14:textId="77777777" w:rsidR="00B9311E" w:rsidRPr="00BD77D8" w:rsidRDefault="00B9311E" w:rsidP="00B9311E">
            <w:pPr>
              <w:spacing w:after="0" w:line="240" w:lineRule="auto"/>
              <w:jc w:val="right"/>
              <w:rPr>
                <w:b/>
                <w:bCs/>
                <w:sz w:val="16"/>
                <w:szCs w:val="16"/>
              </w:rPr>
            </w:pPr>
            <w:r w:rsidRPr="00BD77D8">
              <w:rPr>
                <w:b/>
                <w:bCs/>
                <w:sz w:val="16"/>
                <w:szCs w:val="16"/>
              </w:rPr>
              <w:t xml:space="preserve">     228,149 </w:t>
            </w:r>
          </w:p>
        </w:tc>
        <w:tc>
          <w:tcPr>
            <w:tcW w:w="991" w:type="dxa"/>
            <w:tcBorders>
              <w:top w:val="single" w:sz="4" w:space="0" w:color="auto"/>
              <w:left w:val="nil"/>
              <w:bottom w:val="nil"/>
              <w:right w:val="nil"/>
            </w:tcBorders>
            <w:shd w:val="clear" w:color="auto" w:fill="auto"/>
            <w:vAlign w:val="bottom"/>
            <w:hideMark/>
          </w:tcPr>
          <w:p w14:paraId="3A3854F7" w14:textId="77777777" w:rsidR="00B9311E" w:rsidRPr="00BD77D8" w:rsidRDefault="00B9311E" w:rsidP="00B9311E">
            <w:pPr>
              <w:spacing w:after="0" w:line="240" w:lineRule="auto"/>
              <w:jc w:val="right"/>
              <w:rPr>
                <w:b/>
                <w:bCs/>
                <w:sz w:val="16"/>
                <w:szCs w:val="16"/>
              </w:rPr>
            </w:pPr>
            <w:r w:rsidRPr="00BD77D8">
              <w:rPr>
                <w:b/>
                <w:bCs/>
                <w:sz w:val="16"/>
                <w:szCs w:val="16"/>
              </w:rPr>
              <w:t xml:space="preserve">      231,810 </w:t>
            </w:r>
          </w:p>
        </w:tc>
        <w:tc>
          <w:tcPr>
            <w:tcW w:w="854" w:type="dxa"/>
            <w:tcBorders>
              <w:top w:val="single" w:sz="4" w:space="0" w:color="auto"/>
              <w:left w:val="nil"/>
              <w:bottom w:val="nil"/>
              <w:right w:val="nil"/>
            </w:tcBorders>
            <w:shd w:val="clear" w:color="auto" w:fill="auto"/>
            <w:vAlign w:val="bottom"/>
            <w:hideMark/>
          </w:tcPr>
          <w:p w14:paraId="1E2052D0" w14:textId="77777777" w:rsidR="00B9311E" w:rsidRPr="00BD77D8" w:rsidRDefault="00B9311E" w:rsidP="00B9311E">
            <w:pPr>
              <w:spacing w:after="0" w:line="240" w:lineRule="auto"/>
              <w:jc w:val="right"/>
              <w:rPr>
                <w:b/>
                <w:bCs/>
                <w:sz w:val="16"/>
                <w:szCs w:val="16"/>
              </w:rPr>
            </w:pPr>
            <w:r w:rsidRPr="00BD77D8">
              <w:rPr>
                <w:b/>
                <w:bCs/>
                <w:sz w:val="16"/>
                <w:szCs w:val="16"/>
              </w:rPr>
              <w:t xml:space="preserve">       12,418 </w:t>
            </w:r>
          </w:p>
        </w:tc>
        <w:tc>
          <w:tcPr>
            <w:tcW w:w="994" w:type="dxa"/>
            <w:tcBorders>
              <w:top w:val="single" w:sz="4" w:space="0" w:color="auto"/>
              <w:left w:val="nil"/>
              <w:bottom w:val="nil"/>
              <w:right w:val="nil"/>
            </w:tcBorders>
            <w:shd w:val="clear" w:color="auto" w:fill="auto"/>
            <w:vAlign w:val="bottom"/>
            <w:hideMark/>
          </w:tcPr>
          <w:p w14:paraId="5915A930" w14:textId="77777777" w:rsidR="00B9311E" w:rsidRPr="00BD77D8" w:rsidRDefault="00B9311E" w:rsidP="00B9311E">
            <w:pPr>
              <w:spacing w:after="0" w:line="240" w:lineRule="auto"/>
              <w:jc w:val="right"/>
              <w:rPr>
                <w:b/>
                <w:bCs/>
                <w:sz w:val="16"/>
                <w:szCs w:val="16"/>
              </w:rPr>
            </w:pPr>
            <w:r w:rsidRPr="00BD77D8">
              <w:rPr>
                <w:b/>
                <w:bCs/>
                <w:sz w:val="16"/>
                <w:szCs w:val="16"/>
              </w:rPr>
              <w:t xml:space="preserve">         11,697 </w:t>
            </w:r>
          </w:p>
        </w:tc>
        <w:tc>
          <w:tcPr>
            <w:tcW w:w="1129" w:type="dxa"/>
            <w:tcBorders>
              <w:top w:val="single" w:sz="4" w:space="0" w:color="auto"/>
              <w:left w:val="nil"/>
              <w:bottom w:val="nil"/>
              <w:right w:val="nil"/>
            </w:tcBorders>
            <w:shd w:val="clear" w:color="auto" w:fill="auto"/>
            <w:vAlign w:val="bottom"/>
            <w:hideMark/>
          </w:tcPr>
          <w:p w14:paraId="2F08760C" w14:textId="77777777" w:rsidR="00B9311E" w:rsidRPr="00BD77D8" w:rsidRDefault="00B9311E" w:rsidP="00B9311E">
            <w:pPr>
              <w:spacing w:after="0" w:line="240" w:lineRule="auto"/>
              <w:jc w:val="right"/>
              <w:rPr>
                <w:b/>
                <w:bCs/>
                <w:sz w:val="16"/>
                <w:szCs w:val="16"/>
              </w:rPr>
            </w:pPr>
            <w:r w:rsidRPr="00BD77D8">
              <w:rPr>
                <w:b/>
                <w:bCs/>
                <w:sz w:val="16"/>
                <w:szCs w:val="16"/>
              </w:rPr>
              <w:t xml:space="preserve">          69,375 </w:t>
            </w:r>
          </w:p>
        </w:tc>
        <w:tc>
          <w:tcPr>
            <w:tcW w:w="1130" w:type="dxa"/>
            <w:tcBorders>
              <w:top w:val="single" w:sz="4" w:space="0" w:color="auto"/>
              <w:left w:val="nil"/>
              <w:bottom w:val="nil"/>
              <w:right w:val="nil"/>
            </w:tcBorders>
            <w:shd w:val="clear" w:color="auto" w:fill="auto"/>
            <w:vAlign w:val="bottom"/>
            <w:hideMark/>
          </w:tcPr>
          <w:p w14:paraId="72A57B81" w14:textId="77777777" w:rsidR="00B9311E" w:rsidRPr="00BD77D8" w:rsidRDefault="00B9311E" w:rsidP="00B9311E">
            <w:pPr>
              <w:spacing w:after="0" w:line="240" w:lineRule="auto"/>
              <w:jc w:val="right"/>
              <w:rPr>
                <w:b/>
                <w:bCs/>
                <w:sz w:val="16"/>
                <w:szCs w:val="16"/>
              </w:rPr>
            </w:pPr>
            <w:r w:rsidRPr="00BD77D8">
              <w:rPr>
                <w:b/>
                <w:bCs/>
                <w:sz w:val="16"/>
                <w:szCs w:val="16"/>
              </w:rPr>
              <w:t xml:space="preserve">           28,468 </w:t>
            </w:r>
          </w:p>
        </w:tc>
        <w:tc>
          <w:tcPr>
            <w:tcW w:w="1263" w:type="dxa"/>
            <w:tcBorders>
              <w:top w:val="single" w:sz="4" w:space="0" w:color="auto"/>
              <w:left w:val="nil"/>
              <w:bottom w:val="nil"/>
              <w:right w:val="nil"/>
            </w:tcBorders>
            <w:shd w:val="clear" w:color="auto" w:fill="auto"/>
            <w:vAlign w:val="bottom"/>
            <w:hideMark/>
          </w:tcPr>
          <w:p w14:paraId="517FF933" w14:textId="77777777" w:rsidR="00B9311E" w:rsidRPr="00BD77D8" w:rsidRDefault="00B9311E" w:rsidP="00B9311E">
            <w:pPr>
              <w:spacing w:after="0" w:line="240" w:lineRule="auto"/>
              <w:jc w:val="right"/>
              <w:rPr>
                <w:b/>
                <w:bCs/>
                <w:sz w:val="16"/>
                <w:szCs w:val="16"/>
              </w:rPr>
            </w:pPr>
            <w:r w:rsidRPr="00BD77D8">
              <w:rPr>
                <w:b/>
                <w:bCs/>
                <w:sz w:val="16"/>
                <w:szCs w:val="16"/>
              </w:rPr>
              <w:t xml:space="preserve">            16,279 </w:t>
            </w:r>
          </w:p>
        </w:tc>
        <w:tc>
          <w:tcPr>
            <w:tcW w:w="1134" w:type="dxa"/>
            <w:tcBorders>
              <w:top w:val="single" w:sz="4" w:space="0" w:color="auto"/>
              <w:left w:val="nil"/>
              <w:bottom w:val="nil"/>
              <w:right w:val="nil"/>
            </w:tcBorders>
            <w:shd w:val="clear" w:color="auto" w:fill="auto"/>
            <w:vAlign w:val="bottom"/>
            <w:hideMark/>
          </w:tcPr>
          <w:p w14:paraId="358804C0" w14:textId="77777777" w:rsidR="00B9311E" w:rsidRPr="00BD77D8" w:rsidRDefault="00B9311E" w:rsidP="00B9311E">
            <w:pPr>
              <w:spacing w:after="0" w:line="240" w:lineRule="auto"/>
              <w:jc w:val="right"/>
              <w:rPr>
                <w:b/>
                <w:bCs/>
                <w:sz w:val="16"/>
                <w:szCs w:val="16"/>
              </w:rPr>
            </w:pPr>
            <w:r w:rsidRPr="00BD77D8">
              <w:rPr>
                <w:b/>
                <w:bCs/>
                <w:sz w:val="16"/>
                <w:szCs w:val="16"/>
              </w:rPr>
              <w:t xml:space="preserve">           35,901 </w:t>
            </w:r>
          </w:p>
        </w:tc>
        <w:tc>
          <w:tcPr>
            <w:tcW w:w="1135" w:type="dxa"/>
            <w:tcBorders>
              <w:top w:val="single" w:sz="4" w:space="0" w:color="auto"/>
              <w:left w:val="nil"/>
              <w:bottom w:val="nil"/>
              <w:right w:val="nil"/>
            </w:tcBorders>
            <w:shd w:val="clear" w:color="auto" w:fill="auto"/>
            <w:vAlign w:val="bottom"/>
            <w:hideMark/>
          </w:tcPr>
          <w:p w14:paraId="3E2B10D1" w14:textId="77777777" w:rsidR="00B9311E" w:rsidRPr="00BD77D8" w:rsidRDefault="00B9311E" w:rsidP="00B9311E">
            <w:pPr>
              <w:spacing w:after="0" w:line="240" w:lineRule="auto"/>
              <w:jc w:val="right"/>
              <w:rPr>
                <w:b/>
                <w:bCs/>
                <w:sz w:val="16"/>
                <w:szCs w:val="16"/>
              </w:rPr>
            </w:pPr>
            <w:r w:rsidRPr="00BD77D8">
              <w:rPr>
                <w:b/>
                <w:bCs/>
                <w:sz w:val="16"/>
                <w:szCs w:val="16"/>
              </w:rPr>
              <w:t xml:space="preserve">            17,879 </w:t>
            </w:r>
          </w:p>
        </w:tc>
        <w:tc>
          <w:tcPr>
            <w:tcW w:w="1015" w:type="dxa"/>
            <w:tcBorders>
              <w:top w:val="single" w:sz="4" w:space="0" w:color="auto"/>
              <w:left w:val="nil"/>
              <w:bottom w:val="nil"/>
              <w:right w:val="nil"/>
            </w:tcBorders>
            <w:shd w:val="clear" w:color="auto" w:fill="auto"/>
            <w:vAlign w:val="bottom"/>
            <w:hideMark/>
          </w:tcPr>
          <w:p w14:paraId="1530FE51" w14:textId="77777777" w:rsidR="00B9311E" w:rsidRPr="00BD77D8" w:rsidRDefault="00B9311E" w:rsidP="00B9311E">
            <w:pPr>
              <w:spacing w:after="0" w:line="240" w:lineRule="auto"/>
              <w:jc w:val="right"/>
              <w:rPr>
                <w:b/>
                <w:bCs/>
                <w:sz w:val="16"/>
                <w:szCs w:val="16"/>
              </w:rPr>
            </w:pPr>
            <w:r w:rsidRPr="00BD77D8">
              <w:rPr>
                <w:b/>
                <w:bCs/>
                <w:sz w:val="16"/>
                <w:szCs w:val="16"/>
              </w:rPr>
              <w:t xml:space="preserve">      304,936 </w:t>
            </w:r>
          </w:p>
        </w:tc>
        <w:tc>
          <w:tcPr>
            <w:tcW w:w="1070" w:type="dxa"/>
            <w:tcBorders>
              <w:top w:val="single" w:sz="4" w:space="0" w:color="auto"/>
              <w:left w:val="nil"/>
              <w:bottom w:val="nil"/>
              <w:right w:val="nil"/>
            </w:tcBorders>
            <w:shd w:val="clear" w:color="auto" w:fill="auto"/>
            <w:vAlign w:val="bottom"/>
            <w:hideMark/>
          </w:tcPr>
          <w:p w14:paraId="13991B7B" w14:textId="77777777" w:rsidR="00B9311E" w:rsidRPr="00BD77D8" w:rsidRDefault="00B9311E" w:rsidP="00B9311E">
            <w:pPr>
              <w:spacing w:after="0" w:line="240" w:lineRule="auto"/>
              <w:jc w:val="right"/>
              <w:rPr>
                <w:b/>
                <w:bCs/>
                <w:sz w:val="16"/>
                <w:szCs w:val="16"/>
              </w:rPr>
            </w:pPr>
            <w:r w:rsidRPr="00BD77D8">
              <w:rPr>
                <w:b/>
                <w:bCs/>
                <w:sz w:val="16"/>
                <w:szCs w:val="16"/>
              </w:rPr>
              <w:t xml:space="preserve">      347,040 </w:t>
            </w:r>
          </w:p>
        </w:tc>
      </w:tr>
      <w:tr w:rsidR="00BD77D8" w:rsidRPr="00BD77D8" w14:paraId="20A83B2E" w14:textId="77777777" w:rsidTr="003057FB">
        <w:trPr>
          <w:trHeight w:val="285"/>
        </w:trPr>
        <w:tc>
          <w:tcPr>
            <w:tcW w:w="3655" w:type="dxa"/>
            <w:tcBorders>
              <w:top w:val="nil"/>
              <w:left w:val="nil"/>
              <w:bottom w:val="nil"/>
              <w:right w:val="nil"/>
            </w:tcBorders>
            <w:shd w:val="clear" w:color="auto" w:fill="auto"/>
            <w:noWrap/>
            <w:vAlign w:val="bottom"/>
            <w:hideMark/>
          </w:tcPr>
          <w:p w14:paraId="2781ED53" w14:textId="77777777" w:rsidR="00B9311E" w:rsidRPr="00BD77D8" w:rsidRDefault="00B9311E" w:rsidP="00B9311E">
            <w:pPr>
              <w:spacing w:after="0" w:line="240" w:lineRule="auto"/>
              <w:rPr>
                <w:sz w:val="16"/>
                <w:szCs w:val="16"/>
              </w:rPr>
            </w:pPr>
            <w:r w:rsidRPr="00BD77D8">
              <w:rPr>
                <w:sz w:val="16"/>
                <w:szCs w:val="16"/>
              </w:rPr>
              <w:t xml:space="preserve"> Operating Result from Continuing Operations  </w:t>
            </w:r>
          </w:p>
        </w:tc>
        <w:tc>
          <w:tcPr>
            <w:tcW w:w="994" w:type="dxa"/>
            <w:tcBorders>
              <w:top w:val="single" w:sz="4" w:space="0" w:color="auto"/>
              <w:left w:val="nil"/>
              <w:bottom w:val="single" w:sz="4" w:space="0" w:color="auto"/>
              <w:right w:val="nil"/>
            </w:tcBorders>
            <w:shd w:val="clear" w:color="auto" w:fill="auto"/>
            <w:vAlign w:val="bottom"/>
            <w:hideMark/>
          </w:tcPr>
          <w:p w14:paraId="3E7A5069" w14:textId="77777777" w:rsidR="00B9311E" w:rsidRPr="00BD77D8" w:rsidRDefault="00B9311E" w:rsidP="00B9311E">
            <w:pPr>
              <w:spacing w:after="0" w:line="240" w:lineRule="auto"/>
              <w:jc w:val="right"/>
              <w:rPr>
                <w:b/>
                <w:bCs/>
                <w:sz w:val="16"/>
                <w:szCs w:val="16"/>
              </w:rPr>
            </w:pPr>
            <w:r w:rsidRPr="00BD77D8">
              <w:rPr>
                <w:b/>
                <w:bCs/>
                <w:sz w:val="16"/>
                <w:szCs w:val="16"/>
              </w:rPr>
              <w:t xml:space="preserve">       28,474 </w:t>
            </w:r>
          </w:p>
        </w:tc>
        <w:tc>
          <w:tcPr>
            <w:tcW w:w="991" w:type="dxa"/>
            <w:tcBorders>
              <w:top w:val="single" w:sz="4" w:space="0" w:color="auto"/>
              <w:left w:val="nil"/>
              <w:bottom w:val="single" w:sz="4" w:space="0" w:color="auto"/>
              <w:right w:val="nil"/>
            </w:tcBorders>
            <w:shd w:val="clear" w:color="auto" w:fill="auto"/>
            <w:vAlign w:val="bottom"/>
            <w:hideMark/>
          </w:tcPr>
          <w:p w14:paraId="756B9C04" w14:textId="77777777" w:rsidR="00B9311E" w:rsidRPr="00BD77D8" w:rsidRDefault="00B9311E" w:rsidP="00B9311E">
            <w:pPr>
              <w:spacing w:after="0" w:line="240" w:lineRule="auto"/>
              <w:jc w:val="right"/>
              <w:rPr>
                <w:sz w:val="16"/>
                <w:szCs w:val="16"/>
              </w:rPr>
            </w:pPr>
            <w:r w:rsidRPr="00BD77D8">
              <w:rPr>
                <w:sz w:val="16"/>
                <w:szCs w:val="16"/>
              </w:rPr>
              <w:t xml:space="preserve">          2,614 </w:t>
            </w:r>
          </w:p>
        </w:tc>
        <w:tc>
          <w:tcPr>
            <w:tcW w:w="854" w:type="dxa"/>
            <w:tcBorders>
              <w:top w:val="single" w:sz="4" w:space="0" w:color="auto"/>
              <w:left w:val="nil"/>
              <w:bottom w:val="single" w:sz="4" w:space="0" w:color="auto"/>
              <w:right w:val="nil"/>
            </w:tcBorders>
            <w:shd w:val="clear" w:color="auto" w:fill="auto"/>
            <w:vAlign w:val="bottom"/>
            <w:hideMark/>
          </w:tcPr>
          <w:p w14:paraId="3C4D376B" w14:textId="77777777" w:rsidR="00B9311E" w:rsidRPr="00BD77D8" w:rsidRDefault="00B9311E" w:rsidP="00B9311E">
            <w:pPr>
              <w:spacing w:after="0" w:line="240" w:lineRule="auto"/>
              <w:jc w:val="right"/>
              <w:rPr>
                <w:b/>
                <w:bCs/>
                <w:sz w:val="16"/>
                <w:szCs w:val="16"/>
              </w:rPr>
            </w:pPr>
            <w:r w:rsidRPr="00BD77D8">
              <w:rPr>
                <w:b/>
                <w:bCs/>
                <w:sz w:val="16"/>
                <w:szCs w:val="16"/>
              </w:rPr>
              <w:t xml:space="preserve">            248 </w:t>
            </w:r>
          </w:p>
        </w:tc>
        <w:tc>
          <w:tcPr>
            <w:tcW w:w="994" w:type="dxa"/>
            <w:tcBorders>
              <w:top w:val="single" w:sz="4" w:space="0" w:color="auto"/>
              <w:left w:val="nil"/>
              <w:bottom w:val="single" w:sz="4" w:space="0" w:color="auto"/>
              <w:right w:val="nil"/>
            </w:tcBorders>
            <w:shd w:val="clear" w:color="auto" w:fill="auto"/>
            <w:vAlign w:val="bottom"/>
            <w:hideMark/>
          </w:tcPr>
          <w:p w14:paraId="7953E859" w14:textId="77777777" w:rsidR="00B9311E" w:rsidRPr="00BD77D8" w:rsidRDefault="00B9311E" w:rsidP="00B9311E">
            <w:pPr>
              <w:spacing w:after="0" w:line="240" w:lineRule="auto"/>
              <w:jc w:val="right"/>
              <w:rPr>
                <w:sz w:val="16"/>
                <w:szCs w:val="16"/>
              </w:rPr>
            </w:pPr>
            <w:r w:rsidRPr="00BD77D8">
              <w:rPr>
                <w:sz w:val="16"/>
                <w:szCs w:val="16"/>
              </w:rPr>
              <w:t xml:space="preserve">                10 </w:t>
            </w:r>
          </w:p>
        </w:tc>
        <w:tc>
          <w:tcPr>
            <w:tcW w:w="1129" w:type="dxa"/>
            <w:tcBorders>
              <w:top w:val="single" w:sz="4" w:space="0" w:color="auto"/>
              <w:left w:val="nil"/>
              <w:bottom w:val="single" w:sz="4" w:space="0" w:color="auto"/>
              <w:right w:val="nil"/>
            </w:tcBorders>
            <w:shd w:val="clear" w:color="auto" w:fill="auto"/>
            <w:vAlign w:val="bottom"/>
            <w:hideMark/>
          </w:tcPr>
          <w:p w14:paraId="23058E6D" w14:textId="77777777" w:rsidR="00B9311E" w:rsidRPr="00BD77D8" w:rsidRDefault="00B9311E" w:rsidP="00B9311E">
            <w:pPr>
              <w:spacing w:after="0" w:line="240" w:lineRule="auto"/>
              <w:jc w:val="right"/>
              <w:rPr>
                <w:sz w:val="16"/>
                <w:szCs w:val="16"/>
              </w:rPr>
            </w:pPr>
            <w:r w:rsidRPr="00BD77D8">
              <w:rPr>
                <w:sz w:val="16"/>
                <w:szCs w:val="16"/>
              </w:rPr>
              <w:t xml:space="preserve">                    - </w:t>
            </w:r>
          </w:p>
        </w:tc>
        <w:tc>
          <w:tcPr>
            <w:tcW w:w="1130" w:type="dxa"/>
            <w:tcBorders>
              <w:top w:val="single" w:sz="4" w:space="0" w:color="auto"/>
              <w:left w:val="nil"/>
              <w:bottom w:val="single" w:sz="4" w:space="0" w:color="auto"/>
              <w:right w:val="nil"/>
            </w:tcBorders>
            <w:shd w:val="clear" w:color="auto" w:fill="auto"/>
            <w:vAlign w:val="bottom"/>
            <w:hideMark/>
          </w:tcPr>
          <w:p w14:paraId="2735BB40" w14:textId="77777777" w:rsidR="00B9311E" w:rsidRPr="00BD77D8" w:rsidRDefault="00B9311E" w:rsidP="00B9311E">
            <w:pPr>
              <w:spacing w:after="0" w:line="240" w:lineRule="auto"/>
              <w:jc w:val="right"/>
              <w:rPr>
                <w:b/>
                <w:bCs/>
                <w:sz w:val="16"/>
                <w:szCs w:val="16"/>
              </w:rPr>
            </w:pPr>
            <w:r w:rsidRPr="00BD77D8">
              <w:rPr>
                <w:b/>
                <w:bCs/>
                <w:sz w:val="16"/>
                <w:szCs w:val="16"/>
              </w:rPr>
              <w:t xml:space="preserve">                242 </w:t>
            </w:r>
          </w:p>
        </w:tc>
        <w:tc>
          <w:tcPr>
            <w:tcW w:w="1263" w:type="dxa"/>
            <w:tcBorders>
              <w:top w:val="single" w:sz="4" w:space="0" w:color="auto"/>
              <w:left w:val="nil"/>
              <w:bottom w:val="single" w:sz="4" w:space="0" w:color="auto"/>
              <w:right w:val="nil"/>
            </w:tcBorders>
            <w:shd w:val="clear" w:color="auto" w:fill="auto"/>
            <w:vAlign w:val="bottom"/>
            <w:hideMark/>
          </w:tcPr>
          <w:p w14:paraId="535D3CF2" w14:textId="77777777" w:rsidR="00B9311E" w:rsidRPr="00BD77D8" w:rsidRDefault="00B9311E" w:rsidP="00B9311E">
            <w:pPr>
              <w:spacing w:after="0" w:line="240" w:lineRule="auto"/>
              <w:jc w:val="right"/>
              <w:rPr>
                <w:sz w:val="16"/>
                <w:szCs w:val="16"/>
              </w:rPr>
            </w:pPr>
            <w:r w:rsidRPr="00BD77D8">
              <w:rPr>
                <w:sz w:val="16"/>
                <w:szCs w:val="16"/>
              </w:rPr>
              <w:t xml:space="preserve">                   82 </w:t>
            </w:r>
          </w:p>
        </w:tc>
        <w:tc>
          <w:tcPr>
            <w:tcW w:w="1134" w:type="dxa"/>
            <w:tcBorders>
              <w:top w:val="single" w:sz="4" w:space="0" w:color="auto"/>
              <w:left w:val="nil"/>
              <w:bottom w:val="single" w:sz="4" w:space="0" w:color="auto"/>
              <w:right w:val="nil"/>
            </w:tcBorders>
            <w:shd w:val="clear" w:color="auto" w:fill="auto"/>
            <w:vAlign w:val="bottom"/>
            <w:hideMark/>
          </w:tcPr>
          <w:p w14:paraId="3AF800AF" w14:textId="77777777" w:rsidR="00B9311E" w:rsidRPr="00BD77D8" w:rsidRDefault="00B9311E" w:rsidP="00B9311E">
            <w:pPr>
              <w:spacing w:after="0" w:line="240" w:lineRule="auto"/>
              <w:jc w:val="right"/>
              <w:rPr>
                <w:b/>
                <w:bCs/>
                <w:sz w:val="16"/>
                <w:szCs w:val="16"/>
              </w:rPr>
            </w:pPr>
            <w:r w:rsidRPr="00BD77D8">
              <w:rPr>
                <w:b/>
                <w:bCs/>
                <w:sz w:val="16"/>
                <w:szCs w:val="16"/>
              </w:rPr>
              <w:t xml:space="preserve">             2,227 </w:t>
            </w:r>
          </w:p>
        </w:tc>
        <w:tc>
          <w:tcPr>
            <w:tcW w:w="1135" w:type="dxa"/>
            <w:tcBorders>
              <w:top w:val="single" w:sz="4" w:space="0" w:color="auto"/>
              <w:left w:val="nil"/>
              <w:bottom w:val="single" w:sz="4" w:space="0" w:color="auto"/>
              <w:right w:val="nil"/>
            </w:tcBorders>
            <w:shd w:val="clear" w:color="auto" w:fill="auto"/>
            <w:vAlign w:val="bottom"/>
            <w:hideMark/>
          </w:tcPr>
          <w:p w14:paraId="573EFB36" w14:textId="77777777" w:rsidR="00B9311E" w:rsidRPr="00BD77D8" w:rsidRDefault="00B9311E" w:rsidP="00B9311E">
            <w:pPr>
              <w:spacing w:after="0" w:line="240" w:lineRule="auto"/>
              <w:jc w:val="right"/>
              <w:rPr>
                <w:sz w:val="16"/>
                <w:szCs w:val="16"/>
              </w:rPr>
            </w:pPr>
            <w:r w:rsidRPr="00BD77D8">
              <w:rPr>
                <w:sz w:val="16"/>
                <w:szCs w:val="16"/>
              </w:rPr>
              <w:t xml:space="preserve">                   77 </w:t>
            </w:r>
          </w:p>
        </w:tc>
        <w:tc>
          <w:tcPr>
            <w:tcW w:w="1015" w:type="dxa"/>
            <w:tcBorders>
              <w:top w:val="single" w:sz="4" w:space="0" w:color="auto"/>
              <w:left w:val="nil"/>
              <w:bottom w:val="single" w:sz="4" w:space="0" w:color="auto"/>
              <w:right w:val="nil"/>
            </w:tcBorders>
            <w:shd w:val="clear" w:color="auto" w:fill="auto"/>
            <w:vAlign w:val="bottom"/>
            <w:hideMark/>
          </w:tcPr>
          <w:p w14:paraId="263824F4" w14:textId="77777777" w:rsidR="00B9311E" w:rsidRPr="00BD77D8" w:rsidRDefault="00B9311E" w:rsidP="00B9311E">
            <w:pPr>
              <w:spacing w:after="0" w:line="240" w:lineRule="auto"/>
              <w:jc w:val="right"/>
              <w:rPr>
                <w:b/>
                <w:bCs/>
                <w:sz w:val="16"/>
                <w:szCs w:val="16"/>
              </w:rPr>
            </w:pPr>
            <w:r w:rsidRPr="00BD77D8">
              <w:rPr>
                <w:b/>
                <w:bCs/>
                <w:sz w:val="16"/>
                <w:szCs w:val="16"/>
              </w:rPr>
              <w:t xml:space="preserve">        31,191 </w:t>
            </w:r>
          </w:p>
        </w:tc>
        <w:tc>
          <w:tcPr>
            <w:tcW w:w="1070" w:type="dxa"/>
            <w:tcBorders>
              <w:top w:val="single" w:sz="4" w:space="0" w:color="auto"/>
              <w:left w:val="nil"/>
              <w:bottom w:val="single" w:sz="4" w:space="0" w:color="auto"/>
              <w:right w:val="nil"/>
            </w:tcBorders>
            <w:shd w:val="clear" w:color="auto" w:fill="auto"/>
            <w:vAlign w:val="bottom"/>
            <w:hideMark/>
          </w:tcPr>
          <w:p w14:paraId="52EE726A" w14:textId="77777777" w:rsidR="00B9311E" w:rsidRPr="00BD77D8" w:rsidRDefault="00B9311E" w:rsidP="00B9311E">
            <w:pPr>
              <w:spacing w:after="0" w:line="240" w:lineRule="auto"/>
              <w:jc w:val="right"/>
              <w:rPr>
                <w:sz w:val="16"/>
                <w:szCs w:val="16"/>
              </w:rPr>
            </w:pPr>
            <w:r w:rsidRPr="00BD77D8">
              <w:rPr>
                <w:sz w:val="16"/>
                <w:szCs w:val="16"/>
              </w:rPr>
              <w:t xml:space="preserve">          2,783 </w:t>
            </w:r>
          </w:p>
        </w:tc>
      </w:tr>
      <w:tr w:rsidR="00BD77D8" w:rsidRPr="00BD77D8" w14:paraId="6B7A6065" w14:textId="77777777" w:rsidTr="003057FB">
        <w:trPr>
          <w:trHeight w:val="285"/>
        </w:trPr>
        <w:tc>
          <w:tcPr>
            <w:tcW w:w="3655" w:type="dxa"/>
            <w:tcBorders>
              <w:top w:val="nil"/>
              <w:left w:val="nil"/>
              <w:bottom w:val="nil"/>
              <w:right w:val="nil"/>
            </w:tcBorders>
            <w:shd w:val="clear" w:color="auto" w:fill="auto"/>
            <w:noWrap/>
            <w:vAlign w:val="bottom"/>
            <w:hideMark/>
          </w:tcPr>
          <w:p w14:paraId="70F3120C" w14:textId="77777777" w:rsidR="00B9311E" w:rsidRPr="00BD77D8" w:rsidRDefault="00B9311E" w:rsidP="00B9311E">
            <w:pPr>
              <w:spacing w:after="0" w:line="240" w:lineRule="auto"/>
              <w:rPr>
                <w:b/>
                <w:bCs/>
                <w:sz w:val="16"/>
                <w:szCs w:val="16"/>
              </w:rPr>
            </w:pPr>
            <w:r w:rsidRPr="00BD77D8">
              <w:rPr>
                <w:b/>
                <w:bCs/>
                <w:sz w:val="16"/>
                <w:szCs w:val="16"/>
              </w:rPr>
              <w:t xml:space="preserve"> Operating Result for the Year </w:t>
            </w:r>
          </w:p>
        </w:tc>
        <w:tc>
          <w:tcPr>
            <w:tcW w:w="994" w:type="dxa"/>
            <w:tcBorders>
              <w:top w:val="nil"/>
              <w:left w:val="nil"/>
              <w:bottom w:val="single" w:sz="4" w:space="0" w:color="auto"/>
              <w:right w:val="nil"/>
            </w:tcBorders>
            <w:shd w:val="clear" w:color="auto" w:fill="auto"/>
            <w:vAlign w:val="bottom"/>
            <w:hideMark/>
          </w:tcPr>
          <w:p w14:paraId="38085B5C" w14:textId="77777777" w:rsidR="00B9311E" w:rsidRPr="00BD77D8" w:rsidRDefault="00B9311E" w:rsidP="00B9311E">
            <w:pPr>
              <w:spacing w:after="0" w:line="240" w:lineRule="auto"/>
              <w:jc w:val="right"/>
              <w:rPr>
                <w:b/>
                <w:bCs/>
                <w:sz w:val="16"/>
                <w:szCs w:val="16"/>
              </w:rPr>
            </w:pPr>
            <w:r w:rsidRPr="00BD77D8">
              <w:rPr>
                <w:b/>
                <w:bCs/>
                <w:sz w:val="16"/>
                <w:szCs w:val="16"/>
              </w:rPr>
              <w:t xml:space="preserve">       28,474 </w:t>
            </w:r>
          </w:p>
        </w:tc>
        <w:tc>
          <w:tcPr>
            <w:tcW w:w="991" w:type="dxa"/>
            <w:tcBorders>
              <w:top w:val="nil"/>
              <w:left w:val="nil"/>
              <w:bottom w:val="single" w:sz="4" w:space="0" w:color="auto"/>
              <w:right w:val="nil"/>
            </w:tcBorders>
            <w:shd w:val="clear" w:color="auto" w:fill="auto"/>
            <w:vAlign w:val="bottom"/>
            <w:hideMark/>
          </w:tcPr>
          <w:p w14:paraId="33A59BC9" w14:textId="77777777" w:rsidR="00B9311E" w:rsidRPr="00BD77D8" w:rsidRDefault="00B9311E" w:rsidP="00B9311E">
            <w:pPr>
              <w:spacing w:after="0" w:line="240" w:lineRule="auto"/>
              <w:jc w:val="right"/>
              <w:rPr>
                <w:b/>
                <w:bCs/>
                <w:sz w:val="16"/>
                <w:szCs w:val="16"/>
              </w:rPr>
            </w:pPr>
            <w:r w:rsidRPr="00BD77D8">
              <w:rPr>
                <w:b/>
                <w:bCs/>
                <w:sz w:val="16"/>
                <w:szCs w:val="16"/>
              </w:rPr>
              <w:t xml:space="preserve">          2,614 </w:t>
            </w:r>
          </w:p>
        </w:tc>
        <w:tc>
          <w:tcPr>
            <w:tcW w:w="854" w:type="dxa"/>
            <w:tcBorders>
              <w:top w:val="nil"/>
              <w:left w:val="nil"/>
              <w:bottom w:val="single" w:sz="4" w:space="0" w:color="auto"/>
              <w:right w:val="nil"/>
            </w:tcBorders>
            <w:shd w:val="clear" w:color="auto" w:fill="auto"/>
            <w:vAlign w:val="bottom"/>
            <w:hideMark/>
          </w:tcPr>
          <w:p w14:paraId="73562CCE" w14:textId="77777777" w:rsidR="00B9311E" w:rsidRPr="00BD77D8" w:rsidRDefault="00B9311E" w:rsidP="00B9311E">
            <w:pPr>
              <w:spacing w:after="0" w:line="240" w:lineRule="auto"/>
              <w:jc w:val="right"/>
              <w:rPr>
                <w:b/>
                <w:bCs/>
                <w:sz w:val="16"/>
                <w:szCs w:val="16"/>
              </w:rPr>
            </w:pPr>
            <w:r w:rsidRPr="00BD77D8">
              <w:rPr>
                <w:b/>
                <w:bCs/>
                <w:sz w:val="16"/>
                <w:szCs w:val="16"/>
              </w:rPr>
              <w:t xml:space="preserve">            248 </w:t>
            </w:r>
          </w:p>
        </w:tc>
        <w:tc>
          <w:tcPr>
            <w:tcW w:w="994" w:type="dxa"/>
            <w:tcBorders>
              <w:top w:val="nil"/>
              <w:left w:val="nil"/>
              <w:bottom w:val="single" w:sz="4" w:space="0" w:color="auto"/>
              <w:right w:val="nil"/>
            </w:tcBorders>
            <w:shd w:val="clear" w:color="auto" w:fill="auto"/>
            <w:vAlign w:val="bottom"/>
            <w:hideMark/>
          </w:tcPr>
          <w:p w14:paraId="4C01E348" w14:textId="77777777" w:rsidR="00B9311E" w:rsidRPr="00BD77D8" w:rsidRDefault="00B9311E" w:rsidP="00B9311E">
            <w:pPr>
              <w:spacing w:after="0" w:line="240" w:lineRule="auto"/>
              <w:jc w:val="right"/>
              <w:rPr>
                <w:b/>
                <w:bCs/>
                <w:sz w:val="16"/>
                <w:szCs w:val="16"/>
              </w:rPr>
            </w:pPr>
            <w:r w:rsidRPr="00BD77D8">
              <w:rPr>
                <w:b/>
                <w:bCs/>
                <w:sz w:val="16"/>
                <w:szCs w:val="16"/>
              </w:rPr>
              <w:t xml:space="preserve">                10 </w:t>
            </w:r>
          </w:p>
        </w:tc>
        <w:tc>
          <w:tcPr>
            <w:tcW w:w="1129" w:type="dxa"/>
            <w:tcBorders>
              <w:top w:val="nil"/>
              <w:left w:val="nil"/>
              <w:bottom w:val="single" w:sz="4" w:space="0" w:color="auto"/>
              <w:right w:val="nil"/>
            </w:tcBorders>
            <w:shd w:val="clear" w:color="auto" w:fill="auto"/>
            <w:vAlign w:val="bottom"/>
            <w:hideMark/>
          </w:tcPr>
          <w:p w14:paraId="7F791226"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1130" w:type="dxa"/>
            <w:tcBorders>
              <w:top w:val="nil"/>
              <w:left w:val="nil"/>
              <w:bottom w:val="single" w:sz="4" w:space="0" w:color="auto"/>
              <w:right w:val="nil"/>
            </w:tcBorders>
            <w:shd w:val="clear" w:color="auto" w:fill="auto"/>
            <w:vAlign w:val="bottom"/>
            <w:hideMark/>
          </w:tcPr>
          <w:p w14:paraId="62BA4991" w14:textId="77777777" w:rsidR="00B9311E" w:rsidRPr="00BD77D8" w:rsidRDefault="00B9311E" w:rsidP="00B9311E">
            <w:pPr>
              <w:spacing w:after="0" w:line="240" w:lineRule="auto"/>
              <w:jc w:val="right"/>
              <w:rPr>
                <w:b/>
                <w:bCs/>
                <w:sz w:val="16"/>
                <w:szCs w:val="16"/>
              </w:rPr>
            </w:pPr>
            <w:r w:rsidRPr="00BD77D8">
              <w:rPr>
                <w:b/>
                <w:bCs/>
                <w:sz w:val="16"/>
                <w:szCs w:val="16"/>
              </w:rPr>
              <w:t xml:space="preserve">                242 </w:t>
            </w:r>
          </w:p>
        </w:tc>
        <w:tc>
          <w:tcPr>
            <w:tcW w:w="1263" w:type="dxa"/>
            <w:tcBorders>
              <w:top w:val="nil"/>
              <w:left w:val="nil"/>
              <w:bottom w:val="single" w:sz="4" w:space="0" w:color="auto"/>
              <w:right w:val="nil"/>
            </w:tcBorders>
            <w:shd w:val="clear" w:color="auto" w:fill="auto"/>
            <w:vAlign w:val="bottom"/>
            <w:hideMark/>
          </w:tcPr>
          <w:p w14:paraId="1FA532FE" w14:textId="77777777" w:rsidR="00B9311E" w:rsidRPr="00BD77D8" w:rsidRDefault="00B9311E" w:rsidP="00B9311E">
            <w:pPr>
              <w:spacing w:after="0" w:line="240" w:lineRule="auto"/>
              <w:jc w:val="right"/>
              <w:rPr>
                <w:b/>
                <w:bCs/>
                <w:sz w:val="16"/>
                <w:szCs w:val="16"/>
              </w:rPr>
            </w:pPr>
            <w:r w:rsidRPr="00BD77D8">
              <w:rPr>
                <w:b/>
                <w:bCs/>
                <w:sz w:val="16"/>
                <w:szCs w:val="16"/>
              </w:rPr>
              <w:t xml:space="preserve">                   82 </w:t>
            </w:r>
          </w:p>
        </w:tc>
        <w:tc>
          <w:tcPr>
            <w:tcW w:w="1134" w:type="dxa"/>
            <w:tcBorders>
              <w:top w:val="nil"/>
              <w:left w:val="nil"/>
              <w:bottom w:val="single" w:sz="4" w:space="0" w:color="auto"/>
              <w:right w:val="nil"/>
            </w:tcBorders>
            <w:shd w:val="clear" w:color="auto" w:fill="auto"/>
            <w:vAlign w:val="bottom"/>
            <w:hideMark/>
          </w:tcPr>
          <w:p w14:paraId="1FA202A8" w14:textId="77777777" w:rsidR="00B9311E" w:rsidRPr="00BD77D8" w:rsidRDefault="00B9311E" w:rsidP="00B9311E">
            <w:pPr>
              <w:spacing w:after="0" w:line="240" w:lineRule="auto"/>
              <w:jc w:val="right"/>
              <w:rPr>
                <w:b/>
                <w:bCs/>
                <w:sz w:val="16"/>
                <w:szCs w:val="16"/>
              </w:rPr>
            </w:pPr>
            <w:r w:rsidRPr="00BD77D8">
              <w:rPr>
                <w:b/>
                <w:bCs/>
                <w:sz w:val="16"/>
                <w:szCs w:val="16"/>
              </w:rPr>
              <w:t xml:space="preserve">             2,227 </w:t>
            </w:r>
          </w:p>
        </w:tc>
        <w:tc>
          <w:tcPr>
            <w:tcW w:w="1135" w:type="dxa"/>
            <w:tcBorders>
              <w:top w:val="nil"/>
              <w:left w:val="nil"/>
              <w:bottom w:val="single" w:sz="4" w:space="0" w:color="auto"/>
              <w:right w:val="nil"/>
            </w:tcBorders>
            <w:shd w:val="clear" w:color="auto" w:fill="auto"/>
            <w:vAlign w:val="bottom"/>
            <w:hideMark/>
          </w:tcPr>
          <w:p w14:paraId="254CAC58" w14:textId="77777777" w:rsidR="00B9311E" w:rsidRPr="00BD77D8" w:rsidRDefault="00B9311E" w:rsidP="00B9311E">
            <w:pPr>
              <w:spacing w:after="0" w:line="240" w:lineRule="auto"/>
              <w:jc w:val="right"/>
              <w:rPr>
                <w:b/>
                <w:bCs/>
                <w:sz w:val="16"/>
                <w:szCs w:val="16"/>
              </w:rPr>
            </w:pPr>
            <w:r w:rsidRPr="00BD77D8">
              <w:rPr>
                <w:b/>
                <w:bCs/>
                <w:sz w:val="16"/>
                <w:szCs w:val="16"/>
              </w:rPr>
              <w:t xml:space="preserve">                   77 </w:t>
            </w:r>
          </w:p>
        </w:tc>
        <w:tc>
          <w:tcPr>
            <w:tcW w:w="1015" w:type="dxa"/>
            <w:tcBorders>
              <w:top w:val="nil"/>
              <w:left w:val="nil"/>
              <w:bottom w:val="single" w:sz="4" w:space="0" w:color="auto"/>
              <w:right w:val="nil"/>
            </w:tcBorders>
            <w:shd w:val="clear" w:color="auto" w:fill="auto"/>
            <w:vAlign w:val="bottom"/>
            <w:hideMark/>
          </w:tcPr>
          <w:p w14:paraId="097C601F" w14:textId="77777777" w:rsidR="00B9311E" w:rsidRPr="00BD77D8" w:rsidRDefault="00B9311E" w:rsidP="00B9311E">
            <w:pPr>
              <w:spacing w:after="0" w:line="240" w:lineRule="auto"/>
              <w:jc w:val="right"/>
              <w:rPr>
                <w:b/>
                <w:bCs/>
                <w:sz w:val="16"/>
                <w:szCs w:val="16"/>
              </w:rPr>
            </w:pPr>
            <w:r w:rsidRPr="00BD77D8">
              <w:rPr>
                <w:b/>
                <w:bCs/>
                <w:sz w:val="16"/>
                <w:szCs w:val="16"/>
              </w:rPr>
              <w:t xml:space="preserve">        31,191 </w:t>
            </w:r>
          </w:p>
        </w:tc>
        <w:tc>
          <w:tcPr>
            <w:tcW w:w="1070" w:type="dxa"/>
            <w:tcBorders>
              <w:top w:val="nil"/>
              <w:left w:val="nil"/>
              <w:bottom w:val="single" w:sz="4" w:space="0" w:color="auto"/>
              <w:right w:val="nil"/>
            </w:tcBorders>
            <w:shd w:val="clear" w:color="auto" w:fill="auto"/>
            <w:vAlign w:val="bottom"/>
            <w:hideMark/>
          </w:tcPr>
          <w:p w14:paraId="038048ED" w14:textId="77777777" w:rsidR="00B9311E" w:rsidRPr="00BD77D8" w:rsidRDefault="00B9311E" w:rsidP="00B9311E">
            <w:pPr>
              <w:spacing w:after="0" w:line="240" w:lineRule="auto"/>
              <w:jc w:val="right"/>
              <w:rPr>
                <w:b/>
                <w:bCs/>
                <w:sz w:val="16"/>
                <w:szCs w:val="16"/>
              </w:rPr>
            </w:pPr>
            <w:r w:rsidRPr="00BD77D8">
              <w:rPr>
                <w:b/>
                <w:bCs/>
                <w:sz w:val="16"/>
                <w:szCs w:val="16"/>
              </w:rPr>
              <w:t xml:space="preserve">          2,783 </w:t>
            </w:r>
          </w:p>
        </w:tc>
      </w:tr>
      <w:tr w:rsidR="00BD77D8" w:rsidRPr="00BD77D8" w14:paraId="559A850C" w14:textId="77777777" w:rsidTr="003057FB">
        <w:trPr>
          <w:trHeight w:val="300"/>
        </w:trPr>
        <w:tc>
          <w:tcPr>
            <w:tcW w:w="3655" w:type="dxa"/>
            <w:tcBorders>
              <w:top w:val="nil"/>
              <w:left w:val="nil"/>
              <w:bottom w:val="nil"/>
              <w:right w:val="nil"/>
            </w:tcBorders>
            <w:shd w:val="clear" w:color="auto" w:fill="auto"/>
            <w:noWrap/>
            <w:vAlign w:val="bottom"/>
            <w:hideMark/>
          </w:tcPr>
          <w:p w14:paraId="50D0FAA7" w14:textId="77777777" w:rsidR="00B9311E" w:rsidRPr="00BD77D8" w:rsidRDefault="00B9311E" w:rsidP="00B9311E">
            <w:pPr>
              <w:spacing w:after="0" w:line="240" w:lineRule="auto"/>
              <w:rPr>
                <w:b/>
                <w:bCs/>
                <w:sz w:val="16"/>
                <w:szCs w:val="16"/>
              </w:rPr>
            </w:pPr>
            <w:r w:rsidRPr="00BD77D8">
              <w:rPr>
                <w:b/>
                <w:bCs/>
                <w:sz w:val="16"/>
                <w:szCs w:val="16"/>
              </w:rPr>
              <w:t xml:space="preserve"> Total Comprehensive Income </w:t>
            </w:r>
          </w:p>
        </w:tc>
        <w:tc>
          <w:tcPr>
            <w:tcW w:w="994" w:type="dxa"/>
            <w:tcBorders>
              <w:top w:val="nil"/>
              <w:left w:val="nil"/>
              <w:bottom w:val="single" w:sz="4" w:space="0" w:color="auto"/>
              <w:right w:val="nil"/>
            </w:tcBorders>
            <w:shd w:val="clear" w:color="auto" w:fill="auto"/>
            <w:vAlign w:val="bottom"/>
            <w:hideMark/>
          </w:tcPr>
          <w:p w14:paraId="7C2CAB29" w14:textId="77777777" w:rsidR="00B9311E" w:rsidRPr="00BD77D8" w:rsidRDefault="00B9311E" w:rsidP="00B9311E">
            <w:pPr>
              <w:spacing w:after="0" w:line="240" w:lineRule="auto"/>
              <w:jc w:val="right"/>
              <w:rPr>
                <w:b/>
                <w:bCs/>
                <w:sz w:val="16"/>
                <w:szCs w:val="16"/>
              </w:rPr>
            </w:pPr>
            <w:r w:rsidRPr="00BD77D8">
              <w:rPr>
                <w:b/>
                <w:bCs/>
                <w:sz w:val="16"/>
                <w:szCs w:val="16"/>
              </w:rPr>
              <w:t xml:space="preserve">       28,474 </w:t>
            </w:r>
          </w:p>
        </w:tc>
        <w:tc>
          <w:tcPr>
            <w:tcW w:w="991" w:type="dxa"/>
            <w:tcBorders>
              <w:top w:val="nil"/>
              <w:left w:val="nil"/>
              <w:bottom w:val="single" w:sz="4" w:space="0" w:color="auto"/>
              <w:right w:val="nil"/>
            </w:tcBorders>
            <w:shd w:val="clear" w:color="auto" w:fill="auto"/>
            <w:vAlign w:val="bottom"/>
            <w:hideMark/>
          </w:tcPr>
          <w:p w14:paraId="58AF4392" w14:textId="77777777" w:rsidR="00B9311E" w:rsidRPr="00BD77D8" w:rsidRDefault="00B9311E" w:rsidP="00B9311E">
            <w:pPr>
              <w:spacing w:after="0" w:line="240" w:lineRule="auto"/>
              <w:jc w:val="right"/>
              <w:rPr>
                <w:b/>
                <w:bCs/>
                <w:sz w:val="16"/>
                <w:szCs w:val="16"/>
              </w:rPr>
            </w:pPr>
            <w:r w:rsidRPr="00BD77D8">
              <w:rPr>
                <w:b/>
                <w:bCs/>
                <w:sz w:val="16"/>
                <w:szCs w:val="16"/>
              </w:rPr>
              <w:t xml:space="preserve">          2,614 </w:t>
            </w:r>
          </w:p>
        </w:tc>
        <w:tc>
          <w:tcPr>
            <w:tcW w:w="854" w:type="dxa"/>
            <w:tcBorders>
              <w:top w:val="nil"/>
              <w:left w:val="nil"/>
              <w:bottom w:val="single" w:sz="4" w:space="0" w:color="auto"/>
              <w:right w:val="nil"/>
            </w:tcBorders>
            <w:shd w:val="clear" w:color="auto" w:fill="auto"/>
            <w:vAlign w:val="bottom"/>
            <w:hideMark/>
          </w:tcPr>
          <w:p w14:paraId="56C025A8" w14:textId="77777777" w:rsidR="00B9311E" w:rsidRPr="00BD77D8" w:rsidRDefault="00B9311E" w:rsidP="00B9311E">
            <w:pPr>
              <w:spacing w:after="0" w:line="240" w:lineRule="auto"/>
              <w:jc w:val="right"/>
              <w:rPr>
                <w:b/>
                <w:bCs/>
                <w:sz w:val="16"/>
                <w:szCs w:val="16"/>
              </w:rPr>
            </w:pPr>
            <w:r w:rsidRPr="00BD77D8">
              <w:rPr>
                <w:b/>
                <w:bCs/>
                <w:sz w:val="16"/>
                <w:szCs w:val="16"/>
              </w:rPr>
              <w:t xml:space="preserve">            248 </w:t>
            </w:r>
          </w:p>
        </w:tc>
        <w:tc>
          <w:tcPr>
            <w:tcW w:w="994" w:type="dxa"/>
            <w:tcBorders>
              <w:top w:val="nil"/>
              <w:left w:val="nil"/>
              <w:bottom w:val="single" w:sz="4" w:space="0" w:color="auto"/>
              <w:right w:val="nil"/>
            </w:tcBorders>
            <w:shd w:val="clear" w:color="auto" w:fill="auto"/>
            <w:vAlign w:val="bottom"/>
            <w:hideMark/>
          </w:tcPr>
          <w:p w14:paraId="24719445" w14:textId="77777777" w:rsidR="00B9311E" w:rsidRPr="00BD77D8" w:rsidRDefault="00B9311E" w:rsidP="00B9311E">
            <w:pPr>
              <w:spacing w:after="0" w:line="240" w:lineRule="auto"/>
              <w:jc w:val="right"/>
              <w:rPr>
                <w:b/>
                <w:bCs/>
                <w:sz w:val="16"/>
                <w:szCs w:val="16"/>
              </w:rPr>
            </w:pPr>
            <w:r w:rsidRPr="00BD77D8">
              <w:rPr>
                <w:b/>
                <w:bCs/>
                <w:sz w:val="16"/>
                <w:szCs w:val="16"/>
              </w:rPr>
              <w:t xml:space="preserve">                10 </w:t>
            </w:r>
          </w:p>
        </w:tc>
        <w:tc>
          <w:tcPr>
            <w:tcW w:w="1129" w:type="dxa"/>
            <w:tcBorders>
              <w:top w:val="nil"/>
              <w:left w:val="nil"/>
              <w:bottom w:val="single" w:sz="4" w:space="0" w:color="auto"/>
              <w:right w:val="nil"/>
            </w:tcBorders>
            <w:shd w:val="clear" w:color="auto" w:fill="auto"/>
            <w:vAlign w:val="bottom"/>
            <w:hideMark/>
          </w:tcPr>
          <w:p w14:paraId="3451E6AC" w14:textId="77777777" w:rsidR="00B9311E" w:rsidRPr="00BD77D8" w:rsidRDefault="00B9311E" w:rsidP="00B9311E">
            <w:pPr>
              <w:spacing w:after="0" w:line="240" w:lineRule="auto"/>
              <w:jc w:val="right"/>
              <w:rPr>
                <w:b/>
                <w:bCs/>
                <w:sz w:val="16"/>
                <w:szCs w:val="16"/>
              </w:rPr>
            </w:pPr>
            <w:r w:rsidRPr="00BD77D8">
              <w:rPr>
                <w:b/>
                <w:bCs/>
                <w:sz w:val="16"/>
                <w:szCs w:val="16"/>
              </w:rPr>
              <w:t xml:space="preserve">                    - </w:t>
            </w:r>
          </w:p>
        </w:tc>
        <w:tc>
          <w:tcPr>
            <w:tcW w:w="1130" w:type="dxa"/>
            <w:tcBorders>
              <w:top w:val="nil"/>
              <w:left w:val="nil"/>
              <w:bottom w:val="single" w:sz="4" w:space="0" w:color="auto"/>
              <w:right w:val="nil"/>
            </w:tcBorders>
            <w:shd w:val="clear" w:color="auto" w:fill="auto"/>
            <w:vAlign w:val="bottom"/>
            <w:hideMark/>
          </w:tcPr>
          <w:p w14:paraId="450B1286" w14:textId="77777777" w:rsidR="00B9311E" w:rsidRPr="00BD77D8" w:rsidRDefault="00B9311E" w:rsidP="00B9311E">
            <w:pPr>
              <w:spacing w:after="0" w:line="240" w:lineRule="auto"/>
              <w:jc w:val="right"/>
              <w:rPr>
                <w:b/>
                <w:bCs/>
                <w:sz w:val="16"/>
                <w:szCs w:val="16"/>
              </w:rPr>
            </w:pPr>
            <w:r w:rsidRPr="00BD77D8">
              <w:rPr>
                <w:b/>
                <w:bCs/>
                <w:sz w:val="16"/>
                <w:szCs w:val="16"/>
              </w:rPr>
              <w:t xml:space="preserve">                242 </w:t>
            </w:r>
          </w:p>
        </w:tc>
        <w:tc>
          <w:tcPr>
            <w:tcW w:w="1263" w:type="dxa"/>
            <w:tcBorders>
              <w:top w:val="nil"/>
              <w:left w:val="nil"/>
              <w:bottom w:val="single" w:sz="4" w:space="0" w:color="auto"/>
              <w:right w:val="nil"/>
            </w:tcBorders>
            <w:shd w:val="clear" w:color="auto" w:fill="auto"/>
            <w:vAlign w:val="bottom"/>
            <w:hideMark/>
          </w:tcPr>
          <w:p w14:paraId="54D287CE" w14:textId="77777777" w:rsidR="00B9311E" w:rsidRPr="00BD77D8" w:rsidRDefault="00B9311E" w:rsidP="00B9311E">
            <w:pPr>
              <w:spacing w:after="0" w:line="240" w:lineRule="auto"/>
              <w:jc w:val="right"/>
              <w:rPr>
                <w:b/>
                <w:bCs/>
                <w:sz w:val="16"/>
                <w:szCs w:val="16"/>
              </w:rPr>
            </w:pPr>
            <w:r w:rsidRPr="00BD77D8">
              <w:rPr>
                <w:b/>
                <w:bCs/>
                <w:sz w:val="16"/>
                <w:szCs w:val="16"/>
              </w:rPr>
              <w:t xml:space="preserve">                   82 </w:t>
            </w:r>
          </w:p>
        </w:tc>
        <w:tc>
          <w:tcPr>
            <w:tcW w:w="1134" w:type="dxa"/>
            <w:tcBorders>
              <w:top w:val="nil"/>
              <w:left w:val="nil"/>
              <w:bottom w:val="single" w:sz="4" w:space="0" w:color="auto"/>
              <w:right w:val="nil"/>
            </w:tcBorders>
            <w:shd w:val="clear" w:color="auto" w:fill="auto"/>
            <w:vAlign w:val="bottom"/>
            <w:hideMark/>
          </w:tcPr>
          <w:p w14:paraId="2BB0BD9B" w14:textId="77777777" w:rsidR="00B9311E" w:rsidRPr="00BD77D8" w:rsidRDefault="00B9311E" w:rsidP="00B9311E">
            <w:pPr>
              <w:spacing w:after="0" w:line="240" w:lineRule="auto"/>
              <w:jc w:val="right"/>
              <w:rPr>
                <w:b/>
                <w:bCs/>
                <w:sz w:val="16"/>
                <w:szCs w:val="16"/>
              </w:rPr>
            </w:pPr>
            <w:r w:rsidRPr="00BD77D8">
              <w:rPr>
                <w:b/>
                <w:bCs/>
                <w:sz w:val="16"/>
                <w:szCs w:val="16"/>
              </w:rPr>
              <w:t xml:space="preserve">             2,227 </w:t>
            </w:r>
          </w:p>
        </w:tc>
        <w:tc>
          <w:tcPr>
            <w:tcW w:w="1135" w:type="dxa"/>
            <w:tcBorders>
              <w:top w:val="nil"/>
              <w:left w:val="nil"/>
              <w:bottom w:val="single" w:sz="4" w:space="0" w:color="auto"/>
              <w:right w:val="nil"/>
            </w:tcBorders>
            <w:shd w:val="clear" w:color="auto" w:fill="auto"/>
            <w:vAlign w:val="bottom"/>
            <w:hideMark/>
          </w:tcPr>
          <w:p w14:paraId="3666BFFF" w14:textId="77777777" w:rsidR="00B9311E" w:rsidRPr="00BD77D8" w:rsidRDefault="00B9311E" w:rsidP="00B9311E">
            <w:pPr>
              <w:spacing w:after="0" w:line="240" w:lineRule="auto"/>
              <w:jc w:val="right"/>
              <w:rPr>
                <w:b/>
                <w:bCs/>
                <w:sz w:val="16"/>
                <w:szCs w:val="16"/>
              </w:rPr>
            </w:pPr>
            <w:r w:rsidRPr="00BD77D8">
              <w:rPr>
                <w:b/>
                <w:bCs/>
                <w:sz w:val="16"/>
                <w:szCs w:val="16"/>
              </w:rPr>
              <w:t xml:space="preserve">                   77 </w:t>
            </w:r>
          </w:p>
        </w:tc>
        <w:tc>
          <w:tcPr>
            <w:tcW w:w="1015" w:type="dxa"/>
            <w:tcBorders>
              <w:top w:val="nil"/>
              <w:left w:val="nil"/>
              <w:bottom w:val="single" w:sz="4" w:space="0" w:color="auto"/>
              <w:right w:val="nil"/>
            </w:tcBorders>
            <w:shd w:val="clear" w:color="auto" w:fill="auto"/>
            <w:vAlign w:val="bottom"/>
            <w:hideMark/>
          </w:tcPr>
          <w:p w14:paraId="1EE06791" w14:textId="77777777" w:rsidR="00B9311E" w:rsidRPr="00BD77D8" w:rsidRDefault="00B9311E" w:rsidP="00B9311E">
            <w:pPr>
              <w:spacing w:after="0" w:line="240" w:lineRule="auto"/>
              <w:jc w:val="right"/>
              <w:rPr>
                <w:b/>
                <w:bCs/>
                <w:sz w:val="16"/>
                <w:szCs w:val="16"/>
              </w:rPr>
            </w:pPr>
            <w:r w:rsidRPr="00BD77D8">
              <w:rPr>
                <w:b/>
                <w:bCs/>
                <w:sz w:val="16"/>
                <w:szCs w:val="16"/>
              </w:rPr>
              <w:t xml:space="preserve">        31,191 </w:t>
            </w:r>
          </w:p>
        </w:tc>
        <w:tc>
          <w:tcPr>
            <w:tcW w:w="1070" w:type="dxa"/>
            <w:tcBorders>
              <w:top w:val="nil"/>
              <w:left w:val="nil"/>
              <w:bottom w:val="single" w:sz="4" w:space="0" w:color="auto"/>
              <w:right w:val="nil"/>
            </w:tcBorders>
            <w:shd w:val="clear" w:color="auto" w:fill="auto"/>
            <w:vAlign w:val="bottom"/>
            <w:hideMark/>
          </w:tcPr>
          <w:p w14:paraId="21F1D58F" w14:textId="77777777" w:rsidR="00B9311E" w:rsidRPr="00BD77D8" w:rsidRDefault="00B9311E" w:rsidP="00B9311E">
            <w:pPr>
              <w:spacing w:after="0" w:line="240" w:lineRule="auto"/>
              <w:jc w:val="right"/>
              <w:rPr>
                <w:b/>
                <w:bCs/>
                <w:sz w:val="16"/>
                <w:szCs w:val="16"/>
              </w:rPr>
            </w:pPr>
            <w:r w:rsidRPr="00BD77D8">
              <w:rPr>
                <w:b/>
                <w:bCs/>
                <w:sz w:val="16"/>
                <w:szCs w:val="16"/>
              </w:rPr>
              <w:t xml:space="preserve">          2,783 </w:t>
            </w:r>
          </w:p>
        </w:tc>
      </w:tr>
    </w:tbl>
    <w:p w14:paraId="2262E7A2" w14:textId="77777777" w:rsidR="00B9311E" w:rsidRPr="00BD77D8" w:rsidRDefault="00B9311E" w:rsidP="00587E62">
      <w:pPr>
        <w:spacing w:before="240" w:after="0" w:line="205" w:lineRule="exact"/>
        <w:textAlignment w:val="baseline"/>
        <w:rPr>
          <w:rFonts w:eastAsia="Arial"/>
          <w:b/>
          <w:bCs/>
          <w:sz w:val="16"/>
          <w:szCs w:val="16"/>
          <w:lang w:eastAsia="en-US"/>
        </w:rPr>
      </w:pPr>
      <w:r w:rsidRPr="00BD77D8">
        <w:rPr>
          <w:rFonts w:eastAsia="Arial"/>
          <w:sz w:val="16"/>
          <w:szCs w:val="16"/>
          <w:lang w:eastAsia="en-US"/>
        </w:rPr>
        <w:t>* Economic and Community Participation Services comparative amounts are from 13 November 2020 to 30 June 2021 due to the 2020 Machinery-of-Government changes.</w:t>
      </w:r>
    </w:p>
    <w:p w14:paraId="2664DD85" w14:textId="77777777" w:rsidR="00B9311E" w:rsidRPr="00BD77D8" w:rsidRDefault="00B9311E" w:rsidP="00B9311E">
      <w:pPr>
        <w:tabs>
          <w:tab w:val="left" w:pos="288"/>
        </w:tabs>
        <w:spacing w:after="0" w:line="209" w:lineRule="exact"/>
        <w:textAlignment w:val="baseline"/>
        <w:rPr>
          <w:rFonts w:eastAsia="Arial"/>
          <w:sz w:val="16"/>
          <w:szCs w:val="16"/>
          <w:lang w:eastAsia="en-US"/>
        </w:rPr>
      </w:pPr>
      <w:r w:rsidRPr="00BD77D8">
        <w:rPr>
          <w:rFonts w:eastAsia="Arial"/>
          <w:sz w:val="16"/>
          <w:szCs w:val="16"/>
          <w:lang w:eastAsia="en-US"/>
        </w:rPr>
        <w:t xml:space="preserve">^ Comparative amounts for Community Services are from 1 July 2020 to 30 November 2020. Community Services were transferred to Department of Communities, Housing and Digital Economy due to the 2020 Machinery-of-Government changes. </w:t>
      </w:r>
    </w:p>
    <w:p w14:paraId="475CE6D3" w14:textId="70D981EC" w:rsidR="00702AE3" w:rsidRPr="00BD77D8" w:rsidRDefault="00702AE3" w:rsidP="00B9311E">
      <w:pPr>
        <w:tabs>
          <w:tab w:val="left" w:pos="288"/>
        </w:tabs>
        <w:spacing w:after="0" w:line="209" w:lineRule="exact"/>
        <w:textAlignment w:val="baseline"/>
        <w:rPr>
          <w:rFonts w:eastAsia="PMingLiU"/>
          <w:sz w:val="16"/>
          <w:szCs w:val="16"/>
          <w:lang w:eastAsia="en-US"/>
        </w:rPr>
        <w:sectPr w:rsidR="00702AE3" w:rsidRPr="00BD77D8" w:rsidSect="009D3530">
          <w:pgSz w:w="16838" w:h="11909" w:orient="landscape"/>
          <w:pgMar w:top="680" w:right="794" w:bottom="794" w:left="680" w:header="720" w:footer="720" w:gutter="0"/>
          <w:cols w:space="720"/>
          <w:docGrid w:linePitch="245"/>
        </w:sectPr>
      </w:pP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t>Page 5 of 45</w:t>
      </w:r>
    </w:p>
    <w:p w14:paraId="5210169A"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4E3FE5A4" w14:textId="77777777" w:rsidR="00B9311E" w:rsidRPr="00BD77D8" w:rsidRDefault="00B9311E" w:rsidP="00F70507">
      <w:pPr>
        <w:spacing w:after="0" w:line="199" w:lineRule="exact"/>
        <w:textAlignment w:val="baseline"/>
        <w:rPr>
          <w:rFonts w:eastAsia="Arial"/>
          <w:b/>
          <w:bCs/>
          <w:sz w:val="18"/>
          <w:szCs w:val="18"/>
          <w:lang w:eastAsia="en-US"/>
        </w:rPr>
      </w:pPr>
      <w:bookmarkStart w:id="18" w:name="_Toc111494794"/>
      <w:bookmarkStart w:id="19" w:name="_Toc111540666"/>
      <w:bookmarkStart w:id="20" w:name="_Toc111559229"/>
      <w:bookmarkStart w:id="21" w:name="_Toc113196501"/>
      <w:bookmarkStart w:id="22" w:name="_Toc113196849"/>
      <w:bookmarkStart w:id="23" w:name="_Toc113261979"/>
      <w:r w:rsidRPr="00BD77D8">
        <w:rPr>
          <w:rFonts w:eastAsia="Arial"/>
          <w:b/>
          <w:bCs/>
          <w:sz w:val="18"/>
          <w:szCs w:val="18"/>
          <w:lang w:eastAsia="en-US"/>
        </w:rPr>
        <w:t>Statement of Financial Position - Controlled</w:t>
      </w:r>
      <w:bookmarkEnd w:id="18"/>
      <w:bookmarkEnd w:id="19"/>
      <w:bookmarkEnd w:id="20"/>
      <w:bookmarkEnd w:id="21"/>
      <w:bookmarkEnd w:id="22"/>
      <w:bookmarkEnd w:id="23"/>
    </w:p>
    <w:p w14:paraId="04599A4D" w14:textId="77777777" w:rsidR="00B9311E" w:rsidRPr="00BD77D8" w:rsidRDefault="00B9311E" w:rsidP="00B9311E">
      <w:pPr>
        <w:pBdr>
          <w:bottom w:val="single" w:sz="4" w:space="1" w:color="auto"/>
        </w:pBdr>
        <w:spacing w:after="0" w:line="205"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7C8127A7" w14:textId="77777777" w:rsidR="00B9311E" w:rsidRPr="00BD77D8" w:rsidRDefault="00B9311E" w:rsidP="00B9311E">
      <w:pPr>
        <w:pBdr>
          <w:bottom w:val="single" w:sz="4" w:space="1" w:color="auto"/>
        </w:pBdr>
        <w:spacing w:after="0" w:line="205" w:lineRule="exact"/>
        <w:textAlignment w:val="baseline"/>
        <w:rPr>
          <w:rFonts w:eastAsia="Arial"/>
          <w:bCs/>
          <w:sz w:val="18"/>
          <w:szCs w:val="18"/>
          <w:lang w:eastAsia="en-US"/>
        </w:rPr>
      </w:pPr>
    </w:p>
    <w:p w14:paraId="01DB2DE7" w14:textId="77777777" w:rsidR="00B9311E" w:rsidRPr="00BD77D8" w:rsidRDefault="00B9311E" w:rsidP="00B9311E">
      <w:pPr>
        <w:tabs>
          <w:tab w:val="left" w:pos="360"/>
        </w:tabs>
        <w:spacing w:after="0" w:line="195" w:lineRule="exact"/>
        <w:textAlignment w:val="baseline"/>
        <w:rPr>
          <w:rFonts w:eastAsia="PMingLiU"/>
          <w:sz w:val="18"/>
          <w:szCs w:val="22"/>
          <w:lang w:val="en-US" w:eastAsia="en-US"/>
        </w:rPr>
      </w:pPr>
      <w:bookmarkStart w:id="24" w:name="RANGE!A4:D28"/>
      <w:bookmarkStart w:id="25" w:name="RANGE!A4:F28"/>
      <w:bookmarkStart w:id="26" w:name="RANGE!A1:F28"/>
      <w:bookmarkEnd w:id="24"/>
      <w:bookmarkEnd w:id="25"/>
    </w:p>
    <w:tbl>
      <w:tblPr>
        <w:tblW w:w="10425" w:type="dxa"/>
        <w:tblCellMar>
          <w:left w:w="0" w:type="dxa"/>
          <w:right w:w="0" w:type="dxa"/>
        </w:tblCellMar>
        <w:tblLook w:val="04A0" w:firstRow="1" w:lastRow="0" w:firstColumn="1" w:lastColumn="0" w:noHBand="0" w:noVBand="1"/>
      </w:tblPr>
      <w:tblGrid>
        <w:gridCol w:w="4461"/>
        <w:gridCol w:w="1117"/>
        <w:gridCol w:w="1381"/>
        <w:gridCol w:w="1297"/>
        <w:gridCol w:w="1178"/>
        <w:gridCol w:w="1035"/>
      </w:tblGrid>
      <w:tr w:rsidR="00BD77D8" w:rsidRPr="00BD77D8" w14:paraId="2A9C0F5E" w14:textId="77777777" w:rsidTr="003057FB">
        <w:trPr>
          <w:trHeight w:val="736"/>
        </w:trPr>
        <w:tc>
          <w:tcPr>
            <w:tcW w:w="4467" w:type="dxa"/>
            <w:tcBorders>
              <w:top w:val="nil"/>
              <w:left w:val="nil"/>
              <w:bottom w:val="nil"/>
              <w:right w:val="nil"/>
            </w:tcBorders>
            <w:shd w:val="clear" w:color="auto" w:fill="auto"/>
            <w:noWrap/>
            <w:vAlign w:val="bottom"/>
            <w:hideMark/>
          </w:tcPr>
          <w:p w14:paraId="507CB0B0" w14:textId="77777777" w:rsidR="00B9311E" w:rsidRPr="00BD77D8" w:rsidRDefault="00B9311E" w:rsidP="00B9311E">
            <w:pPr>
              <w:spacing w:after="0" w:line="240" w:lineRule="auto"/>
              <w:rPr>
                <w:rFonts w:ascii="Times New Roman" w:hAnsi="Times New Roman" w:cs="Times New Roman"/>
                <w:sz w:val="24"/>
                <w:szCs w:val="24"/>
              </w:rPr>
            </w:pPr>
          </w:p>
        </w:tc>
        <w:tc>
          <w:tcPr>
            <w:tcW w:w="1107" w:type="dxa"/>
            <w:tcBorders>
              <w:top w:val="nil"/>
              <w:left w:val="nil"/>
              <w:bottom w:val="nil"/>
              <w:right w:val="nil"/>
            </w:tcBorders>
            <w:shd w:val="clear" w:color="auto" w:fill="auto"/>
            <w:noWrap/>
            <w:vAlign w:val="bottom"/>
            <w:hideMark/>
          </w:tcPr>
          <w:p w14:paraId="5A932B80" w14:textId="77777777" w:rsidR="00B9311E" w:rsidRPr="00BD77D8" w:rsidRDefault="00B9311E" w:rsidP="00B9311E">
            <w:pPr>
              <w:spacing w:after="0" w:line="240" w:lineRule="auto"/>
              <w:jc w:val="center"/>
              <w:rPr>
                <w:b/>
                <w:bCs/>
                <w:sz w:val="18"/>
                <w:szCs w:val="18"/>
              </w:rPr>
            </w:pPr>
            <w:r w:rsidRPr="00BD77D8">
              <w:rPr>
                <w:b/>
                <w:bCs/>
                <w:sz w:val="18"/>
                <w:szCs w:val="18"/>
              </w:rPr>
              <w:t xml:space="preserve"> Notes </w:t>
            </w:r>
          </w:p>
        </w:tc>
        <w:tc>
          <w:tcPr>
            <w:tcW w:w="1372" w:type="dxa"/>
            <w:tcBorders>
              <w:top w:val="nil"/>
              <w:left w:val="nil"/>
              <w:bottom w:val="nil"/>
              <w:right w:val="nil"/>
            </w:tcBorders>
            <w:shd w:val="clear" w:color="auto" w:fill="auto"/>
            <w:vAlign w:val="bottom"/>
            <w:hideMark/>
          </w:tcPr>
          <w:p w14:paraId="5AF8BCFE" w14:textId="77777777" w:rsidR="00B9311E" w:rsidRPr="00BD77D8" w:rsidRDefault="00B9311E" w:rsidP="00B9311E">
            <w:pPr>
              <w:spacing w:after="0" w:line="240" w:lineRule="auto"/>
              <w:jc w:val="right"/>
              <w:rPr>
                <w:b/>
                <w:bCs/>
                <w:sz w:val="18"/>
                <w:szCs w:val="18"/>
              </w:rPr>
            </w:pPr>
            <w:r w:rsidRPr="00BD77D8">
              <w:rPr>
                <w:b/>
                <w:bCs/>
                <w:sz w:val="18"/>
                <w:szCs w:val="18"/>
              </w:rPr>
              <w:t>Actual</w:t>
            </w:r>
            <w:r w:rsidRPr="00BD77D8">
              <w:rPr>
                <w:b/>
                <w:bCs/>
                <w:sz w:val="18"/>
                <w:szCs w:val="18"/>
              </w:rPr>
              <w:br/>
              <w:t xml:space="preserve">2022 </w:t>
            </w:r>
          </w:p>
        </w:tc>
        <w:tc>
          <w:tcPr>
            <w:tcW w:w="1287" w:type="dxa"/>
            <w:tcBorders>
              <w:top w:val="nil"/>
              <w:left w:val="nil"/>
              <w:bottom w:val="nil"/>
              <w:right w:val="nil"/>
            </w:tcBorders>
            <w:shd w:val="clear" w:color="auto" w:fill="auto"/>
            <w:vAlign w:val="bottom"/>
            <w:hideMark/>
          </w:tcPr>
          <w:p w14:paraId="137740E8" w14:textId="77777777" w:rsidR="00B9311E" w:rsidRPr="00BD77D8" w:rsidRDefault="00B9311E" w:rsidP="00B9311E">
            <w:pPr>
              <w:spacing w:after="0" w:line="240" w:lineRule="auto"/>
              <w:jc w:val="right"/>
              <w:rPr>
                <w:b/>
                <w:bCs/>
                <w:sz w:val="18"/>
                <w:szCs w:val="18"/>
              </w:rPr>
            </w:pPr>
            <w:r w:rsidRPr="00BD77D8">
              <w:rPr>
                <w:b/>
                <w:bCs/>
                <w:sz w:val="18"/>
                <w:szCs w:val="18"/>
              </w:rPr>
              <w:t xml:space="preserve"> Original Budget^</w:t>
            </w:r>
            <w:r w:rsidRPr="00BD77D8">
              <w:rPr>
                <w:b/>
                <w:bCs/>
                <w:sz w:val="18"/>
                <w:szCs w:val="18"/>
              </w:rPr>
              <w:br/>
              <w:t xml:space="preserve">2022  </w:t>
            </w:r>
          </w:p>
        </w:tc>
        <w:tc>
          <w:tcPr>
            <w:tcW w:w="1168" w:type="dxa"/>
            <w:tcBorders>
              <w:top w:val="nil"/>
              <w:left w:val="nil"/>
              <w:bottom w:val="nil"/>
              <w:right w:val="nil"/>
            </w:tcBorders>
            <w:shd w:val="clear" w:color="auto" w:fill="auto"/>
            <w:vAlign w:val="bottom"/>
            <w:hideMark/>
          </w:tcPr>
          <w:p w14:paraId="6101B595" w14:textId="77777777" w:rsidR="00B9311E" w:rsidRPr="00BD77D8" w:rsidRDefault="00B9311E" w:rsidP="00B9311E">
            <w:pPr>
              <w:spacing w:after="0" w:line="240" w:lineRule="auto"/>
              <w:jc w:val="right"/>
              <w:rPr>
                <w:b/>
                <w:bCs/>
                <w:sz w:val="18"/>
                <w:szCs w:val="18"/>
              </w:rPr>
            </w:pPr>
            <w:r w:rsidRPr="00BD77D8">
              <w:rPr>
                <w:b/>
                <w:bCs/>
                <w:sz w:val="18"/>
                <w:szCs w:val="18"/>
              </w:rPr>
              <w:t xml:space="preserve"> Budget Variance*</w:t>
            </w:r>
            <w:r w:rsidRPr="00BD77D8">
              <w:rPr>
                <w:b/>
                <w:bCs/>
                <w:sz w:val="18"/>
                <w:szCs w:val="18"/>
              </w:rPr>
              <w:br/>
              <w:t xml:space="preserve">2022  </w:t>
            </w:r>
          </w:p>
        </w:tc>
        <w:tc>
          <w:tcPr>
            <w:tcW w:w="1024" w:type="dxa"/>
            <w:tcBorders>
              <w:top w:val="nil"/>
              <w:left w:val="nil"/>
              <w:bottom w:val="nil"/>
              <w:right w:val="nil"/>
            </w:tcBorders>
            <w:shd w:val="clear" w:color="auto" w:fill="auto"/>
            <w:vAlign w:val="bottom"/>
            <w:hideMark/>
          </w:tcPr>
          <w:p w14:paraId="19A002E7" w14:textId="77777777" w:rsidR="00B9311E" w:rsidRPr="00BD77D8" w:rsidRDefault="00B9311E" w:rsidP="00B9311E">
            <w:pPr>
              <w:spacing w:after="0" w:line="240" w:lineRule="auto"/>
              <w:jc w:val="right"/>
              <w:rPr>
                <w:b/>
                <w:bCs/>
                <w:sz w:val="18"/>
                <w:szCs w:val="18"/>
              </w:rPr>
            </w:pPr>
            <w:r w:rsidRPr="00BD77D8">
              <w:rPr>
                <w:b/>
                <w:bCs/>
                <w:sz w:val="18"/>
                <w:szCs w:val="18"/>
              </w:rPr>
              <w:t xml:space="preserve"> Actual</w:t>
            </w:r>
            <w:r w:rsidRPr="00BD77D8">
              <w:rPr>
                <w:b/>
                <w:bCs/>
                <w:sz w:val="18"/>
                <w:szCs w:val="18"/>
              </w:rPr>
              <w:br/>
              <w:t xml:space="preserve">2021 </w:t>
            </w:r>
          </w:p>
        </w:tc>
      </w:tr>
      <w:tr w:rsidR="00BD77D8" w:rsidRPr="00BD77D8" w14:paraId="6A00149D" w14:textId="77777777" w:rsidTr="003057FB">
        <w:trPr>
          <w:trHeight w:val="291"/>
        </w:trPr>
        <w:tc>
          <w:tcPr>
            <w:tcW w:w="4467" w:type="dxa"/>
            <w:tcBorders>
              <w:top w:val="nil"/>
              <w:left w:val="nil"/>
              <w:bottom w:val="single" w:sz="4" w:space="0" w:color="auto"/>
              <w:right w:val="nil"/>
            </w:tcBorders>
            <w:shd w:val="clear" w:color="auto" w:fill="auto"/>
            <w:noWrap/>
            <w:vAlign w:val="bottom"/>
            <w:hideMark/>
          </w:tcPr>
          <w:p w14:paraId="40064C82" w14:textId="77777777" w:rsidR="00B9311E" w:rsidRPr="00BD77D8" w:rsidRDefault="00B9311E" w:rsidP="00B9311E">
            <w:pPr>
              <w:spacing w:after="0" w:line="240" w:lineRule="auto"/>
              <w:rPr>
                <w:sz w:val="18"/>
                <w:szCs w:val="18"/>
              </w:rPr>
            </w:pPr>
            <w:r w:rsidRPr="00BD77D8">
              <w:rPr>
                <w:sz w:val="18"/>
                <w:szCs w:val="18"/>
              </w:rPr>
              <w:t> </w:t>
            </w:r>
          </w:p>
        </w:tc>
        <w:tc>
          <w:tcPr>
            <w:tcW w:w="1107" w:type="dxa"/>
            <w:tcBorders>
              <w:top w:val="nil"/>
              <w:left w:val="nil"/>
              <w:bottom w:val="single" w:sz="4" w:space="0" w:color="auto"/>
              <w:right w:val="nil"/>
            </w:tcBorders>
            <w:shd w:val="clear" w:color="auto" w:fill="auto"/>
            <w:noWrap/>
            <w:vAlign w:val="bottom"/>
            <w:hideMark/>
          </w:tcPr>
          <w:p w14:paraId="4CB1FC61" w14:textId="77777777" w:rsidR="00B9311E" w:rsidRPr="00BD77D8" w:rsidRDefault="00B9311E" w:rsidP="00B9311E">
            <w:pPr>
              <w:spacing w:after="0" w:line="240" w:lineRule="auto"/>
              <w:jc w:val="center"/>
              <w:rPr>
                <w:b/>
                <w:bCs/>
                <w:sz w:val="18"/>
                <w:szCs w:val="18"/>
              </w:rPr>
            </w:pPr>
            <w:r w:rsidRPr="00BD77D8">
              <w:rPr>
                <w:b/>
                <w:bCs/>
                <w:sz w:val="18"/>
                <w:szCs w:val="18"/>
              </w:rPr>
              <w:t> </w:t>
            </w:r>
          </w:p>
        </w:tc>
        <w:tc>
          <w:tcPr>
            <w:tcW w:w="1372" w:type="dxa"/>
            <w:tcBorders>
              <w:top w:val="nil"/>
              <w:left w:val="nil"/>
              <w:bottom w:val="single" w:sz="4" w:space="0" w:color="auto"/>
              <w:right w:val="nil"/>
            </w:tcBorders>
            <w:shd w:val="clear" w:color="auto" w:fill="auto"/>
            <w:vAlign w:val="bottom"/>
            <w:hideMark/>
          </w:tcPr>
          <w:p w14:paraId="632BF751"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287" w:type="dxa"/>
            <w:tcBorders>
              <w:top w:val="nil"/>
              <w:left w:val="nil"/>
              <w:bottom w:val="single" w:sz="4" w:space="0" w:color="auto"/>
              <w:right w:val="nil"/>
            </w:tcBorders>
            <w:shd w:val="clear" w:color="auto" w:fill="auto"/>
            <w:vAlign w:val="bottom"/>
            <w:hideMark/>
          </w:tcPr>
          <w:p w14:paraId="28BBD5B7"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168" w:type="dxa"/>
            <w:tcBorders>
              <w:top w:val="nil"/>
              <w:left w:val="nil"/>
              <w:bottom w:val="single" w:sz="4" w:space="0" w:color="auto"/>
              <w:right w:val="nil"/>
            </w:tcBorders>
            <w:shd w:val="clear" w:color="auto" w:fill="auto"/>
            <w:vAlign w:val="bottom"/>
            <w:hideMark/>
          </w:tcPr>
          <w:p w14:paraId="4902878D"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024" w:type="dxa"/>
            <w:tcBorders>
              <w:top w:val="nil"/>
              <w:left w:val="nil"/>
              <w:bottom w:val="single" w:sz="4" w:space="0" w:color="auto"/>
              <w:right w:val="nil"/>
            </w:tcBorders>
            <w:shd w:val="clear" w:color="auto" w:fill="auto"/>
            <w:vAlign w:val="bottom"/>
            <w:hideMark/>
          </w:tcPr>
          <w:p w14:paraId="0116FD4D"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38DC0AD4" w14:textId="77777777" w:rsidTr="003057FB">
        <w:trPr>
          <w:trHeight w:val="291"/>
        </w:trPr>
        <w:tc>
          <w:tcPr>
            <w:tcW w:w="4467" w:type="dxa"/>
            <w:tcBorders>
              <w:top w:val="nil"/>
              <w:left w:val="nil"/>
              <w:bottom w:val="nil"/>
              <w:right w:val="nil"/>
            </w:tcBorders>
            <w:shd w:val="clear" w:color="auto" w:fill="auto"/>
            <w:noWrap/>
            <w:vAlign w:val="bottom"/>
            <w:hideMark/>
          </w:tcPr>
          <w:p w14:paraId="2023BA3B" w14:textId="77777777" w:rsidR="00B9311E" w:rsidRPr="00BD77D8" w:rsidRDefault="00B9311E" w:rsidP="00B9311E">
            <w:pPr>
              <w:spacing w:after="0" w:line="240" w:lineRule="auto"/>
              <w:rPr>
                <w:b/>
                <w:bCs/>
                <w:sz w:val="18"/>
                <w:szCs w:val="18"/>
              </w:rPr>
            </w:pPr>
            <w:r w:rsidRPr="00BD77D8">
              <w:rPr>
                <w:b/>
                <w:bCs/>
                <w:sz w:val="18"/>
                <w:szCs w:val="18"/>
              </w:rPr>
              <w:t xml:space="preserve"> Current Assets </w:t>
            </w:r>
          </w:p>
        </w:tc>
        <w:tc>
          <w:tcPr>
            <w:tcW w:w="1107" w:type="dxa"/>
            <w:tcBorders>
              <w:top w:val="nil"/>
              <w:left w:val="nil"/>
              <w:bottom w:val="nil"/>
              <w:right w:val="nil"/>
            </w:tcBorders>
            <w:shd w:val="clear" w:color="auto" w:fill="auto"/>
            <w:noWrap/>
            <w:vAlign w:val="bottom"/>
            <w:hideMark/>
          </w:tcPr>
          <w:p w14:paraId="15AC3DA8" w14:textId="77777777" w:rsidR="00B9311E" w:rsidRPr="00BD77D8" w:rsidRDefault="00B9311E" w:rsidP="00B9311E">
            <w:pPr>
              <w:spacing w:after="0" w:line="240" w:lineRule="auto"/>
              <w:rPr>
                <w:sz w:val="18"/>
                <w:szCs w:val="18"/>
              </w:rPr>
            </w:pPr>
          </w:p>
        </w:tc>
        <w:tc>
          <w:tcPr>
            <w:tcW w:w="1372" w:type="dxa"/>
            <w:tcBorders>
              <w:top w:val="nil"/>
              <w:left w:val="nil"/>
              <w:bottom w:val="nil"/>
              <w:right w:val="nil"/>
            </w:tcBorders>
            <w:shd w:val="clear" w:color="auto" w:fill="auto"/>
            <w:noWrap/>
            <w:vAlign w:val="bottom"/>
            <w:hideMark/>
          </w:tcPr>
          <w:p w14:paraId="0BC60FCE"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287" w:type="dxa"/>
            <w:tcBorders>
              <w:top w:val="nil"/>
              <w:left w:val="nil"/>
              <w:bottom w:val="nil"/>
              <w:right w:val="nil"/>
            </w:tcBorders>
            <w:shd w:val="clear" w:color="auto" w:fill="auto"/>
            <w:noWrap/>
            <w:vAlign w:val="bottom"/>
            <w:hideMark/>
          </w:tcPr>
          <w:p w14:paraId="48590709"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1A6FBCC3" w14:textId="77777777" w:rsidR="00B9311E" w:rsidRPr="00BD77D8" w:rsidRDefault="00B9311E" w:rsidP="00B9311E">
            <w:pPr>
              <w:spacing w:after="0" w:line="240" w:lineRule="auto"/>
              <w:rPr>
                <w:rFonts w:ascii="Times New Roman" w:hAnsi="Times New Roman" w:cs="Times New Roman"/>
                <w:sz w:val="20"/>
                <w:szCs w:val="20"/>
              </w:rPr>
            </w:pPr>
          </w:p>
        </w:tc>
        <w:tc>
          <w:tcPr>
            <w:tcW w:w="1024" w:type="dxa"/>
            <w:tcBorders>
              <w:top w:val="nil"/>
              <w:left w:val="nil"/>
              <w:bottom w:val="nil"/>
              <w:right w:val="nil"/>
            </w:tcBorders>
            <w:shd w:val="clear" w:color="auto" w:fill="auto"/>
            <w:noWrap/>
            <w:vAlign w:val="bottom"/>
            <w:hideMark/>
          </w:tcPr>
          <w:p w14:paraId="4BA94C2C" w14:textId="77777777" w:rsidR="00B9311E" w:rsidRPr="00BD77D8" w:rsidRDefault="00B9311E" w:rsidP="00B9311E">
            <w:pPr>
              <w:spacing w:after="0" w:line="240" w:lineRule="auto"/>
              <w:rPr>
                <w:rFonts w:ascii="Times New Roman" w:hAnsi="Times New Roman" w:cs="Times New Roman"/>
                <w:sz w:val="20"/>
                <w:szCs w:val="20"/>
              </w:rPr>
            </w:pPr>
          </w:p>
        </w:tc>
      </w:tr>
      <w:tr w:rsidR="00BD77D8" w:rsidRPr="00BD77D8" w14:paraId="6CF21F07" w14:textId="77777777" w:rsidTr="003057FB">
        <w:trPr>
          <w:trHeight w:val="291"/>
        </w:trPr>
        <w:tc>
          <w:tcPr>
            <w:tcW w:w="4467" w:type="dxa"/>
            <w:tcBorders>
              <w:top w:val="nil"/>
              <w:left w:val="nil"/>
              <w:bottom w:val="nil"/>
              <w:right w:val="nil"/>
            </w:tcBorders>
            <w:shd w:val="clear" w:color="auto" w:fill="auto"/>
            <w:noWrap/>
            <w:vAlign w:val="bottom"/>
            <w:hideMark/>
          </w:tcPr>
          <w:p w14:paraId="6C982E7F"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Cash and cash equivalents </w:t>
            </w:r>
          </w:p>
        </w:tc>
        <w:bookmarkStart w:id="27" w:name="RANGE!B7"/>
        <w:tc>
          <w:tcPr>
            <w:tcW w:w="1107" w:type="dxa"/>
            <w:tcBorders>
              <w:top w:val="nil"/>
              <w:left w:val="nil"/>
              <w:bottom w:val="nil"/>
              <w:right w:val="nil"/>
            </w:tcBorders>
            <w:shd w:val="clear" w:color="auto" w:fill="auto"/>
            <w:noWrap/>
            <w:vAlign w:val="bottom"/>
            <w:hideMark/>
          </w:tcPr>
          <w:p w14:paraId="253CA2EB" w14:textId="77777777" w:rsidR="00B9311E" w:rsidRPr="00BD77D8" w:rsidRDefault="00B9311E" w:rsidP="00B9311E">
            <w:pPr>
              <w:spacing w:after="0" w:line="240" w:lineRule="auto"/>
              <w:jc w:val="center"/>
              <w:rPr>
                <w:rFonts w:eastAsia="PMingLiU"/>
                <w:b/>
                <w:bCs/>
                <w:sz w:val="18"/>
                <w:szCs w:val="22"/>
                <w:lang w:eastAsia="en-US"/>
              </w:rPr>
            </w:pPr>
            <w:r w:rsidRPr="00BD77D8">
              <w:rPr>
                <w:rFonts w:eastAsia="PMingLiU"/>
                <w:b/>
                <w:bCs/>
                <w:sz w:val="18"/>
                <w:szCs w:val="22"/>
                <w:lang w:eastAsia="en-US"/>
              </w:rPr>
              <w:fldChar w:fldCharType="begin"/>
            </w:r>
            <w:r w:rsidRPr="00BD77D8">
              <w:rPr>
                <w:rFonts w:eastAsia="PMingLiU"/>
                <w:b/>
                <w:bCs/>
                <w:sz w:val="18"/>
                <w:szCs w:val="22"/>
                <w:lang w:eastAsia="en-US"/>
              </w:rPr>
              <w:instrText xml:space="preserve"> HYPERLINK "file:///C:\\Users\\lzwelsh\\AppData\\Local\\Microsoft\\Windows\\INetCache\\Content.MSO\\EE9A0631.xlsx" \l "'Note C1'!A5" </w:instrText>
            </w:r>
            <w:r w:rsidRPr="00BD77D8">
              <w:rPr>
                <w:rFonts w:eastAsia="PMingLiU"/>
                <w:b/>
                <w:bCs/>
                <w:sz w:val="18"/>
                <w:szCs w:val="22"/>
                <w:lang w:eastAsia="en-US"/>
              </w:rPr>
              <w:fldChar w:fldCharType="separate"/>
            </w:r>
            <w:r w:rsidRPr="00BD77D8">
              <w:rPr>
                <w:rFonts w:eastAsia="PMingLiU"/>
                <w:b/>
                <w:bCs/>
                <w:sz w:val="18"/>
                <w:szCs w:val="22"/>
                <w:lang w:eastAsia="en-US"/>
              </w:rPr>
              <w:t>C1</w:t>
            </w:r>
            <w:r w:rsidRPr="00BD77D8">
              <w:rPr>
                <w:rFonts w:eastAsia="PMingLiU"/>
                <w:b/>
                <w:bCs/>
                <w:sz w:val="18"/>
                <w:szCs w:val="22"/>
                <w:lang w:eastAsia="en-US"/>
              </w:rPr>
              <w:fldChar w:fldCharType="end"/>
            </w:r>
            <w:bookmarkEnd w:id="27"/>
          </w:p>
        </w:tc>
        <w:tc>
          <w:tcPr>
            <w:tcW w:w="1372" w:type="dxa"/>
            <w:tcBorders>
              <w:top w:val="nil"/>
              <w:left w:val="nil"/>
              <w:bottom w:val="nil"/>
              <w:right w:val="nil"/>
            </w:tcBorders>
            <w:shd w:val="clear" w:color="auto" w:fill="auto"/>
            <w:vAlign w:val="bottom"/>
            <w:hideMark/>
          </w:tcPr>
          <w:p w14:paraId="2242D0B0" w14:textId="77777777" w:rsidR="00B9311E" w:rsidRPr="00BD77D8" w:rsidRDefault="00B9311E" w:rsidP="00B9311E">
            <w:pPr>
              <w:spacing w:after="0" w:line="240" w:lineRule="auto"/>
              <w:jc w:val="right"/>
              <w:rPr>
                <w:b/>
                <w:bCs/>
                <w:sz w:val="18"/>
                <w:szCs w:val="18"/>
              </w:rPr>
            </w:pPr>
            <w:r w:rsidRPr="00BD77D8">
              <w:rPr>
                <w:b/>
                <w:bCs/>
                <w:sz w:val="18"/>
                <w:szCs w:val="18"/>
              </w:rPr>
              <w:t xml:space="preserve">        51,005 </w:t>
            </w:r>
          </w:p>
        </w:tc>
        <w:tc>
          <w:tcPr>
            <w:tcW w:w="1287" w:type="dxa"/>
            <w:tcBorders>
              <w:top w:val="nil"/>
              <w:left w:val="nil"/>
              <w:bottom w:val="nil"/>
              <w:right w:val="nil"/>
            </w:tcBorders>
            <w:shd w:val="clear" w:color="auto" w:fill="auto"/>
            <w:vAlign w:val="bottom"/>
            <w:hideMark/>
          </w:tcPr>
          <w:p w14:paraId="784CB611" w14:textId="77777777" w:rsidR="00B9311E" w:rsidRPr="00BD77D8" w:rsidRDefault="00B9311E" w:rsidP="00B9311E">
            <w:pPr>
              <w:spacing w:after="0" w:line="240" w:lineRule="auto"/>
              <w:jc w:val="right"/>
              <w:rPr>
                <w:sz w:val="18"/>
                <w:szCs w:val="18"/>
              </w:rPr>
            </w:pPr>
            <w:r w:rsidRPr="00BD77D8">
              <w:rPr>
                <w:sz w:val="18"/>
                <w:szCs w:val="18"/>
              </w:rPr>
              <w:t xml:space="preserve">        24,251 </w:t>
            </w:r>
          </w:p>
        </w:tc>
        <w:tc>
          <w:tcPr>
            <w:tcW w:w="1168" w:type="dxa"/>
            <w:tcBorders>
              <w:top w:val="nil"/>
              <w:left w:val="nil"/>
              <w:bottom w:val="nil"/>
              <w:right w:val="nil"/>
            </w:tcBorders>
            <w:shd w:val="clear" w:color="auto" w:fill="auto"/>
            <w:vAlign w:val="bottom"/>
            <w:hideMark/>
          </w:tcPr>
          <w:p w14:paraId="31F1AAFB" w14:textId="77777777" w:rsidR="00B9311E" w:rsidRPr="00BD77D8" w:rsidRDefault="00B9311E" w:rsidP="00B9311E">
            <w:pPr>
              <w:spacing w:after="0" w:line="240" w:lineRule="auto"/>
              <w:jc w:val="right"/>
              <w:rPr>
                <w:sz w:val="18"/>
                <w:szCs w:val="18"/>
              </w:rPr>
            </w:pPr>
            <w:r w:rsidRPr="00BD77D8">
              <w:rPr>
                <w:sz w:val="18"/>
                <w:szCs w:val="18"/>
              </w:rPr>
              <w:t xml:space="preserve">        26,754 </w:t>
            </w:r>
          </w:p>
        </w:tc>
        <w:tc>
          <w:tcPr>
            <w:tcW w:w="1024" w:type="dxa"/>
            <w:tcBorders>
              <w:top w:val="nil"/>
              <w:left w:val="nil"/>
              <w:bottom w:val="nil"/>
              <w:right w:val="nil"/>
            </w:tcBorders>
            <w:shd w:val="clear" w:color="auto" w:fill="auto"/>
            <w:vAlign w:val="bottom"/>
            <w:hideMark/>
          </w:tcPr>
          <w:p w14:paraId="1F391BF4" w14:textId="77777777" w:rsidR="00B9311E" w:rsidRPr="00BD77D8" w:rsidRDefault="00B9311E" w:rsidP="00B9311E">
            <w:pPr>
              <w:spacing w:after="0" w:line="240" w:lineRule="auto"/>
              <w:jc w:val="right"/>
              <w:rPr>
                <w:sz w:val="18"/>
                <w:szCs w:val="18"/>
              </w:rPr>
            </w:pPr>
            <w:r w:rsidRPr="00BD77D8">
              <w:rPr>
                <w:sz w:val="18"/>
                <w:szCs w:val="18"/>
              </w:rPr>
              <w:t xml:space="preserve">        54,840 </w:t>
            </w:r>
          </w:p>
        </w:tc>
      </w:tr>
      <w:tr w:rsidR="00BD77D8" w:rsidRPr="00BD77D8" w14:paraId="41D4AA8C" w14:textId="77777777" w:rsidTr="003057FB">
        <w:trPr>
          <w:trHeight w:val="291"/>
        </w:trPr>
        <w:tc>
          <w:tcPr>
            <w:tcW w:w="4467" w:type="dxa"/>
            <w:tcBorders>
              <w:top w:val="nil"/>
              <w:left w:val="nil"/>
              <w:bottom w:val="nil"/>
              <w:right w:val="nil"/>
            </w:tcBorders>
            <w:shd w:val="clear" w:color="auto" w:fill="auto"/>
            <w:noWrap/>
            <w:vAlign w:val="bottom"/>
            <w:hideMark/>
          </w:tcPr>
          <w:p w14:paraId="1F9D4303"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Receivables </w:t>
            </w:r>
          </w:p>
        </w:tc>
        <w:tc>
          <w:tcPr>
            <w:tcW w:w="1107" w:type="dxa"/>
            <w:tcBorders>
              <w:top w:val="nil"/>
              <w:left w:val="nil"/>
              <w:bottom w:val="nil"/>
              <w:right w:val="nil"/>
            </w:tcBorders>
            <w:shd w:val="clear" w:color="auto" w:fill="auto"/>
            <w:noWrap/>
            <w:vAlign w:val="bottom"/>
            <w:hideMark/>
          </w:tcPr>
          <w:p w14:paraId="6F207A1E" w14:textId="77777777" w:rsidR="00B9311E" w:rsidRPr="00BD77D8" w:rsidRDefault="0028582B" w:rsidP="00B9311E">
            <w:pPr>
              <w:spacing w:after="0" w:line="240" w:lineRule="auto"/>
              <w:jc w:val="center"/>
              <w:rPr>
                <w:rFonts w:eastAsia="PMingLiU"/>
                <w:b/>
                <w:bCs/>
                <w:sz w:val="18"/>
                <w:szCs w:val="22"/>
                <w:lang w:eastAsia="en-US"/>
              </w:rPr>
            </w:pPr>
            <w:hyperlink r:id="rId19" w:anchor="'Note C2'!A5" w:history="1">
              <w:r w:rsidR="00B9311E" w:rsidRPr="00BD77D8">
                <w:rPr>
                  <w:rFonts w:eastAsia="PMingLiU"/>
                  <w:b/>
                  <w:bCs/>
                  <w:sz w:val="18"/>
                  <w:szCs w:val="22"/>
                  <w:lang w:eastAsia="en-US"/>
                </w:rPr>
                <w:t>C2</w:t>
              </w:r>
            </w:hyperlink>
          </w:p>
        </w:tc>
        <w:tc>
          <w:tcPr>
            <w:tcW w:w="1372" w:type="dxa"/>
            <w:tcBorders>
              <w:top w:val="nil"/>
              <w:left w:val="nil"/>
              <w:bottom w:val="nil"/>
              <w:right w:val="nil"/>
            </w:tcBorders>
            <w:shd w:val="clear" w:color="auto" w:fill="auto"/>
            <w:vAlign w:val="bottom"/>
            <w:hideMark/>
          </w:tcPr>
          <w:p w14:paraId="4BF9BB4C" w14:textId="77777777" w:rsidR="00B9311E" w:rsidRPr="00BD77D8" w:rsidRDefault="00B9311E" w:rsidP="00B9311E">
            <w:pPr>
              <w:spacing w:after="0" w:line="240" w:lineRule="auto"/>
              <w:jc w:val="right"/>
              <w:rPr>
                <w:b/>
                <w:bCs/>
                <w:sz w:val="18"/>
                <w:szCs w:val="18"/>
              </w:rPr>
            </w:pPr>
            <w:r w:rsidRPr="00BD77D8">
              <w:rPr>
                <w:b/>
                <w:bCs/>
                <w:sz w:val="18"/>
                <w:szCs w:val="18"/>
              </w:rPr>
              <w:t xml:space="preserve">          7,510 </w:t>
            </w:r>
          </w:p>
        </w:tc>
        <w:tc>
          <w:tcPr>
            <w:tcW w:w="1287" w:type="dxa"/>
            <w:tcBorders>
              <w:top w:val="nil"/>
              <w:left w:val="nil"/>
              <w:bottom w:val="nil"/>
              <w:right w:val="nil"/>
            </w:tcBorders>
            <w:shd w:val="clear" w:color="auto" w:fill="auto"/>
            <w:vAlign w:val="bottom"/>
            <w:hideMark/>
          </w:tcPr>
          <w:p w14:paraId="469329C0" w14:textId="77777777" w:rsidR="00B9311E" w:rsidRPr="00BD77D8" w:rsidRDefault="00B9311E" w:rsidP="00B9311E">
            <w:pPr>
              <w:spacing w:after="0" w:line="240" w:lineRule="auto"/>
              <w:jc w:val="right"/>
              <w:rPr>
                <w:sz w:val="18"/>
                <w:szCs w:val="18"/>
              </w:rPr>
            </w:pPr>
            <w:r w:rsidRPr="00BD77D8">
              <w:rPr>
                <w:sz w:val="18"/>
                <w:szCs w:val="18"/>
              </w:rPr>
              <w:t xml:space="preserve">          4,544 </w:t>
            </w:r>
          </w:p>
        </w:tc>
        <w:tc>
          <w:tcPr>
            <w:tcW w:w="1168" w:type="dxa"/>
            <w:tcBorders>
              <w:top w:val="nil"/>
              <w:left w:val="nil"/>
              <w:bottom w:val="nil"/>
              <w:right w:val="nil"/>
            </w:tcBorders>
            <w:shd w:val="clear" w:color="auto" w:fill="auto"/>
            <w:vAlign w:val="bottom"/>
            <w:hideMark/>
          </w:tcPr>
          <w:p w14:paraId="16B58E1C" w14:textId="77777777" w:rsidR="00B9311E" w:rsidRPr="00BD77D8" w:rsidRDefault="00B9311E" w:rsidP="00B9311E">
            <w:pPr>
              <w:spacing w:after="0" w:line="240" w:lineRule="auto"/>
              <w:jc w:val="right"/>
              <w:rPr>
                <w:sz w:val="18"/>
                <w:szCs w:val="18"/>
              </w:rPr>
            </w:pPr>
            <w:r w:rsidRPr="00BD77D8">
              <w:rPr>
                <w:sz w:val="18"/>
                <w:szCs w:val="18"/>
              </w:rPr>
              <w:t xml:space="preserve">          2,966 </w:t>
            </w:r>
          </w:p>
        </w:tc>
        <w:tc>
          <w:tcPr>
            <w:tcW w:w="1024" w:type="dxa"/>
            <w:tcBorders>
              <w:top w:val="nil"/>
              <w:left w:val="nil"/>
              <w:bottom w:val="nil"/>
              <w:right w:val="nil"/>
            </w:tcBorders>
            <w:shd w:val="clear" w:color="auto" w:fill="auto"/>
            <w:vAlign w:val="bottom"/>
            <w:hideMark/>
          </w:tcPr>
          <w:p w14:paraId="4E19761A" w14:textId="77777777" w:rsidR="00B9311E" w:rsidRPr="00BD77D8" w:rsidRDefault="00B9311E" w:rsidP="00B9311E">
            <w:pPr>
              <w:spacing w:after="0" w:line="240" w:lineRule="auto"/>
              <w:jc w:val="right"/>
              <w:rPr>
                <w:sz w:val="18"/>
                <w:szCs w:val="18"/>
              </w:rPr>
            </w:pPr>
            <w:r w:rsidRPr="00BD77D8">
              <w:rPr>
                <w:sz w:val="18"/>
                <w:szCs w:val="18"/>
              </w:rPr>
              <w:t xml:space="preserve">          6,009 </w:t>
            </w:r>
          </w:p>
        </w:tc>
      </w:tr>
      <w:tr w:rsidR="00BD77D8" w:rsidRPr="00BD77D8" w14:paraId="56B2274A" w14:textId="77777777" w:rsidTr="003057FB">
        <w:trPr>
          <w:trHeight w:val="291"/>
        </w:trPr>
        <w:tc>
          <w:tcPr>
            <w:tcW w:w="4467" w:type="dxa"/>
            <w:tcBorders>
              <w:top w:val="nil"/>
              <w:left w:val="nil"/>
              <w:bottom w:val="nil"/>
              <w:right w:val="nil"/>
            </w:tcBorders>
            <w:shd w:val="clear" w:color="auto" w:fill="auto"/>
            <w:noWrap/>
            <w:vAlign w:val="bottom"/>
            <w:hideMark/>
          </w:tcPr>
          <w:p w14:paraId="169F944E"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Other current assets   </w:t>
            </w:r>
          </w:p>
        </w:tc>
        <w:tc>
          <w:tcPr>
            <w:tcW w:w="1107" w:type="dxa"/>
            <w:tcBorders>
              <w:top w:val="nil"/>
              <w:left w:val="nil"/>
              <w:bottom w:val="nil"/>
              <w:right w:val="nil"/>
            </w:tcBorders>
            <w:shd w:val="clear" w:color="auto" w:fill="auto"/>
            <w:noWrap/>
            <w:vAlign w:val="bottom"/>
            <w:hideMark/>
          </w:tcPr>
          <w:p w14:paraId="030926D7" w14:textId="77777777" w:rsidR="00B9311E" w:rsidRPr="00BD77D8" w:rsidRDefault="00B9311E" w:rsidP="00B9311E">
            <w:pPr>
              <w:spacing w:after="0" w:line="240" w:lineRule="auto"/>
              <w:ind w:firstLineChars="100" w:firstLine="181"/>
              <w:rPr>
                <w:b/>
                <w:bCs/>
                <w:sz w:val="18"/>
                <w:szCs w:val="18"/>
              </w:rPr>
            </w:pPr>
          </w:p>
        </w:tc>
        <w:tc>
          <w:tcPr>
            <w:tcW w:w="1372" w:type="dxa"/>
            <w:tcBorders>
              <w:top w:val="nil"/>
              <w:left w:val="nil"/>
              <w:bottom w:val="single" w:sz="4" w:space="0" w:color="auto"/>
              <w:right w:val="nil"/>
            </w:tcBorders>
            <w:shd w:val="clear" w:color="auto" w:fill="auto"/>
            <w:vAlign w:val="bottom"/>
            <w:hideMark/>
          </w:tcPr>
          <w:p w14:paraId="1123C9EB" w14:textId="77777777" w:rsidR="00B9311E" w:rsidRPr="00BD77D8" w:rsidRDefault="00B9311E" w:rsidP="00B9311E">
            <w:pPr>
              <w:spacing w:after="0" w:line="240" w:lineRule="auto"/>
              <w:jc w:val="right"/>
              <w:rPr>
                <w:b/>
                <w:bCs/>
                <w:sz w:val="18"/>
                <w:szCs w:val="18"/>
              </w:rPr>
            </w:pPr>
            <w:r w:rsidRPr="00BD77D8">
              <w:rPr>
                <w:b/>
                <w:bCs/>
                <w:sz w:val="18"/>
                <w:szCs w:val="18"/>
              </w:rPr>
              <w:t xml:space="preserve">              982 </w:t>
            </w:r>
          </w:p>
        </w:tc>
        <w:tc>
          <w:tcPr>
            <w:tcW w:w="1287" w:type="dxa"/>
            <w:tcBorders>
              <w:top w:val="nil"/>
              <w:left w:val="nil"/>
              <w:bottom w:val="single" w:sz="4" w:space="0" w:color="auto"/>
              <w:right w:val="nil"/>
            </w:tcBorders>
            <w:shd w:val="clear" w:color="auto" w:fill="auto"/>
            <w:vAlign w:val="bottom"/>
            <w:hideMark/>
          </w:tcPr>
          <w:p w14:paraId="2505FE9D" w14:textId="77777777" w:rsidR="00B9311E" w:rsidRPr="00BD77D8" w:rsidRDefault="00B9311E" w:rsidP="00B9311E">
            <w:pPr>
              <w:spacing w:after="0" w:line="240" w:lineRule="auto"/>
              <w:jc w:val="right"/>
              <w:rPr>
                <w:sz w:val="18"/>
                <w:szCs w:val="18"/>
              </w:rPr>
            </w:pPr>
            <w:r w:rsidRPr="00BD77D8">
              <w:rPr>
                <w:sz w:val="18"/>
                <w:szCs w:val="18"/>
              </w:rPr>
              <w:t xml:space="preserve">          2,452 </w:t>
            </w:r>
          </w:p>
        </w:tc>
        <w:tc>
          <w:tcPr>
            <w:tcW w:w="1168" w:type="dxa"/>
            <w:tcBorders>
              <w:top w:val="nil"/>
              <w:left w:val="nil"/>
              <w:bottom w:val="single" w:sz="4" w:space="0" w:color="auto"/>
              <w:right w:val="nil"/>
            </w:tcBorders>
            <w:shd w:val="clear" w:color="auto" w:fill="auto"/>
            <w:vAlign w:val="bottom"/>
            <w:hideMark/>
          </w:tcPr>
          <w:p w14:paraId="72058707" w14:textId="77777777" w:rsidR="00B9311E" w:rsidRPr="00BD77D8" w:rsidRDefault="00B9311E" w:rsidP="00B9311E">
            <w:pPr>
              <w:spacing w:after="0" w:line="240" w:lineRule="auto"/>
              <w:jc w:val="right"/>
              <w:rPr>
                <w:sz w:val="18"/>
                <w:szCs w:val="18"/>
              </w:rPr>
            </w:pPr>
            <w:r w:rsidRPr="00BD77D8">
              <w:rPr>
                <w:sz w:val="18"/>
                <w:szCs w:val="18"/>
              </w:rPr>
              <w:t xml:space="preserve">         (1,470)</w:t>
            </w:r>
          </w:p>
        </w:tc>
        <w:tc>
          <w:tcPr>
            <w:tcW w:w="1024" w:type="dxa"/>
            <w:tcBorders>
              <w:top w:val="nil"/>
              <w:left w:val="nil"/>
              <w:bottom w:val="single" w:sz="4" w:space="0" w:color="auto"/>
              <w:right w:val="nil"/>
            </w:tcBorders>
            <w:shd w:val="clear" w:color="auto" w:fill="auto"/>
            <w:vAlign w:val="bottom"/>
            <w:hideMark/>
          </w:tcPr>
          <w:p w14:paraId="591A0802" w14:textId="77777777" w:rsidR="00B9311E" w:rsidRPr="00BD77D8" w:rsidRDefault="00B9311E" w:rsidP="00B9311E">
            <w:pPr>
              <w:spacing w:after="0" w:line="240" w:lineRule="auto"/>
              <w:jc w:val="right"/>
              <w:rPr>
                <w:sz w:val="18"/>
                <w:szCs w:val="18"/>
              </w:rPr>
            </w:pPr>
            <w:r w:rsidRPr="00BD77D8">
              <w:rPr>
                <w:sz w:val="18"/>
                <w:szCs w:val="18"/>
              </w:rPr>
              <w:t xml:space="preserve">          1,774 </w:t>
            </w:r>
          </w:p>
        </w:tc>
      </w:tr>
      <w:tr w:rsidR="00BD77D8" w:rsidRPr="00BD77D8" w14:paraId="2CBF0700" w14:textId="77777777" w:rsidTr="003057FB">
        <w:trPr>
          <w:trHeight w:val="291"/>
        </w:trPr>
        <w:tc>
          <w:tcPr>
            <w:tcW w:w="4467" w:type="dxa"/>
            <w:tcBorders>
              <w:top w:val="nil"/>
              <w:left w:val="nil"/>
              <w:bottom w:val="nil"/>
              <w:right w:val="nil"/>
            </w:tcBorders>
            <w:shd w:val="clear" w:color="auto" w:fill="auto"/>
            <w:noWrap/>
            <w:vAlign w:val="bottom"/>
            <w:hideMark/>
          </w:tcPr>
          <w:p w14:paraId="0B9A37AC" w14:textId="77777777" w:rsidR="00B9311E" w:rsidRPr="00BD77D8" w:rsidRDefault="00B9311E" w:rsidP="00B9311E">
            <w:pPr>
              <w:spacing w:after="0" w:line="240" w:lineRule="auto"/>
              <w:jc w:val="right"/>
              <w:rPr>
                <w:sz w:val="18"/>
                <w:szCs w:val="18"/>
              </w:rPr>
            </w:pPr>
          </w:p>
        </w:tc>
        <w:tc>
          <w:tcPr>
            <w:tcW w:w="1107" w:type="dxa"/>
            <w:tcBorders>
              <w:top w:val="nil"/>
              <w:left w:val="nil"/>
              <w:bottom w:val="nil"/>
              <w:right w:val="nil"/>
            </w:tcBorders>
            <w:shd w:val="clear" w:color="auto" w:fill="auto"/>
            <w:noWrap/>
            <w:vAlign w:val="bottom"/>
            <w:hideMark/>
          </w:tcPr>
          <w:p w14:paraId="365689A4" w14:textId="77777777" w:rsidR="00B9311E" w:rsidRPr="00BD77D8" w:rsidRDefault="00B9311E" w:rsidP="00B9311E">
            <w:pPr>
              <w:spacing w:after="0" w:line="240" w:lineRule="auto"/>
              <w:rPr>
                <w:rFonts w:ascii="Times New Roman" w:hAnsi="Times New Roman" w:cs="Times New Roman"/>
                <w:b/>
                <w:bCs/>
                <w:sz w:val="20"/>
                <w:szCs w:val="20"/>
              </w:rPr>
            </w:pPr>
          </w:p>
        </w:tc>
        <w:tc>
          <w:tcPr>
            <w:tcW w:w="1372" w:type="dxa"/>
            <w:tcBorders>
              <w:top w:val="nil"/>
              <w:left w:val="nil"/>
              <w:bottom w:val="nil"/>
              <w:right w:val="nil"/>
            </w:tcBorders>
            <w:shd w:val="clear" w:color="auto" w:fill="auto"/>
            <w:vAlign w:val="bottom"/>
            <w:hideMark/>
          </w:tcPr>
          <w:p w14:paraId="30EB2F59" w14:textId="77777777" w:rsidR="00B9311E" w:rsidRPr="00BD77D8" w:rsidRDefault="00B9311E" w:rsidP="00B9311E">
            <w:pPr>
              <w:spacing w:after="0" w:line="240" w:lineRule="auto"/>
              <w:jc w:val="right"/>
              <w:rPr>
                <w:b/>
                <w:bCs/>
                <w:sz w:val="18"/>
                <w:szCs w:val="18"/>
              </w:rPr>
            </w:pPr>
            <w:r w:rsidRPr="00BD77D8">
              <w:rPr>
                <w:b/>
                <w:bCs/>
                <w:sz w:val="18"/>
                <w:szCs w:val="18"/>
              </w:rPr>
              <w:t xml:space="preserve">        59,497 </w:t>
            </w:r>
          </w:p>
        </w:tc>
        <w:tc>
          <w:tcPr>
            <w:tcW w:w="1287" w:type="dxa"/>
            <w:tcBorders>
              <w:top w:val="nil"/>
              <w:left w:val="nil"/>
              <w:bottom w:val="nil"/>
              <w:right w:val="nil"/>
            </w:tcBorders>
            <w:shd w:val="clear" w:color="auto" w:fill="auto"/>
            <w:vAlign w:val="bottom"/>
            <w:hideMark/>
          </w:tcPr>
          <w:p w14:paraId="498429D8" w14:textId="77777777" w:rsidR="00B9311E" w:rsidRPr="00BD77D8" w:rsidRDefault="00B9311E" w:rsidP="00B9311E">
            <w:pPr>
              <w:spacing w:after="0" w:line="240" w:lineRule="auto"/>
              <w:jc w:val="right"/>
              <w:rPr>
                <w:sz w:val="18"/>
                <w:szCs w:val="18"/>
              </w:rPr>
            </w:pPr>
            <w:r w:rsidRPr="00BD77D8">
              <w:rPr>
                <w:sz w:val="18"/>
                <w:szCs w:val="18"/>
              </w:rPr>
              <w:t xml:space="preserve">        31,247 </w:t>
            </w:r>
          </w:p>
        </w:tc>
        <w:tc>
          <w:tcPr>
            <w:tcW w:w="1168" w:type="dxa"/>
            <w:tcBorders>
              <w:top w:val="nil"/>
              <w:left w:val="nil"/>
              <w:bottom w:val="nil"/>
              <w:right w:val="nil"/>
            </w:tcBorders>
            <w:shd w:val="clear" w:color="auto" w:fill="auto"/>
            <w:vAlign w:val="bottom"/>
            <w:hideMark/>
          </w:tcPr>
          <w:p w14:paraId="6E462C5E" w14:textId="77777777" w:rsidR="00B9311E" w:rsidRPr="00BD77D8" w:rsidRDefault="00B9311E" w:rsidP="00B9311E">
            <w:pPr>
              <w:spacing w:after="0" w:line="240" w:lineRule="auto"/>
              <w:jc w:val="right"/>
              <w:rPr>
                <w:sz w:val="18"/>
                <w:szCs w:val="18"/>
              </w:rPr>
            </w:pPr>
            <w:r w:rsidRPr="00BD77D8">
              <w:rPr>
                <w:sz w:val="18"/>
                <w:szCs w:val="18"/>
              </w:rPr>
              <w:t xml:space="preserve">        28,250 </w:t>
            </w:r>
          </w:p>
        </w:tc>
        <w:tc>
          <w:tcPr>
            <w:tcW w:w="1024" w:type="dxa"/>
            <w:tcBorders>
              <w:top w:val="nil"/>
              <w:left w:val="nil"/>
              <w:bottom w:val="nil"/>
              <w:right w:val="nil"/>
            </w:tcBorders>
            <w:shd w:val="clear" w:color="auto" w:fill="auto"/>
            <w:vAlign w:val="bottom"/>
            <w:hideMark/>
          </w:tcPr>
          <w:p w14:paraId="1520F761" w14:textId="77777777" w:rsidR="00B9311E" w:rsidRPr="00BD77D8" w:rsidRDefault="00B9311E" w:rsidP="00B9311E">
            <w:pPr>
              <w:spacing w:after="0" w:line="240" w:lineRule="auto"/>
              <w:jc w:val="right"/>
              <w:rPr>
                <w:sz w:val="18"/>
                <w:szCs w:val="18"/>
              </w:rPr>
            </w:pPr>
            <w:r w:rsidRPr="00BD77D8">
              <w:rPr>
                <w:sz w:val="18"/>
                <w:szCs w:val="18"/>
              </w:rPr>
              <w:t xml:space="preserve">        62,623 </w:t>
            </w:r>
          </w:p>
        </w:tc>
      </w:tr>
      <w:tr w:rsidR="00BD77D8" w:rsidRPr="00BD77D8" w14:paraId="6F09C4BA" w14:textId="77777777" w:rsidTr="003057FB">
        <w:trPr>
          <w:trHeight w:val="291"/>
        </w:trPr>
        <w:tc>
          <w:tcPr>
            <w:tcW w:w="4467" w:type="dxa"/>
            <w:tcBorders>
              <w:top w:val="nil"/>
              <w:left w:val="nil"/>
              <w:bottom w:val="nil"/>
              <w:right w:val="nil"/>
            </w:tcBorders>
            <w:shd w:val="clear" w:color="auto" w:fill="auto"/>
            <w:noWrap/>
            <w:vAlign w:val="bottom"/>
            <w:hideMark/>
          </w:tcPr>
          <w:p w14:paraId="377C5EC5"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Non-current assets classified as held for sale </w:t>
            </w:r>
          </w:p>
        </w:tc>
        <w:tc>
          <w:tcPr>
            <w:tcW w:w="1107" w:type="dxa"/>
            <w:tcBorders>
              <w:top w:val="nil"/>
              <w:left w:val="nil"/>
              <w:bottom w:val="nil"/>
              <w:right w:val="nil"/>
            </w:tcBorders>
            <w:shd w:val="clear" w:color="auto" w:fill="auto"/>
            <w:noWrap/>
            <w:vAlign w:val="bottom"/>
            <w:hideMark/>
          </w:tcPr>
          <w:p w14:paraId="394C8841" w14:textId="77777777" w:rsidR="00B9311E" w:rsidRPr="00BD77D8" w:rsidRDefault="00B9311E" w:rsidP="00B9311E">
            <w:pPr>
              <w:spacing w:after="0" w:line="240" w:lineRule="auto"/>
              <w:jc w:val="center"/>
              <w:rPr>
                <w:b/>
                <w:bCs/>
                <w:sz w:val="18"/>
                <w:szCs w:val="18"/>
              </w:rPr>
            </w:pPr>
            <w:r w:rsidRPr="00BD77D8">
              <w:rPr>
                <w:b/>
                <w:bCs/>
                <w:sz w:val="18"/>
                <w:szCs w:val="18"/>
              </w:rPr>
              <w:t>C3</w:t>
            </w:r>
          </w:p>
        </w:tc>
        <w:tc>
          <w:tcPr>
            <w:tcW w:w="1372" w:type="dxa"/>
            <w:tcBorders>
              <w:top w:val="nil"/>
              <w:left w:val="nil"/>
              <w:bottom w:val="nil"/>
              <w:right w:val="nil"/>
            </w:tcBorders>
            <w:shd w:val="clear" w:color="auto" w:fill="auto"/>
            <w:vAlign w:val="bottom"/>
            <w:hideMark/>
          </w:tcPr>
          <w:p w14:paraId="4813F38A" w14:textId="77777777" w:rsidR="00B9311E" w:rsidRPr="00BD77D8" w:rsidRDefault="00B9311E" w:rsidP="00B9311E">
            <w:pPr>
              <w:spacing w:after="0" w:line="240" w:lineRule="auto"/>
              <w:jc w:val="right"/>
              <w:rPr>
                <w:b/>
                <w:bCs/>
                <w:sz w:val="18"/>
                <w:szCs w:val="18"/>
              </w:rPr>
            </w:pPr>
            <w:r w:rsidRPr="00BD77D8">
              <w:rPr>
                <w:b/>
                <w:bCs/>
                <w:sz w:val="18"/>
                <w:szCs w:val="18"/>
              </w:rPr>
              <w:t xml:space="preserve">              880 </w:t>
            </w:r>
          </w:p>
        </w:tc>
        <w:tc>
          <w:tcPr>
            <w:tcW w:w="1287" w:type="dxa"/>
            <w:tcBorders>
              <w:top w:val="nil"/>
              <w:left w:val="nil"/>
              <w:bottom w:val="nil"/>
              <w:right w:val="nil"/>
            </w:tcBorders>
            <w:shd w:val="clear" w:color="auto" w:fill="auto"/>
            <w:vAlign w:val="bottom"/>
            <w:hideMark/>
          </w:tcPr>
          <w:p w14:paraId="4072CB60"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68" w:type="dxa"/>
            <w:tcBorders>
              <w:top w:val="nil"/>
              <w:left w:val="nil"/>
              <w:bottom w:val="nil"/>
              <w:right w:val="nil"/>
            </w:tcBorders>
            <w:shd w:val="clear" w:color="auto" w:fill="auto"/>
            <w:vAlign w:val="bottom"/>
            <w:hideMark/>
          </w:tcPr>
          <w:p w14:paraId="0EF0FE57" w14:textId="77777777" w:rsidR="00B9311E" w:rsidRPr="00BD77D8" w:rsidRDefault="00B9311E" w:rsidP="00B9311E">
            <w:pPr>
              <w:spacing w:after="0" w:line="240" w:lineRule="auto"/>
              <w:jc w:val="right"/>
              <w:rPr>
                <w:sz w:val="18"/>
                <w:szCs w:val="18"/>
              </w:rPr>
            </w:pPr>
            <w:r w:rsidRPr="00BD77D8">
              <w:rPr>
                <w:sz w:val="18"/>
                <w:szCs w:val="18"/>
              </w:rPr>
              <w:t xml:space="preserve">              880 </w:t>
            </w:r>
          </w:p>
        </w:tc>
        <w:tc>
          <w:tcPr>
            <w:tcW w:w="1024" w:type="dxa"/>
            <w:tcBorders>
              <w:top w:val="nil"/>
              <w:left w:val="nil"/>
              <w:bottom w:val="nil"/>
              <w:right w:val="nil"/>
            </w:tcBorders>
            <w:shd w:val="clear" w:color="auto" w:fill="auto"/>
            <w:vAlign w:val="bottom"/>
            <w:hideMark/>
          </w:tcPr>
          <w:p w14:paraId="4E5A08A0"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17CE1C94" w14:textId="77777777" w:rsidTr="003057FB">
        <w:trPr>
          <w:trHeight w:val="291"/>
        </w:trPr>
        <w:tc>
          <w:tcPr>
            <w:tcW w:w="4467" w:type="dxa"/>
            <w:tcBorders>
              <w:top w:val="nil"/>
              <w:left w:val="nil"/>
              <w:bottom w:val="nil"/>
              <w:right w:val="nil"/>
            </w:tcBorders>
            <w:shd w:val="clear" w:color="auto" w:fill="auto"/>
            <w:noWrap/>
            <w:vAlign w:val="bottom"/>
            <w:hideMark/>
          </w:tcPr>
          <w:p w14:paraId="64CD1545" w14:textId="77777777" w:rsidR="00B9311E" w:rsidRPr="00BD77D8" w:rsidRDefault="00B9311E" w:rsidP="00B9311E">
            <w:pPr>
              <w:spacing w:after="0" w:line="240" w:lineRule="auto"/>
              <w:rPr>
                <w:b/>
                <w:bCs/>
                <w:sz w:val="18"/>
                <w:szCs w:val="18"/>
              </w:rPr>
            </w:pPr>
            <w:r w:rsidRPr="00BD77D8">
              <w:rPr>
                <w:b/>
                <w:bCs/>
                <w:sz w:val="18"/>
                <w:szCs w:val="18"/>
              </w:rPr>
              <w:t xml:space="preserve"> Total Current Assets </w:t>
            </w:r>
          </w:p>
        </w:tc>
        <w:tc>
          <w:tcPr>
            <w:tcW w:w="1107" w:type="dxa"/>
            <w:tcBorders>
              <w:top w:val="nil"/>
              <w:left w:val="nil"/>
              <w:bottom w:val="nil"/>
              <w:right w:val="nil"/>
            </w:tcBorders>
            <w:shd w:val="clear" w:color="auto" w:fill="auto"/>
            <w:noWrap/>
            <w:vAlign w:val="bottom"/>
            <w:hideMark/>
          </w:tcPr>
          <w:p w14:paraId="2AB5E217" w14:textId="77777777" w:rsidR="00B9311E" w:rsidRPr="00BD77D8" w:rsidRDefault="00B9311E" w:rsidP="00B9311E">
            <w:pPr>
              <w:spacing w:after="0" w:line="240" w:lineRule="auto"/>
              <w:rPr>
                <w:b/>
                <w:bCs/>
                <w:sz w:val="18"/>
                <w:szCs w:val="18"/>
              </w:rPr>
            </w:pPr>
          </w:p>
        </w:tc>
        <w:tc>
          <w:tcPr>
            <w:tcW w:w="1372" w:type="dxa"/>
            <w:tcBorders>
              <w:top w:val="single" w:sz="4" w:space="0" w:color="auto"/>
              <w:left w:val="nil"/>
              <w:bottom w:val="single" w:sz="4" w:space="0" w:color="auto"/>
              <w:right w:val="nil"/>
            </w:tcBorders>
            <w:shd w:val="clear" w:color="auto" w:fill="auto"/>
            <w:vAlign w:val="bottom"/>
            <w:hideMark/>
          </w:tcPr>
          <w:p w14:paraId="1EAF6705" w14:textId="77777777" w:rsidR="00B9311E" w:rsidRPr="00BD77D8" w:rsidRDefault="00B9311E" w:rsidP="00B9311E">
            <w:pPr>
              <w:spacing w:after="0" w:line="240" w:lineRule="auto"/>
              <w:jc w:val="right"/>
              <w:rPr>
                <w:b/>
                <w:bCs/>
                <w:sz w:val="18"/>
                <w:szCs w:val="18"/>
              </w:rPr>
            </w:pPr>
            <w:r w:rsidRPr="00BD77D8">
              <w:rPr>
                <w:b/>
                <w:bCs/>
                <w:sz w:val="18"/>
                <w:szCs w:val="18"/>
              </w:rPr>
              <w:t xml:space="preserve">        60,377 </w:t>
            </w:r>
          </w:p>
        </w:tc>
        <w:tc>
          <w:tcPr>
            <w:tcW w:w="1287" w:type="dxa"/>
            <w:tcBorders>
              <w:top w:val="single" w:sz="4" w:space="0" w:color="auto"/>
              <w:left w:val="nil"/>
              <w:bottom w:val="single" w:sz="4" w:space="0" w:color="auto"/>
              <w:right w:val="nil"/>
            </w:tcBorders>
            <w:shd w:val="clear" w:color="auto" w:fill="auto"/>
            <w:vAlign w:val="bottom"/>
            <w:hideMark/>
          </w:tcPr>
          <w:p w14:paraId="4A0FFC6A" w14:textId="77777777" w:rsidR="00B9311E" w:rsidRPr="00BD77D8" w:rsidRDefault="00B9311E" w:rsidP="00B9311E">
            <w:pPr>
              <w:spacing w:after="0" w:line="240" w:lineRule="auto"/>
              <w:jc w:val="right"/>
              <w:rPr>
                <w:b/>
                <w:bCs/>
                <w:sz w:val="18"/>
                <w:szCs w:val="18"/>
              </w:rPr>
            </w:pPr>
            <w:r w:rsidRPr="00BD77D8">
              <w:rPr>
                <w:b/>
                <w:bCs/>
                <w:sz w:val="18"/>
                <w:szCs w:val="18"/>
              </w:rPr>
              <w:t xml:space="preserve">        31,247 </w:t>
            </w:r>
          </w:p>
        </w:tc>
        <w:tc>
          <w:tcPr>
            <w:tcW w:w="1168" w:type="dxa"/>
            <w:tcBorders>
              <w:top w:val="single" w:sz="4" w:space="0" w:color="auto"/>
              <w:left w:val="nil"/>
              <w:bottom w:val="single" w:sz="4" w:space="0" w:color="auto"/>
              <w:right w:val="nil"/>
            </w:tcBorders>
            <w:shd w:val="clear" w:color="auto" w:fill="auto"/>
            <w:vAlign w:val="bottom"/>
            <w:hideMark/>
          </w:tcPr>
          <w:p w14:paraId="625340ED" w14:textId="77777777" w:rsidR="00B9311E" w:rsidRPr="00BD77D8" w:rsidRDefault="00B9311E" w:rsidP="00B9311E">
            <w:pPr>
              <w:spacing w:after="0" w:line="240" w:lineRule="auto"/>
              <w:jc w:val="right"/>
              <w:rPr>
                <w:b/>
                <w:bCs/>
                <w:sz w:val="18"/>
                <w:szCs w:val="18"/>
              </w:rPr>
            </w:pPr>
            <w:r w:rsidRPr="00BD77D8">
              <w:rPr>
                <w:b/>
                <w:bCs/>
                <w:sz w:val="18"/>
                <w:szCs w:val="18"/>
              </w:rPr>
              <w:t xml:space="preserve">        29,130 </w:t>
            </w:r>
          </w:p>
        </w:tc>
        <w:tc>
          <w:tcPr>
            <w:tcW w:w="1024" w:type="dxa"/>
            <w:tcBorders>
              <w:top w:val="single" w:sz="4" w:space="0" w:color="auto"/>
              <w:left w:val="nil"/>
              <w:bottom w:val="single" w:sz="4" w:space="0" w:color="auto"/>
              <w:right w:val="nil"/>
            </w:tcBorders>
            <w:shd w:val="clear" w:color="auto" w:fill="auto"/>
            <w:vAlign w:val="bottom"/>
            <w:hideMark/>
          </w:tcPr>
          <w:p w14:paraId="2EEEBCCF" w14:textId="77777777" w:rsidR="00B9311E" w:rsidRPr="00BD77D8" w:rsidRDefault="00B9311E" w:rsidP="00B9311E">
            <w:pPr>
              <w:spacing w:after="0" w:line="240" w:lineRule="auto"/>
              <w:jc w:val="right"/>
              <w:rPr>
                <w:b/>
                <w:bCs/>
                <w:sz w:val="18"/>
                <w:szCs w:val="18"/>
              </w:rPr>
            </w:pPr>
            <w:r w:rsidRPr="00BD77D8">
              <w:rPr>
                <w:b/>
                <w:bCs/>
                <w:sz w:val="18"/>
                <w:szCs w:val="18"/>
              </w:rPr>
              <w:t xml:space="preserve">        62,623 </w:t>
            </w:r>
          </w:p>
        </w:tc>
      </w:tr>
      <w:tr w:rsidR="00BD77D8" w:rsidRPr="00BD77D8" w14:paraId="75506D10" w14:textId="77777777" w:rsidTr="003057FB">
        <w:trPr>
          <w:trHeight w:val="291"/>
        </w:trPr>
        <w:tc>
          <w:tcPr>
            <w:tcW w:w="4467" w:type="dxa"/>
            <w:tcBorders>
              <w:top w:val="nil"/>
              <w:left w:val="nil"/>
              <w:bottom w:val="nil"/>
              <w:right w:val="nil"/>
            </w:tcBorders>
            <w:shd w:val="clear" w:color="auto" w:fill="auto"/>
            <w:noWrap/>
            <w:vAlign w:val="bottom"/>
            <w:hideMark/>
          </w:tcPr>
          <w:p w14:paraId="592B2943" w14:textId="77777777" w:rsidR="00B9311E" w:rsidRPr="00BD77D8" w:rsidRDefault="00B9311E" w:rsidP="00B9311E">
            <w:pPr>
              <w:spacing w:after="0" w:line="240" w:lineRule="auto"/>
              <w:rPr>
                <w:b/>
                <w:bCs/>
                <w:sz w:val="18"/>
                <w:szCs w:val="18"/>
              </w:rPr>
            </w:pPr>
            <w:r w:rsidRPr="00BD77D8">
              <w:rPr>
                <w:b/>
                <w:bCs/>
                <w:sz w:val="18"/>
                <w:szCs w:val="18"/>
              </w:rPr>
              <w:t xml:space="preserve"> Non-Current Asset </w:t>
            </w:r>
          </w:p>
        </w:tc>
        <w:tc>
          <w:tcPr>
            <w:tcW w:w="1107" w:type="dxa"/>
            <w:tcBorders>
              <w:top w:val="nil"/>
              <w:left w:val="nil"/>
              <w:bottom w:val="nil"/>
              <w:right w:val="nil"/>
            </w:tcBorders>
            <w:shd w:val="clear" w:color="auto" w:fill="auto"/>
            <w:noWrap/>
            <w:vAlign w:val="bottom"/>
            <w:hideMark/>
          </w:tcPr>
          <w:p w14:paraId="67DAE4D3" w14:textId="77777777" w:rsidR="00B9311E" w:rsidRPr="00BD77D8" w:rsidRDefault="00B9311E" w:rsidP="00B9311E">
            <w:pPr>
              <w:spacing w:after="0" w:line="240" w:lineRule="auto"/>
              <w:rPr>
                <w:b/>
                <w:bCs/>
                <w:sz w:val="18"/>
                <w:szCs w:val="18"/>
              </w:rPr>
            </w:pPr>
          </w:p>
        </w:tc>
        <w:tc>
          <w:tcPr>
            <w:tcW w:w="1372" w:type="dxa"/>
            <w:tcBorders>
              <w:top w:val="nil"/>
              <w:left w:val="nil"/>
              <w:bottom w:val="nil"/>
              <w:right w:val="nil"/>
            </w:tcBorders>
            <w:shd w:val="clear" w:color="auto" w:fill="auto"/>
            <w:vAlign w:val="bottom"/>
            <w:hideMark/>
          </w:tcPr>
          <w:p w14:paraId="53896BA9"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87" w:type="dxa"/>
            <w:tcBorders>
              <w:top w:val="nil"/>
              <w:left w:val="nil"/>
              <w:bottom w:val="nil"/>
              <w:right w:val="nil"/>
            </w:tcBorders>
            <w:shd w:val="clear" w:color="auto" w:fill="auto"/>
            <w:vAlign w:val="bottom"/>
            <w:hideMark/>
          </w:tcPr>
          <w:p w14:paraId="59F419A5"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168" w:type="dxa"/>
            <w:tcBorders>
              <w:top w:val="nil"/>
              <w:left w:val="nil"/>
              <w:bottom w:val="nil"/>
              <w:right w:val="nil"/>
            </w:tcBorders>
            <w:shd w:val="clear" w:color="auto" w:fill="auto"/>
            <w:vAlign w:val="bottom"/>
            <w:hideMark/>
          </w:tcPr>
          <w:p w14:paraId="0488B453" w14:textId="77777777" w:rsidR="00B9311E" w:rsidRPr="00BD77D8" w:rsidRDefault="00B9311E" w:rsidP="00B9311E">
            <w:pPr>
              <w:spacing w:after="0" w:line="240" w:lineRule="auto"/>
              <w:jc w:val="right"/>
              <w:rPr>
                <w:sz w:val="18"/>
                <w:szCs w:val="18"/>
              </w:rPr>
            </w:pPr>
            <w:r w:rsidRPr="00BD77D8">
              <w:rPr>
                <w:rFonts w:ascii="Times New Roman" w:hAnsi="Times New Roman" w:cs="Times New Roman"/>
                <w:b/>
                <w:bCs/>
                <w:sz w:val="20"/>
                <w:szCs w:val="20"/>
              </w:rPr>
              <w:t xml:space="preserve">                   </w:t>
            </w:r>
            <w:r w:rsidRPr="00BD77D8">
              <w:rPr>
                <w:sz w:val="18"/>
                <w:szCs w:val="18"/>
              </w:rPr>
              <w:t xml:space="preserve">- </w:t>
            </w:r>
          </w:p>
        </w:tc>
        <w:tc>
          <w:tcPr>
            <w:tcW w:w="1024" w:type="dxa"/>
            <w:tcBorders>
              <w:top w:val="nil"/>
              <w:left w:val="nil"/>
              <w:bottom w:val="nil"/>
              <w:right w:val="nil"/>
            </w:tcBorders>
            <w:shd w:val="clear" w:color="auto" w:fill="auto"/>
            <w:vAlign w:val="bottom"/>
            <w:hideMark/>
          </w:tcPr>
          <w:p w14:paraId="0B7A7E6A"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78F36F3F" w14:textId="77777777" w:rsidTr="003057FB">
        <w:trPr>
          <w:trHeight w:val="291"/>
        </w:trPr>
        <w:tc>
          <w:tcPr>
            <w:tcW w:w="4467" w:type="dxa"/>
            <w:tcBorders>
              <w:top w:val="nil"/>
              <w:left w:val="nil"/>
              <w:bottom w:val="nil"/>
              <w:right w:val="nil"/>
            </w:tcBorders>
            <w:shd w:val="clear" w:color="auto" w:fill="auto"/>
            <w:noWrap/>
            <w:vAlign w:val="bottom"/>
            <w:hideMark/>
          </w:tcPr>
          <w:p w14:paraId="297506BC"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Property, plant and equipment </w:t>
            </w:r>
          </w:p>
        </w:tc>
        <w:bookmarkStart w:id="28" w:name="RANGE!B14"/>
        <w:tc>
          <w:tcPr>
            <w:tcW w:w="1107" w:type="dxa"/>
            <w:tcBorders>
              <w:top w:val="nil"/>
              <w:left w:val="nil"/>
              <w:bottom w:val="nil"/>
              <w:right w:val="nil"/>
            </w:tcBorders>
            <w:shd w:val="clear" w:color="auto" w:fill="auto"/>
            <w:noWrap/>
            <w:vAlign w:val="bottom"/>
            <w:hideMark/>
          </w:tcPr>
          <w:p w14:paraId="099020F5" w14:textId="77777777" w:rsidR="00B9311E" w:rsidRPr="00BD77D8" w:rsidRDefault="00B9311E" w:rsidP="00B9311E">
            <w:pPr>
              <w:spacing w:after="0" w:line="240" w:lineRule="auto"/>
              <w:jc w:val="center"/>
              <w:rPr>
                <w:rFonts w:eastAsia="PMingLiU"/>
                <w:b/>
                <w:bCs/>
                <w:sz w:val="18"/>
                <w:szCs w:val="22"/>
                <w:lang w:eastAsia="en-US"/>
              </w:rPr>
            </w:pPr>
            <w:r w:rsidRPr="00BD77D8">
              <w:rPr>
                <w:rFonts w:eastAsia="PMingLiU"/>
                <w:b/>
                <w:bCs/>
                <w:sz w:val="18"/>
                <w:szCs w:val="22"/>
                <w:lang w:eastAsia="en-US"/>
              </w:rPr>
              <w:fldChar w:fldCharType="begin"/>
            </w:r>
            <w:r w:rsidRPr="00BD77D8">
              <w:rPr>
                <w:rFonts w:eastAsia="PMingLiU"/>
                <w:b/>
                <w:bCs/>
                <w:sz w:val="18"/>
                <w:szCs w:val="22"/>
                <w:lang w:eastAsia="en-US"/>
              </w:rPr>
              <w:instrText xml:space="preserve"> HYPERLINK "file:///C:\\Users\\lzwelsh\\AppData\\Local\\Microsoft\\Windows\\INetCache\\Content.MSO\\EE9A0631.xlsx" \l "'Note C4-1'!A4" </w:instrText>
            </w:r>
            <w:r w:rsidRPr="00BD77D8">
              <w:rPr>
                <w:rFonts w:eastAsia="PMingLiU"/>
                <w:b/>
                <w:bCs/>
                <w:sz w:val="18"/>
                <w:szCs w:val="22"/>
                <w:lang w:eastAsia="en-US"/>
              </w:rPr>
              <w:fldChar w:fldCharType="separate"/>
            </w:r>
            <w:r w:rsidRPr="00BD77D8">
              <w:rPr>
                <w:rFonts w:eastAsia="PMingLiU"/>
                <w:b/>
                <w:bCs/>
                <w:sz w:val="18"/>
                <w:szCs w:val="22"/>
                <w:lang w:eastAsia="en-US"/>
              </w:rPr>
              <w:t>C4</w:t>
            </w:r>
            <w:r w:rsidRPr="00BD77D8">
              <w:rPr>
                <w:rFonts w:eastAsia="PMingLiU"/>
                <w:b/>
                <w:bCs/>
                <w:sz w:val="18"/>
                <w:szCs w:val="22"/>
                <w:lang w:eastAsia="en-US"/>
              </w:rPr>
              <w:fldChar w:fldCharType="end"/>
            </w:r>
            <w:bookmarkEnd w:id="28"/>
          </w:p>
        </w:tc>
        <w:tc>
          <w:tcPr>
            <w:tcW w:w="1372" w:type="dxa"/>
            <w:tcBorders>
              <w:top w:val="nil"/>
              <w:left w:val="nil"/>
              <w:bottom w:val="nil"/>
              <w:right w:val="nil"/>
            </w:tcBorders>
            <w:shd w:val="clear" w:color="auto" w:fill="auto"/>
            <w:vAlign w:val="bottom"/>
            <w:hideMark/>
          </w:tcPr>
          <w:p w14:paraId="794D157E" w14:textId="77777777" w:rsidR="00B9311E" w:rsidRPr="00BD77D8" w:rsidRDefault="00B9311E" w:rsidP="00B9311E">
            <w:pPr>
              <w:spacing w:after="0" w:line="240" w:lineRule="auto"/>
              <w:jc w:val="right"/>
              <w:rPr>
                <w:b/>
                <w:bCs/>
                <w:sz w:val="18"/>
                <w:szCs w:val="18"/>
              </w:rPr>
            </w:pPr>
            <w:r w:rsidRPr="00BD77D8">
              <w:rPr>
                <w:b/>
                <w:bCs/>
                <w:sz w:val="18"/>
                <w:szCs w:val="18"/>
              </w:rPr>
              <w:t xml:space="preserve">      205,173 </w:t>
            </w:r>
          </w:p>
        </w:tc>
        <w:tc>
          <w:tcPr>
            <w:tcW w:w="1287" w:type="dxa"/>
            <w:tcBorders>
              <w:top w:val="nil"/>
              <w:left w:val="nil"/>
              <w:bottom w:val="nil"/>
              <w:right w:val="nil"/>
            </w:tcBorders>
            <w:shd w:val="clear" w:color="auto" w:fill="auto"/>
            <w:vAlign w:val="bottom"/>
            <w:hideMark/>
          </w:tcPr>
          <w:p w14:paraId="1D3E6F59" w14:textId="77777777" w:rsidR="00B9311E" w:rsidRPr="00BD77D8" w:rsidRDefault="00B9311E" w:rsidP="00B9311E">
            <w:pPr>
              <w:spacing w:after="0" w:line="240" w:lineRule="auto"/>
              <w:jc w:val="right"/>
              <w:rPr>
                <w:sz w:val="18"/>
                <w:szCs w:val="18"/>
              </w:rPr>
            </w:pPr>
            <w:r w:rsidRPr="00BD77D8">
              <w:rPr>
                <w:sz w:val="18"/>
                <w:szCs w:val="18"/>
              </w:rPr>
              <w:t xml:space="preserve">      183,788 </w:t>
            </w:r>
          </w:p>
        </w:tc>
        <w:tc>
          <w:tcPr>
            <w:tcW w:w="1168" w:type="dxa"/>
            <w:tcBorders>
              <w:top w:val="nil"/>
              <w:left w:val="nil"/>
              <w:bottom w:val="nil"/>
              <w:right w:val="nil"/>
            </w:tcBorders>
            <w:shd w:val="clear" w:color="auto" w:fill="auto"/>
            <w:vAlign w:val="bottom"/>
            <w:hideMark/>
          </w:tcPr>
          <w:p w14:paraId="7F426472" w14:textId="77777777" w:rsidR="00B9311E" w:rsidRPr="00BD77D8" w:rsidRDefault="00B9311E" w:rsidP="00B9311E">
            <w:pPr>
              <w:spacing w:after="0" w:line="240" w:lineRule="auto"/>
              <w:jc w:val="right"/>
              <w:rPr>
                <w:sz w:val="18"/>
                <w:szCs w:val="18"/>
              </w:rPr>
            </w:pPr>
            <w:r w:rsidRPr="00BD77D8">
              <w:rPr>
                <w:sz w:val="18"/>
                <w:szCs w:val="18"/>
              </w:rPr>
              <w:t xml:space="preserve">        21,385 </w:t>
            </w:r>
          </w:p>
        </w:tc>
        <w:tc>
          <w:tcPr>
            <w:tcW w:w="1024" w:type="dxa"/>
            <w:tcBorders>
              <w:top w:val="nil"/>
              <w:left w:val="nil"/>
              <w:bottom w:val="nil"/>
              <w:right w:val="nil"/>
            </w:tcBorders>
            <w:shd w:val="clear" w:color="auto" w:fill="auto"/>
            <w:vAlign w:val="bottom"/>
            <w:hideMark/>
          </w:tcPr>
          <w:p w14:paraId="311475AE" w14:textId="77777777" w:rsidR="00B9311E" w:rsidRPr="00BD77D8" w:rsidRDefault="00B9311E" w:rsidP="00B9311E">
            <w:pPr>
              <w:spacing w:after="0" w:line="240" w:lineRule="auto"/>
              <w:jc w:val="right"/>
              <w:rPr>
                <w:sz w:val="18"/>
                <w:szCs w:val="18"/>
              </w:rPr>
            </w:pPr>
            <w:r w:rsidRPr="00BD77D8">
              <w:rPr>
                <w:sz w:val="18"/>
                <w:szCs w:val="18"/>
              </w:rPr>
              <w:t xml:space="preserve">      181,296 </w:t>
            </w:r>
          </w:p>
        </w:tc>
      </w:tr>
      <w:tr w:rsidR="00BD77D8" w:rsidRPr="00BD77D8" w14:paraId="42258C0E" w14:textId="77777777" w:rsidTr="003057FB">
        <w:trPr>
          <w:trHeight w:val="291"/>
        </w:trPr>
        <w:tc>
          <w:tcPr>
            <w:tcW w:w="4467" w:type="dxa"/>
            <w:tcBorders>
              <w:top w:val="nil"/>
              <w:left w:val="nil"/>
              <w:bottom w:val="nil"/>
              <w:right w:val="nil"/>
            </w:tcBorders>
            <w:shd w:val="clear" w:color="auto" w:fill="auto"/>
            <w:noWrap/>
            <w:vAlign w:val="bottom"/>
            <w:hideMark/>
          </w:tcPr>
          <w:p w14:paraId="2DFFB854"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Intangible assets </w:t>
            </w:r>
          </w:p>
        </w:tc>
        <w:tc>
          <w:tcPr>
            <w:tcW w:w="1107" w:type="dxa"/>
            <w:tcBorders>
              <w:top w:val="nil"/>
              <w:left w:val="nil"/>
              <w:bottom w:val="nil"/>
              <w:right w:val="nil"/>
            </w:tcBorders>
            <w:shd w:val="clear" w:color="auto" w:fill="auto"/>
            <w:noWrap/>
            <w:vAlign w:val="bottom"/>
            <w:hideMark/>
          </w:tcPr>
          <w:p w14:paraId="464F2C7B" w14:textId="77777777" w:rsidR="00B9311E" w:rsidRPr="00BD77D8" w:rsidRDefault="0028582B" w:rsidP="00B9311E">
            <w:pPr>
              <w:spacing w:after="0" w:line="240" w:lineRule="auto"/>
              <w:jc w:val="center"/>
              <w:rPr>
                <w:rFonts w:eastAsia="PMingLiU"/>
                <w:b/>
                <w:bCs/>
                <w:sz w:val="18"/>
                <w:szCs w:val="22"/>
                <w:lang w:eastAsia="en-US"/>
              </w:rPr>
            </w:pPr>
            <w:hyperlink r:id="rId20" w:anchor="'Note C5-1'!A5" w:history="1">
              <w:r w:rsidR="00B9311E" w:rsidRPr="00BD77D8">
                <w:rPr>
                  <w:rFonts w:eastAsia="PMingLiU"/>
                  <w:b/>
                  <w:bCs/>
                  <w:sz w:val="18"/>
                  <w:szCs w:val="22"/>
                  <w:lang w:eastAsia="en-US"/>
                </w:rPr>
                <w:t>C5</w:t>
              </w:r>
            </w:hyperlink>
          </w:p>
        </w:tc>
        <w:tc>
          <w:tcPr>
            <w:tcW w:w="1372" w:type="dxa"/>
            <w:tcBorders>
              <w:top w:val="nil"/>
              <w:left w:val="nil"/>
              <w:bottom w:val="nil"/>
              <w:right w:val="nil"/>
            </w:tcBorders>
            <w:shd w:val="clear" w:color="auto" w:fill="auto"/>
            <w:vAlign w:val="bottom"/>
            <w:hideMark/>
          </w:tcPr>
          <w:p w14:paraId="666A4CD6" w14:textId="77777777" w:rsidR="00B9311E" w:rsidRPr="00BD77D8" w:rsidRDefault="00B9311E" w:rsidP="00B9311E">
            <w:pPr>
              <w:spacing w:after="0" w:line="240" w:lineRule="auto"/>
              <w:jc w:val="right"/>
              <w:rPr>
                <w:b/>
                <w:bCs/>
                <w:sz w:val="18"/>
                <w:szCs w:val="18"/>
              </w:rPr>
            </w:pPr>
            <w:r w:rsidRPr="00BD77D8">
              <w:rPr>
                <w:b/>
                <w:bCs/>
                <w:sz w:val="18"/>
                <w:szCs w:val="18"/>
              </w:rPr>
              <w:t xml:space="preserve">              438 </w:t>
            </w:r>
          </w:p>
        </w:tc>
        <w:tc>
          <w:tcPr>
            <w:tcW w:w="1287" w:type="dxa"/>
            <w:tcBorders>
              <w:top w:val="nil"/>
              <w:left w:val="nil"/>
              <w:bottom w:val="nil"/>
              <w:right w:val="nil"/>
            </w:tcBorders>
            <w:shd w:val="clear" w:color="auto" w:fill="auto"/>
            <w:vAlign w:val="bottom"/>
            <w:hideMark/>
          </w:tcPr>
          <w:p w14:paraId="1712AC00" w14:textId="77777777" w:rsidR="00B9311E" w:rsidRPr="00BD77D8" w:rsidRDefault="00B9311E" w:rsidP="00B9311E">
            <w:pPr>
              <w:spacing w:after="0" w:line="240" w:lineRule="auto"/>
              <w:jc w:val="right"/>
              <w:rPr>
                <w:sz w:val="18"/>
                <w:szCs w:val="18"/>
              </w:rPr>
            </w:pPr>
            <w:r w:rsidRPr="00BD77D8">
              <w:rPr>
                <w:sz w:val="18"/>
                <w:szCs w:val="18"/>
              </w:rPr>
              <w:t xml:space="preserve">          1,261 </w:t>
            </w:r>
          </w:p>
        </w:tc>
        <w:tc>
          <w:tcPr>
            <w:tcW w:w="1168" w:type="dxa"/>
            <w:tcBorders>
              <w:top w:val="nil"/>
              <w:left w:val="nil"/>
              <w:bottom w:val="nil"/>
              <w:right w:val="nil"/>
            </w:tcBorders>
            <w:shd w:val="clear" w:color="auto" w:fill="auto"/>
            <w:vAlign w:val="bottom"/>
            <w:hideMark/>
          </w:tcPr>
          <w:p w14:paraId="425D31F3" w14:textId="77777777" w:rsidR="00B9311E" w:rsidRPr="00BD77D8" w:rsidRDefault="00B9311E" w:rsidP="00B9311E">
            <w:pPr>
              <w:spacing w:after="0" w:line="240" w:lineRule="auto"/>
              <w:jc w:val="right"/>
              <w:rPr>
                <w:sz w:val="18"/>
                <w:szCs w:val="18"/>
              </w:rPr>
            </w:pPr>
            <w:r w:rsidRPr="00BD77D8">
              <w:rPr>
                <w:sz w:val="18"/>
                <w:szCs w:val="18"/>
              </w:rPr>
              <w:t xml:space="preserve">            (823)</w:t>
            </w:r>
          </w:p>
        </w:tc>
        <w:tc>
          <w:tcPr>
            <w:tcW w:w="1024" w:type="dxa"/>
            <w:tcBorders>
              <w:top w:val="nil"/>
              <w:left w:val="nil"/>
              <w:bottom w:val="nil"/>
              <w:right w:val="nil"/>
            </w:tcBorders>
            <w:shd w:val="clear" w:color="auto" w:fill="auto"/>
            <w:vAlign w:val="bottom"/>
            <w:hideMark/>
          </w:tcPr>
          <w:p w14:paraId="0C5208BA" w14:textId="77777777" w:rsidR="00B9311E" w:rsidRPr="00BD77D8" w:rsidRDefault="00B9311E" w:rsidP="00B9311E">
            <w:pPr>
              <w:spacing w:after="0" w:line="240" w:lineRule="auto"/>
              <w:jc w:val="right"/>
              <w:rPr>
                <w:sz w:val="18"/>
                <w:szCs w:val="18"/>
              </w:rPr>
            </w:pPr>
            <w:r w:rsidRPr="00BD77D8">
              <w:rPr>
                <w:sz w:val="18"/>
                <w:szCs w:val="18"/>
              </w:rPr>
              <w:t xml:space="preserve">              609 </w:t>
            </w:r>
          </w:p>
        </w:tc>
      </w:tr>
      <w:tr w:rsidR="00BD77D8" w:rsidRPr="00BD77D8" w14:paraId="58E24EEF" w14:textId="77777777" w:rsidTr="003057FB">
        <w:trPr>
          <w:trHeight w:val="307"/>
        </w:trPr>
        <w:tc>
          <w:tcPr>
            <w:tcW w:w="4467" w:type="dxa"/>
            <w:tcBorders>
              <w:top w:val="nil"/>
              <w:left w:val="nil"/>
              <w:bottom w:val="nil"/>
              <w:right w:val="nil"/>
            </w:tcBorders>
            <w:shd w:val="clear" w:color="auto" w:fill="auto"/>
            <w:noWrap/>
            <w:vAlign w:val="bottom"/>
            <w:hideMark/>
          </w:tcPr>
          <w:p w14:paraId="357ACFAD" w14:textId="77777777" w:rsidR="00B9311E" w:rsidRPr="00BD77D8" w:rsidRDefault="00B9311E" w:rsidP="00B9311E">
            <w:pPr>
              <w:spacing w:after="0" w:line="240" w:lineRule="auto"/>
              <w:rPr>
                <w:b/>
                <w:bCs/>
                <w:sz w:val="18"/>
                <w:szCs w:val="18"/>
              </w:rPr>
            </w:pPr>
            <w:r w:rsidRPr="00BD77D8">
              <w:rPr>
                <w:b/>
                <w:bCs/>
                <w:sz w:val="18"/>
                <w:szCs w:val="18"/>
              </w:rPr>
              <w:t xml:space="preserve"> Total Non-Current Assets </w:t>
            </w:r>
          </w:p>
        </w:tc>
        <w:tc>
          <w:tcPr>
            <w:tcW w:w="1107" w:type="dxa"/>
            <w:tcBorders>
              <w:top w:val="nil"/>
              <w:left w:val="nil"/>
              <w:bottom w:val="nil"/>
              <w:right w:val="nil"/>
            </w:tcBorders>
            <w:shd w:val="clear" w:color="auto" w:fill="auto"/>
            <w:noWrap/>
            <w:vAlign w:val="bottom"/>
            <w:hideMark/>
          </w:tcPr>
          <w:p w14:paraId="437DEA7A" w14:textId="77777777" w:rsidR="00B9311E" w:rsidRPr="00BD77D8" w:rsidRDefault="00B9311E" w:rsidP="00B9311E">
            <w:pPr>
              <w:spacing w:after="0" w:line="240" w:lineRule="auto"/>
              <w:rPr>
                <w:b/>
                <w:bCs/>
                <w:sz w:val="18"/>
                <w:szCs w:val="18"/>
              </w:rPr>
            </w:pPr>
          </w:p>
        </w:tc>
        <w:tc>
          <w:tcPr>
            <w:tcW w:w="1372" w:type="dxa"/>
            <w:tcBorders>
              <w:top w:val="single" w:sz="4" w:space="0" w:color="auto"/>
              <w:left w:val="nil"/>
              <w:bottom w:val="single" w:sz="4" w:space="0" w:color="auto"/>
              <w:right w:val="nil"/>
            </w:tcBorders>
            <w:shd w:val="clear" w:color="auto" w:fill="auto"/>
            <w:vAlign w:val="bottom"/>
            <w:hideMark/>
          </w:tcPr>
          <w:p w14:paraId="509920DD" w14:textId="77777777" w:rsidR="00B9311E" w:rsidRPr="00BD77D8" w:rsidRDefault="00B9311E" w:rsidP="00B9311E">
            <w:pPr>
              <w:spacing w:after="0" w:line="240" w:lineRule="auto"/>
              <w:jc w:val="right"/>
              <w:rPr>
                <w:b/>
                <w:bCs/>
                <w:sz w:val="18"/>
                <w:szCs w:val="18"/>
              </w:rPr>
            </w:pPr>
            <w:r w:rsidRPr="00BD77D8">
              <w:rPr>
                <w:b/>
                <w:bCs/>
                <w:sz w:val="18"/>
                <w:szCs w:val="18"/>
              </w:rPr>
              <w:t xml:space="preserve">      205,611 </w:t>
            </w:r>
          </w:p>
        </w:tc>
        <w:tc>
          <w:tcPr>
            <w:tcW w:w="1287" w:type="dxa"/>
            <w:tcBorders>
              <w:top w:val="single" w:sz="4" w:space="0" w:color="auto"/>
              <w:left w:val="nil"/>
              <w:bottom w:val="single" w:sz="4" w:space="0" w:color="auto"/>
              <w:right w:val="nil"/>
            </w:tcBorders>
            <w:shd w:val="clear" w:color="auto" w:fill="auto"/>
            <w:vAlign w:val="bottom"/>
            <w:hideMark/>
          </w:tcPr>
          <w:p w14:paraId="1D8E9042" w14:textId="77777777" w:rsidR="00B9311E" w:rsidRPr="00BD77D8" w:rsidRDefault="00B9311E" w:rsidP="00B9311E">
            <w:pPr>
              <w:spacing w:after="0" w:line="240" w:lineRule="auto"/>
              <w:jc w:val="right"/>
              <w:rPr>
                <w:b/>
                <w:bCs/>
                <w:sz w:val="18"/>
                <w:szCs w:val="18"/>
              </w:rPr>
            </w:pPr>
            <w:r w:rsidRPr="00BD77D8">
              <w:rPr>
                <w:b/>
                <w:bCs/>
                <w:sz w:val="18"/>
                <w:szCs w:val="18"/>
              </w:rPr>
              <w:t xml:space="preserve">      185,049 </w:t>
            </w:r>
          </w:p>
        </w:tc>
        <w:tc>
          <w:tcPr>
            <w:tcW w:w="1168" w:type="dxa"/>
            <w:tcBorders>
              <w:top w:val="single" w:sz="4" w:space="0" w:color="auto"/>
              <w:left w:val="nil"/>
              <w:bottom w:val="single" w:sz="4" w:space="0" w:color="auto"/>
              <w:right w:val="nil"/>
            </w:tcBorders>
            <w:shd w:val="clear" w:color="auto" w:fill="auto"/>
            <w:vAlign w:val="bottom"/>
            <w:hideMark/>
          </w:tcPr>
          <w:p w14:paraId="014102E1" w14:textId="77777777" w:rsidR="00B9311E" w:rsidRPr="00BD77D8" w:rsidRDefault="00B9311E" w:rsidP="00B9311E">
            <w:pPr>
              <w:spacing w:after="0" w:line="240" w:lineRule="auto"/>
              <w:jc w:val="right"/>
              <w:rPr>
                <w:b/>
                <w:bCs/>
                <w:sz w:val="18"/>
                <w:szCs w:val="18"/>
              </w:rPr>
            </w:pPr>
            <w:r w:rsidRPr="00BD77D8">
              <w:rPr>
                <w:b/>
                <w:bCs/>
                <w:sz w:val="18"/>
                <w:szCs w:val="18"/>
              </w:rPr>
              <w:t xml:space="preserve">        20,562 </w:t>
            </w:r>
          </w:p>
        </w:tc>
        <w:tc>
          <w:tcPr>
            <w:tcW w:w="1024" w:type="dxa"/>
            <w:tcBorders>
              <w:top w:val="single" w:sz="4" w:space="0" w:color="auto"/>
              <w:left w:val="nil"/>
              <w:bottom w:val="single" w:sz="4" w:space="0" w:color="auto"/>
              <w:right w:val="nil"/>
            </w:tcBorders>
            <w:shd w:val="clear" w:color="auto" w:fill="auto"/>
            <w:vAlign w:val="bottom"/>
            <w:hideMark/>
          </w:tcPr>
          <w:p w14:paraId="36182F7B" w14:textId="77777777" w:rsidR="00B9311E" w:rsidRPr="00BD77D8" w:rsidRDefault="00B9311E" w:rsidP="00B9311E">
            <w:pPr>
              <w:spacing w:after="0" w:line="240" w:lineRule="auto"/>
              <w:jc w:val="right"/>
              <w:rPr>
                <w:b/>
                <w:bCs/>
                <w:sz w:val="18"/>
                <w:szCs w:val="18"/>
              </w:rPr>
            </w:pPr>
            <w:r w:rsidRPr="00BD77D8">
              <w:rPr>
                <w:b/>
                <w:bCs/>
                <w:sz w:val="18"/>
                <w:szCs w:val="18"/>
              </w:rPr>
              <w:t xml:space="preserve">      181,905 </w:t>
            </w:r>
          </w:p>
        </w:tc>
      </w:tr>
      <w:tr w:rsidR="00BD77D8" w:rsidRPr="00BD77D8" w14:paraId="121F14B1" w14:textId="77777777" w:rsidTr="003057FB">
        <w:trPr>
          <w:trHeight w:val="291"/>
        </w:trPr>
        <w:tc>
          <w:tcPr>
            <w:tcW w:w="4467" w:type="dxa"/>
            <w:tcBorders>
              <w:top w:val="nil"/>
              <w:left w:val="nil"/>
              <w:bottom w:val="nil"/>
              <w:right w:val="nil"/>
            </w:tcBorders>
            <w:shd w:val="clear" w:color="auto" w:fill="auto"/>
            <w:noWrap/>
            <w:vAlign w:val="bottom"/>
            <w:hideMark/>
          </w:tcPr>
          <w:p w14:paraId="7CFB168A" w14:textId="77777777" w:rsidR="00B9311E" w:rsidRPr="00BD77D8" w:rsidRDefault="00B9311E" w:rsidP="00B9311E">
            <w:pPr>
              <w:spacing w:after="0" w:line="240" w:lineRule="auto"/>
              <w:rPr>
                <w:b/>
                <w:bCs/>
                <w:sz w:val="18"/>
                <w:szCs w:val="18"/>
              </w:rPr>
            </w:pPr>
            <w:r w:rsidRPr="00BD77D8">
              <w:rPr>
                <w:b/>
                <w:bCs/>
                <w:sz w:val="18"/>
                <w:szCs w:val="18"/>
              </w:rPr>
              <w:t xml:space="preserve"> Total Assets </w:t>
            </w:r>
          </w:p>
        </w:tc>
        <w:tc>
          <w:tcPr>
            <w:tcW w:w="1107" w:type="dxa"/>
            <w:tcBorders>
              <w:top w:val="nil"/>
              <w:left w:val="nil"/>
              <w:bottom w:val="nil"/>
              <w:right w:val="nil"/>
            </w:tcBorders>
            <w:shd w:val="clear" w:color="auto" w:fill="auto"/>
            <w:noWrap/>
            <w:vAlign w:val="bottom"/>
            <w:hideMark/>
          </w:tcPr>
          <w:p w14:paraId="479CA5AB" w14:textId="77777777" w:rsidR="00B9311E" w:rsidRPr="00BD77D8" w:rsidRDefault="00B9311E" w:rsidP="00B9311E">
            <w:pPr>
              <w:spacing w:after="0" w:line="240" w:lineRule="auto"/>
              <w:rPr>
                <w:b/>
                <w:bCs/>
                <w:sz w:val="18"/>
                <w:szCs w:val="18"/>
              </w:rPr>
            </w:pPr>
          </w:p>
        </w:tc>
        <w:tc>
          <w:tcPr>
            <w:tcW w:w="1372" w:type="dxa"/>
            <w:tcBorders>
              <w:top w:val="nil"/>
              <w:left w:val="nil"/>
              <w:bottom w:val="single" w:sz="4" w:space="0" w:color="auto"/>
              <w:right w:val="nil"/>
            </w:tcBorders>
            <w:shd w:val="clear" w:color="auto" w:fill="auto"/>
            <w:vAlign w:val="bottom"/>
            <w:hideMark/>
          </w:tcPr>
          <w:p w14:paraId="5F8C5C93" w14:textId="77777777" w:rsidR="00B9311E" w:rsidRPr="00BD77D8" w:rsidRDefault="00B9311E" w:rsidP="00B9311E">
            <w:pPr>
              <w:spacing w:after="0" w:line="240" w:lineRule="auto"/>
              <w:jc w:val="right"/>
              <w:rPr>
                <w:b/>
                <w:bCs/>
                <w:sz w:val="18"/>
                <w:szCs w:val="18"/>
              </w:rPr>
            </w:pPr>
            <w:r w:rsidRPr="00BD77D8">
              <w:rPr>
                <w:b/>
                <w:bCs/>
                <w:sz w:val="18"/>
                <w:szCs w:val="18"/>
              </w:rPr>
              <w:t xml:space="preserve">      265,988 </w:t>
            </w:r>
          </w:p>
        </w:tc>
        <w:tc>
          <w:tcPr>
            <w:tcW w:w="1287" w:type="dxa"/>
            <w:tcBorders>
              <w:top w:val="nil"/>
              <w:left w:val="nil"/>
              <w:bottom w:val="single" w:sz="4" w:space="0" w:color="auto"/>
              <w:right w:val="nil"/>
            </w:tcBorders>
            <w:shd w:val="clear" w:color="auto" w:fill="auto"/>
            <w:vAlign w:val="bottom"/>
            <w:hideMark/>
          </w:tcPr>
          <w:p w14:paraId="26C849DF" w14:textId="77777777" w:rsidR="00B9311E" w:rsidRPr="00BD77D8" w:rsidRDefault="00B9311E" w:rsidP="00B9311E">
            <w:pPr>
              <w:spacing w:after="0" w:line="240" w:lineRule="auto"/>
              <w:jc w:val="right"/>
              <w:rPr>
                <w:b/>
                <w:bCs/>
                <w:sz w:val="18"/>
                <w:szCs w:val="18"/>
              </w:rPr>
            </w:pPr>
            <w:r w:rsidRPr="00BD77D8">
              <w:rPr>
                <w:b/>
                <w:bCs/>
                <w:sz w:val="18"/>
                <w:szCs w:val="18"/>
              </w:rPr>
              <w:t xml:space="preserve">      216,296 </w:t>
            </w:r>
          </w:p>
        </w:tc>
        <w:tc>
          <w:tcPr>
            <w:tcW w:w="1168" w:type="dxa"/>
            <w:tcBorders>
              <w:top w:val="nil"/>
              <w:left w:val="nil"/>
              <w:bottom w:val="single" w:sz="4" w:space="0" w:color="auto"/>
              <w:right w:val="nil"/>
            </w:tcBorders>
            <w:shd w:val="clear" w:color="auto" w:fill="auto"/>
            <w:vAlign w:val="bottom"/>
            <w:hideMark/>
          </w:tcPr>
          <w:p w14:paraId="6CC6BB03" w14:textId="77777777" w:rsidR="00B9311E" w:rsidRPr="00BD77D8" w:rsidRDefault="00B9311E" w:rsidP="00B9311E">
            <w:pPr>
              <w:spacing w:after="0" w:line="240" w:lineRule="auto"/>
              <w:jc w:val="right"/>
              <w:rPr>
                <w:b/>
                <w:bCs/>
                <w:sz w:val="18"/>
                <w:szCs w:val="18"/>
              </w:rPr>
            </w:pPr>
            <w:r w:rsidRPr="00BD77D8">
              <w:rPr>
                <w:b/>
                <w:bCs/>
                <w:sz w:val="18"/>
                <w:szCs w:val="18"/>
              </w:rPr>
              <w:t xml:space="preserve">        49,692 </w:t>
            </w:r>
          </w:p>
        </w:tc>
        <w:tc>
          <w:tcPr>
            <w:tcW w:w="1024" w:type="dxa"/>
            <w:tcBorders>
              <w:top w:val="nil"/>
              <w:left w:val="nil"/>
              <w:bottom w:val="single" w:sz="4" w:space="0" w:color="auto"/>
              <w:right w:val="nil"/>
            </w:tcBorders>
            <w:shd w:val="clear" w:color="auto" w:fill="auto"/>
            <w:vAlign w:val="bottom"/>
            <w:hideMark/>
          </w:tcPr>
          <w:p w14:paraId="1F015B7A" w14:textId="77777777" w:rsidR="00B9311E" w:rsidRPr="00BD77D8" w:rsidRDefault="00B9311E" w:rsidP="00B9311E">
            <w:pPr>
              <w:spacing w:after="0" w:line="240" w:lineRule="auto"/>
              <w:jc w:val="right"/>
              <w:rPr>
                <w:b/>
                <w:bCs/>
                <w:sz w:val="18"/>
                <w:szCs w:val="18"/>
              </w:rPr>
            </w:pPr>
            <w:r w:rsidRPr="00BD77D8">
              <w:rPr>
                <w:b/>
                <w:bCs/>
                <w:sz w:val="18"/>
                <w:szCs w:val="18"/>
              </w:rPr>
              <w:t xml:space="preserve">      244,528 </w:t>
            </w:r>
          </w:p>
        </w:tc>
      </w:tr>
      <w:tr w:rsidR="00BD77D8" w:rsidRPr="00BD77D8" w14:paraId="30E62DFE" w14:textId="77777777" w:rsidTr="003057FB">
        <w:trPr>
          <w:trHeight w:val="291"/>
        </w:trPr>
        <w:tc>
          <w:tcPr>
            <w:tcW w:w="4467" w:type="dxa"/>
            <w:tcBorders>
              <w:top w:val="nil"/>
              <w:left w:val="nil"/>
              <w:bottom w:val="nil"/>
              <w:right w:val="nil"/>
            </w:tcBorders>
            <w:shd w:val="clear" w:color="auto" w:fill="auto"/>
            <w:noWrap/>
            <w:vAlign w:val="bottom"/>
            <w:hideMark/>
          </w:tcPr>
          <w:p w14:paraId="4D6974B6" w14:textId="77777777" w:rsidR="00B9311E" w:rsidRPr="00BD77D8" w:rsidRDefault="00B9311E" w:rsidP="00B9311E">
            <w:pPr>
              <w:spacing w:after="0" w:line="240" w:lineRule="auto"/>
              <w:rPr>
                <w:b/>
                <w:bCs/>
                <w:sz w:val="18"/>
                <w:szCs w:val="18"/>
              </w:rPr>
            </w:pPr>
            <w:r w:rsidRPr="00BD77D8">
              <w:rPr>
                <w:b/>
                <w:bCs/>
                <w:sz w:val="18"/>
                <w:szCs w:val="18"/>
              </w:rPr>
              <w:t xml:space="preserve"> Current Liabilities </w:t>
            </w:r>
          </w:p>
        </w:tc>
        <w:tc>
          <w:tcPr>
            <w:tcW w:w="1107" w:type="dxa"/>
            <w:tcBorders>
              <w:top w:val="nil"/>
              <w:left w:val="nil"/>
              <w:bottom w:val="nil"/>
              <w:right w:val="nil"/>
            </w:tcBorders>
            <w:shd w:val="clear" w:color="auto" w:fill="auto"/>
            <w:noWrap/>
            <w:vAlign w:val="bottom"/>
            <w:hideMark/>
          </w:tcPr>
          <w:p w14:paraId="61AF3C9D" w14:textId="77777777" w:rsidR="00B9311E" w:rsidRPr="00BD77D8" w:rsidRDefault="00B9311E" w:rsidP="00B9311E">
            <w:pPr>
              <w:spacing w:after="0" w:line="240" w:lineRule="auto"/>
              <w:rPr>
                <w:b/>
                <w:bCs/>
                <w:sz w:val="18"/>
                <w:szCs w:val="18"/>
              </w:rPr>
            </w:pPr>
          </w:p>
        </w:tc>
        <w:tc>
          <w:tcPr>
            <w:tcW w:w="1372" w:type="dxa"/>
            <w:tcBorders>
              <w:top w:val="nil"/>
              <w:left w:val="nil"/>
              <w:bottom w:val="nil"/>
              <w:right w:val="nil"/>
            </w:tcBorders>
            <w:shd w:val="clear" w:color="auto" w:fill="auto"/>
            <w:vAlign w:val="bottom"/>
            <w:hideMark/>
          </w:tcPr>
          <w:p w14:paraId="1AB52C5A"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87" w:type="dxa"/>
            <w:tcBorders>
              <w:top w:val="nil"/>
              <w:left w:val="nil"/>
              <w:bottom w:val="nil"/>
              <w:right w:val="nil"/>
            </w:tcBorders>
            <w:shd w:val="clear" w:color="auto" w:fill="auto"/>
            <w:vAlign w:val="bottom"/>
            <w:hideMark/>
          </w:tcPr>
          <w:p w14:paraId="33733FF4"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168" w:type="dxa"/>
            <w:tcBorders>
              <w:top w:val="nil"/>
              <w:left w:val="nil"/>
              <w:bottom w:val="nil"/>
              <w:right w:val="nil"/>
            </w:tcBorders>
            <w:shd w:val="clear" w:color="auto" w:fill="auto"/>
            <w:vAlign w:val="bottom"/>
            <w:hideMark/>
          </w:tcPr>
          <w:p w14:paraId="67694383"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024" w:type="dxa"/>
            <w:tcBorders>
              <w:top w:val="nil"/>
              <w:left w:val="nil"/>
              <w:bottom w:val="nil"/>
              <w:right w:val="nil"/>
            </w:tcBorders>
            <w:shd w:val="clear" w:color="auto" w:fill="auto"/>
            <w:vAlign w:val="bottom"/>
            <w:hideMark/>
          </w:tcPr>
          <w:p w14:paraId="4C4FEA8E"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682E46B5" w14:textId="77777777" w:rsidTr="003057FB">
        <w:trPr>
          <w:trHeight w:val="291"/>
        </w:trPr>
        <w:tc>
          <w:tcPr>
            <w:tcW w:w="4467" w:type="dxa"/>
            <w:tcBorders>
              <w:top w:val="nil"/>
              <w:left w:val="nil"/>
              <w:bottom w:val="nil"/>
              <w:right w:val="nil"/>
            </w:tcBorders>
            <w:shd w:val="clear" w:color="auto" w:fill="auto"/>
            <w:noWrap/>
            <w:vAlign w:val="bottom"/>
            <w:hideMark/>
          </w:tcPr>
          <w:p w14:paraId="097F2C0A"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Payables </w:t>
            </w:r>
          </w:p>
        </w:tc>
        <w:tc>
          <w:tcPr>
            <w:tcW w:w="1107" w:type="dxa"/>
            <w:tcBorders>
              <w:top w:val="nil"/>
              <w:left w:val="nil"/>
              <w:bottom w:val="nil"/>
              <w:right w:val="nil"/>
            </w:tcBorders>
            <w:shd w:val="clear" w:color="auto" w:fill="auto"/>
            <w:noWrap/>
            <w:vAlign w:val="bottom"/>
            <w:hideMark/>
          </w:tcPr>
          <w:p w14:paraId="6EC92909" w14:textId="77777777" w:rsidR="00B9311E" w:rsidRPr="00BD77D8" w:rsidRDefault="0028582B" w:rsidP="00B9311E">
            <w:pPr>
              <w:spacing w:after="0" w:line="240" w:lineRule="auto"/>
              <w:jc w:val="center"/>
              <w:rPr>
                <w:rFonts w:eastAsia="PMingLiU"/>
                <w:b/>
                <w:bCs/>
                <w:sz w:val="18"/>
                <w:szCs w:val="22"/>
                <w:lang w:eastAsia="en-US"/>
              </w:rPr>
            </w:pPr>
            <w:hyperlink r:id="rId21" w:anchor="'Note C6'!A5" w:history="1">
              <w:r w:rsidR="00B9311E" w:rsidRPr="00BD77D8">
                <w:rPr>
                  <w:rFonts w:eastAsia="PMingLiU"/>
                  <w:b/>
                  <w:bCs/>
                  <w:sz w:val="18"/>
                  <w:szCs w:val="22"/>
                  <w:lang w:eastAsia="en-US"/>
                </w:rPr>
                <w:t>C6</w:t>
              </w:r>
            </w:hyperlink>
          </w:p>
        </w:tc>
        <w:tc>
          <w:tcPr>
            <w:tcW w:w="1372" w:type="dxa"/>
            <w:tcBorders>
              <w:top w:val="nil"/>
              <w:left w:val="nil"/>
              <w:bottom w:val="nil"/>
              <w:right w:val="nil"/>
            </w:tcBorders>
            <w:shd w:val="clear" w:color="auto" w:fill="auto"/>
            <w:vAlign w:val="bottom"/>
            <w:hideMark/>
          </w:tcPr>
          <w:p w14:paraId="36384152" w14:textId="77777777" w:rsidR="00B9311E" w:rsidRPr="00BD77D8" w:rsidRDefault="00B9311E" w:rsidP="00B9311E">
            <w:pPr>
              <w:spacing w:after="0" w:line="240" w:lineRule="auto"/>
              <w:jc w:val="right"/>
              <w:rPr>
                <w:b/>
                <w:bCs/>
                <w:sz w:val="18"/>
                <w:szCs w:val="18"/>
              </w:rPr>
            </w:pPr>
            <w:r w:rsidRPr="00BD77D8">
              <w:rPr>
                <w:b/>
                <w:bCs/>
                <w:sz w:val="18"/>
                <w:szCs w:val="18"/>
              </w:rPr>
              <w:t xml:space="preserve">        26,482 </w:t>
            </w:r>
          </w:p>
        </w:tc>
        <w:tc>
          <w:tcPr>
            <w:tcW w:w="1287" w:type="dxa"/>
            <w:tcBorders>
              <w:top w:val="nil"/>
              <w:left w:val="nil"/>
              <w:bottom w:val="nil"/>
              <w:right w:val="nil"/>
            </w:tcBorders>
            <w:shd w:val="clear" w:color="auto" w:fill="auto"/>
            <w:vAlign w:val="bottom"/>
            <w:hideMark/>
          </w:tcPr>
          <w:p w14:paraId="272EB4CB" w14:textId="77777777" w:rsidR="00B9311E" w:rsidRPr="00BD77D8" w:rsidRDefault="00B9311E" w:rsidP="00B9311E">
            <w:pPr>
              <w:spacing w:after="0" w:line="240" w:lineRule="auto"/>
              <w:jc w:val="right"/>
              <w:rPr>
                <w:sz w:val="18"/>
                <w:szCs w:val="18"/>
              </w:rPr>
            </w:pPr>
            <w:r w:rsidRPr="00BD77D8">
              <w:rPr>
                <w:sz w:val="18"/>
                <w:szCs w:val="18"/>
              </w:rPr>
              <w:t xml:space="preserve">          4,390 </w:t>
            </w:r>
          </w:p>
        </w:tc>
        <w:tc>
          <w:tcPr>
            <w:tcW w:w="1168" w:type="dxa"/>
            <w:tcBorders>
              <w:top w:val="nil"/>
              <w:left w:val="nil"/>
              <w:bottom w:val="nil"/>
              <w:right w:val="nil"/>
            </w:tcBorders>
            <w:shd w:val="clear" w:color="auto" w:fill="auto"/>
            <w:vAlign w:val="bottom"/>
            <w:hideMark/>
          </w:tcPr>
          <w:p w14:paraId="45DA8698" w14:textId="77777777" w:rsidR="00B9311E" w:rsidRPr="00BD77D8" w:rsidRDefault="00B9311E" w:rsidP="00B9311E">
            <w:pPr>
              <w:spacing w:after="0" w:line="240" w:lineRule="auto"/>
              <w:jc w:val="right"/>
              <w:rPr>
                <w:sz w:val="18"/>
                <w:szCs w:val="18"/>
              </w:rPr>
            </w:pPr>
            <w:r w:rsidRPr="00BD77D8">
              <w:rPr>
                <w:sz w:val="18"/>
                <w:szCs w:val="18"/>
              </w:rPr>
              <w:t xml:space="preserve">      (22,092)</w:t>
            </w:r>
          </w:p>
        </w:tc>
        <w:tc>
          <w:tcPr>
            <w:tcW w:w="1024" w:type="dxa"/>
            <w:tcBorders>
              <w:top w:val="nil"/>
              <w:left w:val="nil"/>
              <w:bottom w:val="nil"/>
              <w:right w:val="nil"/>
            </w:tcBorders>
            <w:shd w:val="clear" w:color="auto" w:fill="auto"/>
            <w:vAlign w:val="bottom"/>
            <w:hideMark/>
          </w:tcPr>
          <w:p w14:paraId="6B6A4D8F" w14:textId="77777777" w:rsidR="00B9311E" w:rsidRPr="00BD77D8" w:rsidRDefault="00B9311E" w:rsidP="00B9311E">
            <w:pPr>
              <w:spacing w:after="0" w:line="240" w:lineRule="auto"/>
              <w:jc w:val="right"/>
              <w:rPr>
                <w:sz w:val="18"/>
                <w:szCs w:val="18"/>
              </w:rPr>
            </w:pPr>
            <w:r w:rsidRPr="00BD77D8">
              <w:rPr>
                <w:sz w:val="18"/>
                <w:szCs w:val="18"/>
              </w:rPr>
              <w:t xml:space="preserve">        37,926 </w:t>
            </w:r>
          </w:p>
        </w:tc>
      </w:tr>
      <w:tr w:rsidR="00BD77D8" w:rsidRPr="00BD77D8" w14:paraId="0AB9B15D" w14:textId="77777777" w:rsidTr="003057FB">
        <w:trPr>
          <w:trHeight w:val="291"/>
        </w:trPr>
        <w:tc>
          <w:tcPr>
            <w:tcW w:w="4467" w:type="dxa"/>
            <w:tcBorders>
              <w:top w:val="nil"/>
              <w:left w:val="nil"/>
              <w:bottom w:val="nil"/>
              <w:right w:val="nil"/>
            </w:tcBorders>
            <w:shd w:val="clear" w:color="auto" w:fill="auto"/>
            <w:noWrap/>
            <w:vAlign w:val="bottom"/>
            <w:hideMark/>
          </w:tcPr>
          <w:p w14:paraId="525B6CFD"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Accrued employee benefits </w:t>
            </w:r>
          </w:p>
        </w:tc>
        <w:tc>
          <w:tcPr>
            <w:tcW w:w="1107" w:type="dxa"/>
            <w:tcBorders>
              <w:top w:val="nil"/>
              <w:left w:val="nil"/>
              <w:bottom w:val="nil"/>
              <w:right w:val="nil"/>
            </w:tcBorders>
            <w:shd w:val="clear" w:color="auto" w:fill="auto"/>
            <w:noWrap/>
            <w:vAlign w:val="bottom"/>
            <w:hideMark/>
          </w:tcPr>
          <w:p w14:paraId="1870FA95" w14:textId="77777777" w:rsidR="00B9311E" w:rsidRPr="00BD77D8" w:rsidRDefault="0028582B" w:rsidP="00B9311E">
            <w:pPr>
              <w:spacing w:after="0" w:line="240" w:lineRule="auto"/>
              <w:jc w:val="center"/>
              <w:rPr>
                <w:rFonts w:eastAsia="PMingLiU"/>
                <w:b/>
                <w:bCs/>
                <w:sz w:val="18"/>
                <w:szCs w:val="22"/>
                <w:lang w:eastAsia="en-US"/>
              </w:rPr>
            </w:pPr>
            <w:hyperlink r:id="rId22" w:anchor="'Note C7'!A5" w:history="1">
              <w:r w:rsidR="00B9311E" w:rsidRPr="00BD77D8">
                <w:rPr>
                  <w:rFonts w:eastAsia="PMingLiU"/>
                  <w:b/>
                  <w:bCs/>
                  <w:sz w:val="18"/>
                  <w:szCs w:val="22"/>
                  <w:lang w:eastAsia="en-US"/>
                </w:rPr>
                <w:t>C7</w:t>
              </w:r>
            </w:hyperlink>
          </w:p>
        </w:tc>
        <w:tc>
          <w:tcPr>
            <w:tcW w:w="1372" w:type="dxa"/>
            <w:tcBorders>
              <w:top w:val="nil"/>
              <w:left w:val="nil"/>
              <w:bottom w:val="nil"/>
              <w:right w:val="nil"/>
            </w:tcBorders>
            <w:shd w:val="clear" w:color="auto" w:fill="auto"/>
            <w:vAlign w:val="bottom"/>
            <w:hideMark/>
          </w:tcPr>
          <w:p w14:paraId="4149E358" w14:textId="77777777" w:rsidR="00B9311E" w:rsidRPr="00BD77D8" w:rsidRDefault="00B9311E" w:rsidP="00B9311E">
            <w:pPr>
              <w:spacing w:after="0" w:line="240" w:lineRule="auto"/>
              <w:jc w:val="right"/>
              <w:rPr>
                <w:b/>
                <w:bCs/>
                <w:sz w:val="18"/>
                <w:szCs w:val="18"/>
              </w:rPr>
            </w:pPr>
            <w:r w:rsidRPr="00BD77D8">
              <w:rPr>
                <w:b/>
                <w:bCs/>
                <w:sz w:val="18"/>
                <w:szCs w:val="18"/>
              </w:rPr>
              <w:t xml:space="preserve">          9,261 </w:t>
            </w:r>
          </w:p>
        </w:tc>
        <w:tc>
          <w:tcPr>
            <w:tcW w:w="1287" w:type="dxa"/>
            <w:tcBorders>
              <w:top w:val="nil"/>
              <w:left w:val="nil"/>
              <w:bottom w:val="nil"/>
              <w:right w:val="nil"/>
            </w:tcBorders>
            <w:shd w:val="clear" w:color="auto" w:fill="auto"/>
            <w:vAlign w:val="bottom"/>
            <w:hideMark/>
          </w:tcPr>
          <w:p w14:paraId="4AA3902B" w14:textId="77777777" w:rsidR="00B9311E" w:rsidRPr="00BD77D8" w:rsidRDefault="00B9311E" w:rsidP="00B9311E">
            <w:pPr>
              <w:spacing w:after="0" w:line="240" w:lineRule="auto"/>
              <w:jc w:val="right"/>
              <w:rPr>
                <w:sz w:val="18"/>
                <w:szCs w:val="18"/>
              </w:rPr>
            </w:pPr>
            <w:r w:rsidRPr="00BD77D8">
              <w:rPr>
                <w:sz w:val="18"/>
                <w:szCs w:val="18"/>
              </w:rPr>
              <w:t xml:space="preserve">          8,875 </w:t>
            </w:r>
          </w:p>
        </w:tc>
        <w:tc>
          <w:tcPr>
            <w:tcW w:w="1168" w:type="dxa"/>
            <w:tcBorders>
              <w:top w:val="nil"/>
              <w:left w:val="nil"/>
              <w:bottom w:val="nil"/>
              <w:right w:val="nil"/>
            </w:tcBorders>
            <w:shd w:val="clear" w:color="auto" w:fill="auto"/>
            <w:vAlign w:val="bottom"/>
            <w:hideMark/>
          </w:tcPr>
          <w:p w14:paraId="7FDE9C5B" w14:textId="77777777" w:rsidR="00B9311E" w:rsidRPr="00BD77D8" w:rsidRDefault="00B9311E" w:rsidP="00B9311E">
            <w:pPr>
              <w:spacing w:after="0" w:line="240" w:lineRule="auto"/>
              <w:jc w:val="right"/>
              <w:rPr>
                <w:sz w:val="18"/>
                <w:szCs w:val="18"/>
              </w:rPr>
            </w:pPr>
            <w:r w:rsidRPr="00BD77D8">
              <w:rPr>
                <w:sz w:val="18"/>
                <w:szCs w:val="18"/>
              </w:rPr>
              <w:t xml:space="preserve">            (386)</w:t>
            </w:r>
          </w:p>
        </w:tc>
        <w:tc>
          <w:tcPr>
            <w:tcW w:w="1024" w:type="dxa"/>
            <w:tcBorders>
              <w:top w:val="nil"/>
              <w:left w:val="nil"/>
              <w:bottom w:val="nil"/>
              <w:right w:val="nil"/>
            </w:tcBorders>
            <w:shd w:val="clear" w:color="auto" w:fill="auto"/>
            <w:vAlign w:val="bottom"/>
            <w:hideMark/>
          </w:tcPr>
          <w:p w14:paraId="1A214DFD" w14:textId="77777777" w:rsidR="00B9311E" w:rsidRPr="00BD77D8" w:rsidRDefault="00B9311E" w:rsidP="00B9311E">
            <w:pPr>
              <w:spacing w:after="0" w:line="240" w:lineRule="auto"/>
              <w:jc w:val="right"/>
              <w:rPr>
                <w:sz w:val="18"/>
                <w:szCs w:val="18"/>
              </w:rPr>
            </w:pPr>
            <w:r w:rsidRPr="00BD77D8">
              <w:rPr>
                <w:sz w:val="18"/>
                <w:szCs w:val="18"/>
              </w:rPr>
              <w:t xml:space="preserve">          8,811 </w:t>
            </w:r>
          </w:p>
        </w:tc>
      </w:tr>
      <w:tr w:rsidR="00BD77D8" w:rsidRPr="00BD77D8" w14:paraId="1B1D3CD9" w14:textId="77777777" w:rsidTr="003057FB">
        <w:trPr>
          <w:trHeight w:val="291"/>
        </w:trPr>
        <w:tc>
          <w:tcPr>
            <w:tcW w:w="4467" w:type="dxa"/>
            <w:tcBorders>
              <w:top w:val="nil"/>
              <w:left w:val="nil"/>
              <w:bottom w:val="nil"/>
              <w:right w:val="nil"/>
            </w:tcBorders>
            <w:shd w:val="clear" w:color="auto" w:fill="auto"/>
            <w:noWrap/>
            <w:vAlign w:val="bottom"/>
            <w:hideMark/>
          </w:tcPr>
          <w:p w14:paraId="10D5F715"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Interest bearing liabilities </w:t>
            </w:r>
          </w:p>
        </w:tc>
        <w:tc>
          <w:tcPr>
            <w:tcW w:w="1107" w:type="dxa"/>
            <w:tcBorders>
              <w:top w:val="nil"/>
              <w:left w:val="nil"/>
              <w:bottom w:val="nil"/>
              <w:right w:val="nil"/>
            </w:tcBorders>
            <w:shd w:val="clear" w:color="auto" w:fill="auto"/>
            <w:noWrap/>
            <w:vAlign w:val="bottom"/>
            <w:hideMark/>
          </w:tcPr>
          <w:p w14:paraId="7B74A03D" w14:textId="77777777" w:rsidR="00B9311E" w:rsidRPr="00BD77D8" w:rsidRDefault="00B9311E" w:rsidP="00B9311E">
            <w:pPr>
              <w:spacing w:after="0" w:line="240" w:lineRule="auto"/>
              <w:ind w:firstLineChars="100" w:firstLine="181"/>
              <w:rPr>
                <w:b/>
                <w:bCs/>
                <w:sz w:val="18"/>
                <w:szCs w:val="18"/>
              </w:rPr>
            </w:pPr>
          </w:p>
        </w:tc>
        <w:tc>
          <w:tcPr>
            <w:tcW w:w="1372" w:type="dxa"/>
            <w:tcBorders>
              <w:top w:val="nil"/>
              <w:left w:val="nil"/>
              <w:bottom w:val="nil"/>
              <w:right w:val="nil"/>
            </w:tcBorders>
            <w:shd w:val="clear" w:color="auto" w:fill="auto"/>
            <w:vAlign w:val="bottom"/>
            <w:hideMark/>
          </w:tcPr>
          <w:p w14:paraId="44344C88"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287" w:type="dxa"/>
            <w:tcBorders>
              <w:top w:val="nil"/>
              <w:left w:val="nil"/>
              <w:bottom w:val="nil"/>
              <w:right w:val="nil"/>
            </w:tcBorders>
            <w:shd w:val="clear" w:color="auto" w:fill="auto"/>
            <w:vAlign w:val="bottom"/>
            <w:hideMark/>
          </w:tcPr>
          <w:p w14:paraId="2568C75D" w14:textId="77777777" w:rsidR="00B9311E" w:rsidRPr="00BD77D8" w:rsidRDefault="00B9311E" w:rsidP="00B9311E">
            <w:pPr>
              <w:spacing w:after="0" w:line="240" w:lineRule="auto"/>
              <w:jc w:val="right"/>
              <w:rPr>
                <w:sz w:val="18"/>
                <w:szCs w:val="18"/>
              </w:rPr>
            </w:pPr>
            <w:r w:rsidRPr="00BD77D8">
              <w:rPr>
                <w:sz w:val="18"/>
                <w:szCs w:val="18"/>
              </w:rPr>
              <w:t xml:space="preserve">                51 </w:t>
            </w:r>
          </w:p>
        </w:tc>
        <w:tc>
          <w:tcPr>
            <w:tcW w:w="1168" w:type="dxa"/>
            <w:tcBorders>
              <w:top w:val="nil"/>
              <w:left w:val="nil"/>
              <w:bottom w:val="nil"/>
              <w:right w:val="nil"/>
            </w:tcBorders>
            <w:shd w:val="clear" w:color="auto" w:fill="auto"/>
            <w:vAlign w:val="bottom"/>
            <w:hideMark/>
          </w:tcPr>
          <w:p w14:paraId="3FB4F8FA" w14:textId="77777777" w:rsidR="00B9311E" w:rsidRPr="00BD77D8" w:rsidRDefault="00B9311E" w:rsidP="00B9311E">
            <w:pPr>
              <w:spacing w:after="0" w:line="240" w:lineRule="auto"/>
              <w:jc w:val="right"/>
              <w:rPr>
                <w:sz w:val="18"/>
                <w:szCs w:val="18"/>
              </w:rPr>
            </w:pPr>
            <w:r w:rsidRPr="00BD77D8">
              <w:rPr>
                <w:sz w:val="18"/>
                <w:szCs w:val="18"/>
              </w:rPr>
              <w:t xml:space="preserve">                51 </w:t>
            </w:r>
          </w:p>
        </w:tc>
        <w:tc>
          <w:tcPr>
            <w:tcW w:w="1024" w:type="dxa"/>
            <w:tcBorders>
              <w:top w:val="nil"/>
              <w:left w:val="nil"/>
              <w:bottom w:val="nil"/>
              <w:right w:val="nil"/>
            </w:tcBorders>
            <w:shd w:val="clear" w:color="auto" w:fill="auto"/>
            <w:vAlign w:val="bottom"/>
            <w:hideMark/>
          </w:tcPr>
          <w:p w14:paraId="1CC05F85"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18D6AB61" w14:textId="77777777" w:rsidTr="003057FB">
        <w:trPr>
          <w:trHeight w:val="291"/>
        </w:trPr>
        <w:tc>
          <w:tcPr>
            <w:tcW w:w="4467" w:type="dxa"/>
            <w:tcBorders>
              <w:top w:val="nil"/>
              <w:left w:val="nil"/>
              <w:bottom w:val="nil"/>
              <w:right w:val="nil"/>
            </w:tcBorders>
            <w:shd w:val="clear" w:color="auto" w:fill="auto"/>
            <w:noWrap/>
            <w:vAlign w:val="bottom"/>
            <w:hideMark/>
          </w:tcPr>
          <w:p w14:paraId="4BB407E7"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Provisions </w:t>
            </w:r>
          </w:p>
        </w:tc>
        <w:tc>
          <w:tcPr>
            <w:tcW w:w="1107" w:type="dxa"/>
            <w:tcBorders>
              <w:top w:val="nil"/>
              <w:left w:val="nil"/>
              <w:bottom w:val="nil"/>
              <w:right w:val="nil"/>
            </w:tcBorders>
            <w:shd w:val="clear" w:color="auto" w:fill="auto"/>
            <w:noWrap/>
            <w:vAlign w:val="bottom"/>
            <w:hideMark/>
          </w:tcPr>
          <w:p w14:paraId="54A0162A" w14:textId="77777777" w:rsidR="00B9311E" w:rsidRPr="00BD77D8" w:rsidRDefault="00B9311E" w:rsidP="00B9311E">
            <w:pPr>
              <w:spacing w:after="0" w:line="240" w:lineRule="auto"/>
              <w:ind w:firstLineChars="100" w:firstLine="180"/>
              <w:rPr>
                <w:sz w:val="18"/>
                <w:szCs w:val="18"/>
              </w:rPr>
            </w:pPr>
          </w:p>
        </w:tc>
        <w:tc>
          <w:tcPr>
            <w:tcW w:w="1372" w:type="dxa"/>
            <w:tcBorders>
              <w:top w:val="nil"/>
              <w:left w:val="nil"/>
              <w:bottom w:val="nil"/>
              <w:right w:val="nil"/>
            </w:tcBorders>
            <w:shd w:val="clear" w:color="auto" w:fill="auto"/>
            <w:vAlign w:val="bottom"/>
            <w:hideMark/>
          </w:tcPr>
          <w:p w14:paraId="1C7F1CA8"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287" w:type="dxa"/>
            <w:tcBorders>
              <w:top w:val="nil"/>
              <w:left w:val="nil"/>
              <w:bottom w:val="nil"/>
              <w:right w:val="nil"/>
            </w:tcBorders>
            <w:shd w:val="clear" w:color="auto" w:fill="auto"/>
            <w:vAlign w:val="bottom"/>
            <w:hideMark/>
          </w:tcPr>
          <w:p w14:paraId="537B12E0" w14:textId="77777777" w:rsidR="00B9311E" w:rsidRPr="00BD77D8" w:rsidRDefault="00B9311E" w:rsidP="00B9311E">
            <w:pPr>
              <w:spacing w:after="0" w:line="240" w:lineRule="auto"/>
              <w:jc w:val="right"/>
              <w:rPr>
                <w:sz w:val="18"/>
                <w:szCs w:val="18"/>
              </w:rPr>
            </w:pPr>
            <w:r w:rsidRPr="00BD77D8">
              <w:rPr>
                <w:sz w:val="18"/>
                <w:szCs w:val="18"/>
              </w:rPr>
              <w:t xml:space="preserve">          2,356 </w:t>
            </w:r>
          </w:p>
        </w:tc>
        <w:tc>
          <w:tcPr>
            <w:tcW w:w="1168" w:type="dxa"/>
            <w:tcBorders>
              <w:top w:val="nil"/>
              <w:left w:val="nil"/>
              <w:bottom w:val="nil"/>
              <w:right w:val="nil"/>
            </w:tcBorders>
            <w:shd w:val="clear" w:color="auto" w:fill="auto"/>
            <w:vAlign w:val="bottom"/>
            <w:hideMark/>
          </w:tcPr>
          <w:p w14:paraId="338FFDE8" w14:textId="77777777" w:rsidR="00B9311E" w:rsidRPr="00BD77D8" w:rsidRDefault="00B9311E" w:rsidP="00B9311E">
            <w:pPr>
              <w:spacing w:after="0" w:line="240" w:lineRule="auto"/>
              <w:jc w:val="right"/>
              <w:rPr>
                <w:sz w:val="18"/>
                <w:szCs w:val="18"/>
              </w:rPr>
            </w:pPr>
            <w:r w:rsidRPr="00BD77D8">
              <w:rPr>
                <w:sz w:val="18"/>
                <w:szCs w:val="18"/>
              </w:rPr>
              <w:t xml:space="preserve">          2,356 </w:t>
            </w:r>
          </w:p>
        </w:tc>
        <w:tc>
          <w:tcPr>
            <w:tcW w:w="1024" w:type="dxa"/>
            <w:tcBorders>
              <w:top w:val="nil"/>
              <w:left w:val="nil"/>
              <w:bottom w:val="nil"/>
              <w:right w:val="nil"/>
            </w:tcBorders>
            <w:shd w:val="clear" w:color="auto" w:fill="auto"/>
            <w:vAlign w:val="bottom"/>
            <w:hideMark/>
          </w:tcPr>
          <w:p w14:paraId="360C81A7" w14:textId="77777777" w:rsidR="00B9311E" w:rsidRPr="00BD77D8" w:rsidRDefault="00B9311E" w:rsidP="00B9311E">
            <w:pPr>
              <w:spacing w:after="0" w:line="240" w:lineRule="auto"/>
              <w:jc w:val="right"/>
              <w:rPr>
                <w:sz w:val="18"/>
                <w:szCs w:val="18"/>
              </w:rPr>
            </w:pPr>
            <w:r w:rsidRPr="00BD77D8">
              <w:rPr>
                <w:sz w:val="18"/>
                <w:szCs w:val="18"/>
              </w:rPr>
              <w:t xml:space="preserve">              119 </w:t>
            </w:r>
          </w:p>
        </w:tc>
      </w:tr>
      <w:tr w:rsidR="00BD77D8" w:rsidRPr="00BD77D8" w14:paraId="4CD8370C" w14:textId="77777777" w:rsidTr="003057FB">
        <w:trPr>
          <w:trHeight w:val="291"/>
        </w:trPr>
        <w:tc>
          <w:tcPr>
            <w:tcW w:w="4467" w:type="dxa"/>
            <w:tcBorders>
              <w:top w:val="nil"/>
              <w:left w:val="nil"/>
              <w:bottom w:val="nil"/>
              <w:right w:val="nil"/>
            </w:tcBorders>
            <w:shd w:val="clear" w:color="auto" w:fill="auto"/>
            <w:noWrap/>
            <w:vAlign w:val="bottom"/>
            <w:hideMark/>
          </w:tcPr>
          <w:p w14:paraId="7E795531"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Other current liabilities </w:t>
            </w:r>
          </w:p>
        </w:tc>
        <w:tc>
          <w:tcPr>
            <w:tcW w:w="1107" w:type="dxa"/>
            <w:tcBorders>
              <w:top w:val="nil"/>
              <w:left w:val="nil"/>
              <w:bottom w:val="nil"/>
              <w:right w:val="nil"/>
            </w:tcBorders>
            <w:shd w:val="clear" w:color="auto" w:fill="auto"/>
            <w:noWrap/>
            <w:vAlign w:val="bottom"/>
            <w:hideMark/>
          </w:tcPr>
          <w:p w14:paraId="0FC63868" w14:textId="77777777" w:rsidR="00B9311E" w:rsidRPr="00BD77D8" w:rsidRDefault="00B9311E" w:rsidP="00B9311E">
            <w:pPr>
              <w:spacing w:after="0" w:line="240" w:lineRule="auto"/>
              <w:ind w:firstLineChars="100" w:firstLine="180"/>
              <w:rPr>
                <w:sz w:val="18"/>
                <w:szCs w:val="18"/>
              </w:rPr>
            </w:pPr>
          </w:p>
        </w:tc>
        <w:tc>
          <w:tcPr>
            <w:tcW w:w="1372" w:type="dxa"/>
            <w:tcBorders>
              <w:top w:val="nil"/>
              <w:left w:val="nil"/>
              <w:bottom w:val="nil"/>
              <w:right w:val="nil"/>
            </w:tcBorders>
            <w:shd w:val="clear" w:color="auto" w:fill="auto"/>
            <w:vAlign w:val="bottom"/>
            <w:hideMark/>
          </w:tcPr>
          <w:p w14:paraId="426EAE25" w14:textId="77777777" w:rsidR="00B9311E" w:rsidRPr="00BD77D8" w:rsidRDefault="00B9311E" w:rsidP="00B9311E">
            <w:pPr>
              <w:spacing w:after="0" w:line="240" w:lineRule="auto"/>
              <w:jc w:val="right"/>
              <w:rPr>
                <w:b/>
                <w:bCs/>
                <w:sz w:val="18"/>
                <w:szCs w:val="18"/>
              </w:rPr>
            </w:pPr>
            <w:r w:rsidRPr="00BD77D8">
              <w:rPr>
                <w:b/>
                <w:bCs/>
                <w:sz w:val="18"/>
                <w:szCs w:val="18"/>
              </w:rPr>
              <w:t xml:space="preserve">          1,062 </w:t>
            </w:r>
          </w:p>
        </w:tc>
        <w:tc>
          <w:tcPr>
            <w:tcW w:w="1287" w:type="dxa"/>
            <w:tcBorders>
              <w:top w:val="nil"/>
              <w:left w:val="nil"/>
              <w:bottom w:val="nil"/>
              <w:right w:val="nil"/>
            </w:tcBorders>
            <w:shd w:val="clear" w:color="auto" w:fill="auto"/>
            <w:vAlign w:val="bottom"/>
            <w:hideMark/>
          </w:tcPr>
          <w:p w14:paraId="2B1B9C68" w14:textId="77777777" w:rsidR="00B9311E" w:rsidRPr="00BD77D8" w:rsidRDefault="00B9311E" w:rsidP="00B9311E">
            <w:pPr>
              <w:spacing w:after="0" w:line="240" w:lineRule="auto"/>
              <w:jc w:val="right"/>
              <w:rPr>
                <w:sz w:val="18"/>
                <w:szCs w:val="18"/>
              </w:rPr>
            </w:pPr>
            <w:r w:rsidRPr="00BD77D8">
              <w:rPr>
                <w:sz w:val="18"/>
                <w:szCs w:val="18"/>
              </w:rPr>
              <w:t xml:space="preserve">              344 </w:t>
            </w:r>
          </w:p>
        </w:tc>
        <w:tc>
          <w:tcPr>
            <w:tcW w:w="1168" w:type="dxa"/>
            <w:tcBorders>
              <w:top w:val="nil"/>
              <w:left w:val="nil"/>
              <w:bottom w:val="nil"/>
              <w:right w:val="nil"/>
            </w:tcBorders>
            <w:shd w:val="clear" w:color="auto" w:fill="auto"/>
            <w:vAlign w:val="bottom"/>
            <w:hideMark/>
          </w:tcPr>
          <w:p w14:paraId="5D4C08E3" w14:textId="77777777" w:rsidR="00B9311E" w:rsidRPr="00BD77D8" w:rsidRDefault="00B9311E" w:rsidP="00B9311E">
            <w:pPr>
              <w:spacing w:after="0" w:line="240" w:lineRule="auto"/>
              <w:jc w:val="right"/>
              <w:rPr>
                <w:sz w:val="18"/>
                <w:szCs w:val="18"/>
              </w:rPr>
            </w:pPr>
            <w:r w:rsidRPr="00BD77D8">
              <w:rPr>
                <w:sz w:val="18"/>
                <w:szCs w:val="18"/>
              </w:rPr>
              <w:t xml:space="preserve">            (718)</w:t>
            </w:r>
          </w:p>
        </w:tc>
        <w:tc>
          <w:tcPr>
            <w:tcW w:w="1024" w:type="dxa"/>
            <w:tcBorders>
              <w:top w:val="nil"/>
              <w:left w:val="nil"/>
              <w:bottom w:val="nil"/>
              <w:right w:val="nil"/>
            </w:tcBorders>
            <w:shd w:val="clear" w:color="auto" w:fill="auto"/>
            <w:vAlign w:val="bottom"/>
            <w:hideMark/>
          </w:tcPr>
          <w:p w14:paraId="48FDD4C4" w14:textId="77777777" w:rsidR="00B9311E" w:rsidRPr="00BD77D8" w:rsidRDefault="00B9311E" w:rsidP="00B9311E">
            <w:pPr>
              <w:spacing w:after="0" w:line="240" w:lineRule="auto"/>
              <w:jc w:val="right"/>
              <w:rPr>
                <w:sz w:val="18"/>
                <w:szCs w:val="18"/>
              </w:rPr>
            </w:pPr>
            <w:r w:rsidRPr="00BD77D8">
              <w:rPr>
                <w:sz w:val="18"/>
                <w:szCs w:val="18"/>
              </w:rPr>
              <w:t xml:space="preserve">              571 </w:t>
            </w:r>
          </w:p>
        </w:tc>
      </w:tr>
      <w:tr w:rsidR="00BD77D8" w:rsidRPr="00BD77D8" w14:paraId="36234A47" w14:textId="77777777" w:rsidTr="003057FB">
        <w:trPr>
          <w:trHeight w:val="291"/>
        </w:trPr>
        <w:tc>
          <w:tcPr>
            <w:tcW w:w="4467" w:type="dxa"/>
            <w:tcBorders>
              <w:top w:val="nil"/>
              <w:left w:val="nil"/>
              <w:bottom w:val="nil"/>
              <w:right w:val="nil"/>
            </w:tcBorders>
            <w:shd w:val="clear" w:color="auto" w:fill="auto"/>
            <w:noWrap/>
            <w:vAlign w:val="bottom"/>
            <w:hideMark/>
          </w:tcPr>
          <w:p w14:paraId="1DC4AB04" w14:textId="77777777" w:rsidR="00B9311E" w:rsidRPr="00BD77D8" w:rsidRDefault="00B9311E" w:rsidP="00B9311E">
            <w:pPr>
              <w:spacing w:after="0" w:line="240" w:lineRule="auto"/>
              <w:rPr>
                <w:b/>
                <w:bCs/>
                <w:sz w:val="18"/>
                <w:szCs w:val="18"/>
              </w:rPr>
            </w:pPr>
            <w:r w:rsidRPr="00BD77D8">
              <w:rPr>
                <w:b/>
                <w:bCs/>
                <w:sz w:val="18"/>
                <w:szCs w:val="18"/>
              </w:rPr>
              <w:t xml:space="preserve"> Total Current Liabilities </w:t>
            </w:r>
          </w:p>
        </w:tc>
        <w:tc>
          <w:tcPr>
            <w:tcW w:w="1107" w:type="dxa"/>
            <w:tcBorders>
              <w:top w:val="nil"/>
              <w:left w:val="nil"/>
              <w:bottom w:val="nil"/>
              <w:right w:val="nil"/>
            </w:tcBorders>
            <w:shd w:val="clear" w:color="auto" w:fill="auto"/>
            <w:noWrap/>
            <w:vAlign w:val="bottom"/>
            <w:hideMark/>
          </w:tcPr>
          <w:p w14:paraId="1CE18243" w14:textId="77777777" w:rsidR="00B9311E" w:rsidRPr="00BD77D8" w:rsidRDefault="00B9311E" w:rsidP="00B9311E">
            <w:pPr>
              <w:spacing w:after="0" w:line="240" w:lineRule="auto"/>
              <w:rPr>
                <w:b/>
                <w:bCs/>
                <w:sz w:val="18"/>
                <w:szCs w:val="18"/>
              </w:rPr>
            </w:pPr>
          </w:p>
        </w:tc>
        <w:tc>
          <w:tcPr>
            <w:tcW w:w="1372" w:type="dxa"/>
            <w:tcBorders>
              <w:top w:val="single" w:sz="4" w:space="0" w:color="auto"/>
              <w:left w:val="nil"/>
              <w:bottom w:val="single" w:sz="4" w:space="0" w:color="auto"/>
              <w:right w:val="nil"/>
            </w:tcBorders>
            <w:shd w:val="clear" w:color="auto" w:fill="auto"/>
            <w:vAlign w:val="bottom"/>
            <w:hideMark/>
          </w:tcPr>
          <w:p w14:paraId="124EF499" w14:textId="77777777" w:rsidR="00B9311E" w:rsidRPr="00BD77D8" w:rsidRDefault="00B9311E" w:rsidP="00B9311E">
            <w:pPr>
              <w:spacing w:after="0" w:line="240" w:lineRule="auto"/>
              <w:jc w:val="right"/>
              <w:rPr>
                <w:b/>
                <w:bCs/>
                <w:sz w:val="18"/>
                <w:szCs w:val="18"/>
              </w:rPr>
            </w:pPr>
            <w:r w:rsidRPr="00BD77D8">
              <w:rPr>
                <w:b/>
                <w:bCs/>
                <w:sz w:val="18"/>
                <w:szCs w:val="18"/>
              </w:rPr>
              <w:t xml:space="preserve">        36,805 </w:t>
            </w:r>
          </w:p>
        </w:tc>
        <w:tc>
          <w:tcPr>
            <w:tcW w:w="1287" w:type="dxa"/>
            <w:tcBorders>
              <w:top w:val="single" w:sz="4" w:space="0" w:color="auto"/>
              <w:left w:val="nil"/>
              <w:bottom w:val="single" w:sz="4" w:space="0" w:color="auto"/>
              <w:right w:val="nil"/>
            </w:tcBorders>
            <w:shd w:val="clear" w:color="auto" w:fill="auto"/>
            <w:vAlign w:val="bottom"/>
            <w:hideMark/>
          </w:tcPr>
          <w:p w14:paraId="7A0A4428" w14:textId="77777777" w:rsidR="00B9311E" w:rsidRPr="00BD77D8" w:rsidRDefault="00B9311E" w:rsidP="00B9311E">
            <w:pPr>
              <w:spacing w:after="0" w:line="240" w:lineRule="auto"/>
              <w:jc w:val="right"/>
              <w:rPr>
                <w:b/>
                <w:bCs/>
                <w:sz w:val="18"/>
                <w:szCs w:val="18"/>
              </w:rPr>
            </w:pPr>
            <w:r w:rsidRPr="00BD77D8">
              <w:rPr>
                <w:b/>
                <w:bCs/>
                <w:sz w:val="18"/>
                <w:szCs w:val="18"/>
              </w:rPr>
              <w:t xml:space="preserve">        16,016 </w:t>
            </w:r>
          </w:p>
        </w:tc>
        <w:tc>
          <w:tcPr>
            <w:tcW w:w="1168" w:type="dxa"/>
            <w:tcBorders>
              <w:top w:val="single" w:sz="4" w:space="0" w:color="auto"/>
              <w:left w:val="nil"/>
              <w:bottom w:val="single" w:sz="4" w:space="0" w:color="auto"/>
              <w:right w:val="nil"/>
            </w:tcBorders>
            <w:shd w:val="clear" w:color="auto" w:fill="auto"/>
            <w:vAlign w:val="bottom"/>
            <w:hideMark/>
          </w:tcPr>
          <w:p w14:paraId="76E5A3AC" w14:textId="77777777" w:rsidR="00B9311E" w:rsidRPr="00BD77D8" w:rsidRDefault="00B9311E" w:rsidP="00B9311E">
            <w:pPr>
              <w:spacing w:after="0" w:line="240" w:lineRule="auto"/>
              <w:jc w:val="right"/>
              <w:rPr>
                <w:b/>
                <w:bCs/>
                <w:sz w:val="18"/>
                <w:szCs w:val="18"/>
              </w:rPr>
            </w:pPr>
            <w:r w:rsidRPr="00BD77D8">
              <w:rPr>
                <w:b/>
                <w:bCs/>
                <w:sz w:val="18"/>
                <w:szCs w:val="18"/>
              </w:rPr>
              <w:t xml:space="preserve">      (20,789)</w:t>
            </w:r>
          </w:p>
        </w:tc>
        <w:tc>
          <w:tcPr>
            <w:tcW w:w="1024" w:type="dxa"/>
            <w:tcBorders>
              <w:top w:val="single" w:sz="4" w:space="0" w:color="auto"/>
              <w:left w:val="nil"/>
              <w:bottom w:val="single" w:sz="4" w:space="0" w:color="auto"/>
              <w:right w:val="nil"/>
            </w:tcBorders>
            <w:shd w:val="clear" w:color="auto" w:fill="auto"/>
            <w:vAlign w:val="bottom"/>
            <w:hideMark/>
          </w:tcPr>
          <w:p w14:paraId="62C4E21C" w14:textId="77777777" w:rsidR="00B9311E" w:rsidRPr="00BD77D8" w:rsidRDefault="00B9311E" w:rsidP="00B9311E">
            <w:pPr>
              <w:spacing w:after="0" w:line="240" w:lineRule="auto"/>
              <w:jc w:val="right"/>
              <w:rPr>
                <w:b/>
                <w:bCs/>
                <w:sz w:val="18"/>
                <w:szCs w:val="18"/>
              </w:rPr>
            </w:pPr>
            <w:r w:rsidRPr="00BD77D8">
              <w:rPr>
                <w:b/>
                <w:bCs/>
                <w:sz w:val="18"/>
                <w:szCs w:val="18"/>
              </w:rPr>
              <w:t xml:space="preserve">        47,427 </w:t>
            </w:r>
          </w:p>
        </w:tc>
      </w:tr>
      <w:tr w:rsidR="00BD77D8" w:rsidRPr="00BD77D8" w14:paraId="7E3455AE" w14:textId="77777777" w:rsidTr="003057FB">
        <w:trPr>
          <w:trHeight w:val="291"/>
        </w:trPr>
        <w:tc>
          <w:tcPr>
            <w:tcW w:w="4467" w:type="dxa"/>
            <w:tcBorders>
              <w:top w:val="nil"/>
              <w:left w:val="nil"/>
              <w:bottom w:val="nil"/>
              <w:right w:val="nil"/>
            </w:tcBorders>
            <w:shd w:val="clear" w:color="auto" w:fill="auto"/>
            <w:noWrap/>
            <w:vAlign w:val="bottom"/>
            <w:hideMark/>
          </w:tcPr>
          <w:p w14:paraId="02E5542C" w14:textId="77777777" w:rsidR="00B9311E" w:rsidRPr="00BD77D8" w:rsidRDefault="00B9311E" w:rsidP="00B9311E">
            <w:pPr>
              <w:spacing w:after="0" w:line="240" w:lineRule="auto"/>
              <w:rPr>
                <w:b/>
                <w:bCs/>
                <w:sz w:val="18"/>
                <w:szCs w:val="18"/>
              </w:rPr>
            </w:pPr>
            <w:r w:rsidRPr="00BD77D8">
              <w:rPr>
                <w:b/>
                <w:bCs/>
                <w:sz w:val="18"/>
                <w:szCs w:val="18"/>
              </w:rPr>
              <w:t xml:space="preserve"> Net Assets  </w:t>
            </w:r>
          </w:p>
        </w:tc>
        <w:tc>
          <w:tcPr>
            <w:tcW w:w="1107" w:type="dxa"/>
            <w:tcBorders>
              <w:top w:val="nil"/>
              <w:left w:val="nil"/>
              <w:bottom w:val="nil"/>
              <w:right w:val="nil"/>
            </w:tcBorders>
            <w:shd w:val="clear" w:color="auto" w:fill="auto"/>
            <w:noWrap/>
            <w:vAlign w:val="bottom"/>
            <w:hideMark/>
          </w:tcPr>
          <w:p w14:paraId="32DACF50" w14:textId="77777777" w:rsidR="00B9311E" w:rsidRPr="00BD77D8" w:rsidRDefault="00B9311E" w:rsidP="00B9311E">
            <w:pPr>
              <w:spacing w:after="0" w:line="240" w:lineRule="auto"/>
              <w:rPr>
                <w:b/>
                <w:bCs/>
                <w:sz w:val="18"/>
                <w:szCs w:val="18"/>
              </w:rPr>
            </w:pPr>
          </w:p>
        </w:tc>
        <w:tc>
          <w:tcPr>
            <w:tcW w:w="1372" w:type="dxa"/>
            <w:tcBorders>
              <w:top w:val="single" w:sz="4" w:space="0" w:color="auto"/>
              <w:left w:val="nil"/>
              <w:bottom w:val="single" w:sz="4" w:space="0" w:color="auto"/>
              <w:right w:val="nil"/>
            </w:tcBorders>
            <w:shd w:val="clear" w:color="auto" w:fill="auto"/>
            <w:vAlign w:val="bottom"/>
            <w:hideMark/>
          </w:tcPr>
          <w:p w14:paraId="0F4FF3CE" w14:textId="77777777" w:rsidR="00B9311E" w:rsidRPr="00BD77D8" w:rsidRDefault="00B9311E" w:rsidP="00B9311E">
            <w:pPr>
              <w:spacing w:after="0" w:line="240" w:lineRule="auto"/>
              <w:jc w:val="right"/>
              <w:rPr>
                <w:b/>
                <w:bCs/>
                <w:sz w:val="18"/>
                <w:szCs w:val="18"/>
              </w:rPr>
            </w:pPr>
            <w:r w:rsidRPr="00BD77D8">
              <w:rPr>
                <w:b/>
                <w:bCs/>
                <w:sz w:val="18"/>
                <w:szCs w:val="18"/>
              </w:rPr>
              <w:t xml:space="preserve">      229,183 </w:t>
            </w:r>
          </w:p>
        </w:tc>
        <w:tc>
          <w:tcPr>
            <w:tcW w:w="1287" w:type="dxa"/>
            <w:tcBorders>
              <w:top w:val="single" w:sz="4" w:space="0" w:color="auto"/>
              <w:left w:val="nil"/>
              <w:bottom w:val="single" w:sz="4" w:space="0" w:color="auto"/>
              <w:right w:val="nil"/>
            </w:tcBorders>
            <w:shd w:val="clear" w:color="auto" w:fill="auto"/>
            <w:vAlign w:val="bottom"/>
            <w:hideMark/>
          </w:tcPr>
          <w:p w14:paraId="0948D1BF" w14:textId="77777777" w:rsidR="00B9311E" w:rsidRPr="00BD77D8" w:rsidRDefault="00B9311E" w:rsidP="00B9311E">
            <w:pPr>
              <w:spacing w:after="0" w:line="240" w:lineRule="auto"/>
              <w:jc w:val="right"/>
              <w:rPr>
                <w:b/>
                <w:bCs/>
                <w:sz w:val="18"/>
                <w:szCs w:val="18"/>
              </w:rPr>
            </w:pPr>
            <w:r w:rsidRPr="00BD77D8">
              <w:rPr>
                <w:b/>
                <w:bCs/>
                <w:sz w:val="18"/>
                <w:szCs w:val="18"/>
              </w:rPr>
              <w:t xml:space="preserve">      200,280 </w:t>
            </w:r>
          </w:p>
        </w:tc>
        <w:tc>
          <w:tcPr>
            <w:tcW w:w="1168" w:type="dxa"/>
            <w:tcBorders>
              <w:top w:val="single" w:sz="4" w:space="0" w:color="auto"/>
              <w:left w:val="nil"/>
              <w:bottom w:val="single" w:sz="4" w:space="0" w:color="auto"/>
              <w:right w:val="nil"/>
            </w:tcBorders>
            <w:shd w:val="clear" w:color="auto" w:fill="auto"/>
            <w:vAlign w:val="bottom"/>
            <w:hideMark/>
          </w:tcPr>
          <w:p w14:paraId="49A350CC" w14:textId="77777777" w:rsidR="00B9311E" w:rsidRPr="00BD77D8" w:rsidRDefault="00B9311E" w:rsidP="00B9311E">
            <w:pPr>
              <w:spacing w:after="0" w:line="240" w:lineRule="auto"/>
              <w:jc w:val="right"/>
              <w:rPr>
                <w:b/>
                <w:bCs/>
                <w:sz w:val="18"/>
                <w:szCs w:val="18"/>
              </w:rPr>
            </w:pPr>
            <w:r w:rsidRPr="00BD77D8">
              <w:rPr>
                <w:b/>
                <w:bCs/>
                <w:sz w:val="18"/>
                <w:szCs w:val="18"/>
              </w:rPr>
              <w:t xml:space="preserve">        28,903 </w:t>
            </w:r>
          </w:p>
        </w:tc>
        <w:tc>
          <w:tcPr>
            <w:tcW w:w="1024" w:type="dxa"/>
            <w:tcBorders>
              <w:top w:val="single" w:sz="4" w:space="0" w:color="auto"/>
              <w:left w:val="nil"/>
              <w:bottom w:val="single" w:sz="4" w:space="0" w:color="auto"/>
              <w:right w:val="nil"/>
            </w:tcBorders>
            <w:shd w:val="clear" w:color="auto" w:fill="auto"/>
            <w:vAlign w:val="bottom"/>
            <w:hideMark/>
          </w:tcPr>
          <w:p w14:paraId="195F75BB" w14:textId="77777777" w:rsidR="00B9311E" w:rsidRPr="00BD77D8" w:rsidRDefault="00B9311E" w:rsidP="00B9311E">
            <w:pPr>
              <w:spacing w:after="0" w:line="240" w:lineRule="auto"/>
              <w:jc w:val="right"/>
              <w:rPr>
                <w:b/>
                <w:bCs/>
                <w:sz w:val="18"/>
                <w:szCs w:val="18"/>
              </w:rPr>
            </w:pPr>
            <w:r w:rsidRPr="00BD77D8">
              <w:rPr>
                <w:b/>
                <w:bCs/>
                <w:sz w:val="18"/>
                <w:szCs w:val="18"/>
              </w:rPr>
              <w:t xml:space="preserve">      197,101 </w:t>
            </w:r>
          </w:p>
        </w:tc>
      </w:tr>
      <w:tr w:rsidR="00BD77D8" w:rsidRPr="00BD77D8" w14:paraId="22D5C4D8" w14:textId="77777777" w:rsidTr="003057FB">
        <w:trPr>
          <w:trHeight w:val="291"/>
        </w:trPr>
        <w:tc>
          <w:tcPr>
            <w:tcW w:w="4467" w:type="dxa"/>
            <w:tcBorders>
              <w:top w:val="nil"/>
              <w:left w:val="nil"/>
              <w:bottom w:val="nil"/>
              <w:right w:val="nil"/>
            </w:tcBorders>
            <w:shd w:val="clear" w:color="auto" w:fill="auto"/>
            <w:noWrap/>
            <w:vAlign w:val="bottom"/>
            <w:hideMark/>
          </w:tcPr>
          <w:p w14:paraId="38C7F0BE" w14:textId="77777777" w:rsidR="00B9311E" w:rsidRPr="00BD77D8" w:rsidRDefault="00B9311E" w:rsidP="00B9311E">
            <w:pPr>
              <w:spacing w:after="0" w:line="240" w:lineRule="auto"/>
              <w:rPr>
                <w:b/>
                <w:bCs/>
                <w:sz w:val="18"/>
                <w:szCs w:val="18"/>
              </w:rPr>
            </w:pPr>
            <w:r w:rsidRPr="00BD77D8">
              <w:rPr>
                <w:b/>
                <w:bCs/>
                <w:sz w:val="18"/>
                <w:szCs w:val="18"/>
              </w:rPr>
              <w:t xml:space="preserve"> Equity </w:t>
            </w:r>
          </w:p>
        </w:tc>
        <w:tc>
          <w:tcPr>
            <w:tcW w:w="1107" w:type="dxa"/>
            <w:tcBorders>
              <w:top w:val="nil"/>
              <w:left w:val="nil"/>
              <w:bottom w:val="nil"/>
              <w:right w:val="nil"/>
            </w:tcBorders>
            <w:shd w:val="clear" w:color="auto" w:fill="auto"/>
            <w:noWrap/>
            <w:vAlign w:val="bottom"/>
            <w:hideMark/>
          </w:tcPr>
          <w:p w14:paraId="696B7EAA" w14:textId="77777777" w:rsidR="00B9311E" w:rsidRPr="00BD77D8" w:rsidRDefault="00B9311E" w:rsidP="00B9311E">
            <w:pPr>
              <w:spacing w:after="0" w:line="240" w:lineRule="auto"/>
              <w:rPr>
                <w:b/>
                <w:bCs/>
                <w:sz w:val="18"/>
                <w:szCs w:val="18"/>
              </w:rPr>
            </w:pPr>
          </w:p>
        </w:tc>
        <w:tc>
          <w:tcPr>
            <w:tcW w:w="1372" w:type="dxa"/>
            <w:tcBorders>
              <w:top w:val="nil"/>
              <w:left w:val="nil"/>
              <w:bottom w:val="nil"/>
              <w:right w:val="nil"/>
            </w:tcBorders>
            <w:shd w:val="clear" w:color="auto" w:fill="auto"/>
            <w:vAlign w:val="bottom"/>
            <w:hideMark/>
          </w:tcPr>
          <w:p w14:paraId="5BE73133"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87" w:type="dxa"/>
            <w:tcBorders>
              <w:top w:val="nil"/>
              <w:left w:val="nil"/>
              <w:bottom w:val="nil"/>
              <w:right w:val="nil"/>
            </w:tcBorders>
            <w:shd w:val="clear" w:color="auto" w:fill="auto"/>
            <w:vAlign w:val="bottom"/>
            <w:hideMark/>
          </w:tcPr>
          <w:p w14:paraId="4F574B84"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168" w:type="dxa"/>
            <w:tcBorders>
              <w:top w:val="nil"/>
              <w:left w:val="nil"/>
              <w:bottom w:val="nil"/>
              <w:right w:val="nil"/>
            </w:tcBorders>
            <w:shd w:val="clear" w:color="auto" w:fill="auto"/>
            <w:vAlign w:val="bottom"/>
            <w:hideMark/>
          </w:tcPr>
          <w:p w14:paraId="62F8E68F"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024" w:type="dxa"/>
            <w:tcBorders>
              <w:top w:val="nil"/>
              <w:left w:val="nil"/>
              <w:bottom w:val="nil"/>
              <w:right w:val="nil"/>
            </w:tcBorders>
            <w:shd w:val="clear" w:color="auto" w:fill="auto"/>
            <w:vAlign w:val="bottom"/>
            <w:hideMark/>
          </w:tcPr>
          <w:p w14:paraId="01B1F377"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5D75340C" w14:textId="77777777" w:rsidTr="003057FB">
        <w:trPr>
          <w:trHeight w:val="291"/>
        </w:trPr>
        <w:tc>
          <w:tcPr>
            <w:tcW w:w="4467" w:type="dxa"/>
            <w:tcBorders>
              <w:top w:val="nil"/>
              <w:left w:val="nil"/>
              <w:bottom w:val="nil"/>
              <w:right w:val="nil"/>
            </w:tcBorders>
            <w:shd w:val="clear" w:color="auto" w:fill="auto"/>
            <w:noWrap/>
            <w:vAlign w:val="bottom"/>
            <w:hideMark/>
          </w:tcPr>
          <w:p w14:paraId="7DED572D"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Contributed equity </w:t>
            </w:r>
          </w:p>
        </w:tc>
        <w:tc>
          <w:tcPr>
            <w:tcW w:w="1107" w:type="dxa"/>
            <w:tcBorders>
              <w:top w:val="nil"/>
              <w:left w:val="nil"/>
              <w:bottom w:val="nil"/>
              <w:right w:val="nil"/>
            </w:tcBorders>
            <w:shd w:val="clear" w:color="auto" w:fill="auto"/>
            <w:noWrap/>
            <w:vAlign w:val="bottom"/>
            <w:hideMark/>
          </w:tcPr>
          <w:p w14:paraId="15365FD9" w14:textId="77777777" w:rsidR="00B9311E" w:rsidRPr="00BD77D8" w:rsidRDefault="00B9311E" w:rsidP="00B9311E">
            <w:pPr>
              <w:spacing w:after="0" w:line="240" w:lineRule="auto"/>
              <w:ind w:firstLineChars="100" w:firstLine="180"/>
              <w:rPr>
                <w:sz w:val="18"/>
                <w:szCs w:val="18"/>
              </w:rPr>
            </w:pPr>
          </w:p>
        </w:tc>
        <w:tc>
          <w:tcPr>
            <w:tcW w:w="1372" w:type="dxa"/>
            <w:tcBorders>
              <w:top w:val="nil"/>
              <w:left w:val="nil"/>
              <w:bottom w:val="nil"/>
              <w:right w:val="nil"/>
            </w:tcBorders>
            <w:shd w:val="clear" w:color="auto" w:fill="auto"/>
            <w:vAlign w:val="bottom"/>
            <w:hideMark/>
          </w:tcPr>
          <w:p w14:paraId="6207BD1B" w14:textId="77777777" w:rsidR="00B9311E" w:rsidRPr="00BD77D8" w:rsidRDefault="00B9311E" w:rsidP="00B9311E">
            <w:pPr>
              <w:spacing w:after="0" w:line="240" w:lineRule="auto"/>
              <w:jc w:val="right"/>
              <w:rPr>
                <w:b/>
                <w:bCs/>
                <w:sz w:val="18"/>
                <w:szCs w:val="18"/>
              </w:rPr>
            </w:pPr>
            <w:r w:rsidRPr="00BD77D8">
              <w:rPr>
                <w:b/>
                <w:bCs/>
                <w:sz w:val="18"/>
                <w:szCs w:val="18"/>
              </w:rPr>
              <w:t xml:space="preserve">      174,972 </w:t>
            </w:r>
          </w:p>
        </w:tc>
        <w:tc>
          <w:tcPr>
            <w:tcW w:w="1287" w:type="dxa"/>
            <w:tcBorders>
              <w:top w:val="nil"/>
              <w:left w:val="nil"/>
              <w:bottom w:val="nil"/>
              <w:right w:val="nil"/>
            </w:tcBorders>
            <w:shd w:val="clear" w:color="auto" w:fill="auto"/>
            <w:vAlign w:val="bottom"/>
            <w:hideMark/>
          </w:tcPr>
          <w:p w14:paraId="5DEE9444"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68" w:type="dxa"/>
            <w:tcBorders>
              <w:top w:val="nil"/>
              <w:left w:val="nil"/>
              <w:bottom w:val="nil"/>
              <w:right w:val="nil"/>
            </w:tcBorders>
            <w:shd w:val="clear" w:color="auto" w:fill="auto"/>
            <w:vAlign w:val="bottom"/>
            <w:hideMark/>
          </w:tcPr>
          <w:p w14:paraId="24BADE47"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024" w:type="dxa"/>
            <w:tcBorders>
              <w:top w:val="nil"/>
              <w:left w:val="nil"/>
              <w:bottom w:val="nil"/>
              <w:right w:val="nil"/>
            </w:tcBorders>
            <w:shd w:val="clear" w:color="auto" w:fill="auto"/>
            <w:vAlign w:val="bottom"/>
            <w:hideMark/>
          </w:tcPr>
          <w:p w14:paraId="2FEE2103" w14:textId="77777777" w:rsidR="00B9311E" w:rsidRPr="00BD77D8" w:rsidRDefault="00B9311E" w:rsidP="00B9311E">
            <w:pPr>
              <w:spacing w:after="0" w:line="240" w:lineRule="auto"/>
              <w:jc w:val="right"/>
              <w:rPr>
                <w:sz w:val="18"/>
                <w:szCs w:val="18"/>
              </w:rPr>
            </w:pPr>
            <w:r w:rsidRPr="00BD77D8">
              <w:rPr>
                <w:sz w:val="18"/>
                <w:szCs w:val="18"/>
              </w:rPr>
              <w:t xml:space="preserve">      174,080 </w:t>
            </w:r>
          </w:p>
        </w:tc>
      </w:tr>
      <w:tr w:rsidR="00BD77D8" w:rsidRPr="00BD77D8" w14:paraId="341F49C1" w14:textId="77777777" w:rsidTr="003057FB">
        <w:trPr>
          <w:trHeight w:val="291"/>
        </w:trPr>
        <w:tc>
          <w:tcPr>
            <w:tcW w:w="4467" w:type="dxa"/>
            <w:tcBorders>
              <w:top w:val="nil"/>
              <w:left w:val="nil"/>
              <w:bottom w:val="nil"/>
              <w:right w:val="nil"/>
            </w:tcBorders>
            <w:shd w:val="clear" w:color="auto" w:fill="auto"/>
            <w:noWrap/>
            <w:vAlign w:val="bottom"/>
            <w:hideMark/>
          </w:tcPr>
          <w:p w14:paraId="745AA6E5"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Asset revaluation surplus </w:t>
            </w:r>
          </w:p>
        </w:tc>
        <w:tc>
          <w:tcPr>
            <w:tcW w:w="1107" w:type="dxa"/>
            <w:tcBorders>
              <w:top w:val="nil"/>
              <w:left w:val="nil"/>
              <w:bottom w:val="nil"/>
              <w:right w:val="nil"/>
            </w:tcBorders>
            <w:shd w:val="clear" w:color="auto" w:fill="auto"/>
            <w:noWrap/>
            <w:vAlign w:val="bottom"/>
            <w:hideMark/>
          </w:tcPr>
          <w:p w14:paraId="54C186AB" w14:textId="77777777" w:rsidR="00B9311E" w:rsidRPr="00BD77D8" w:rsidRDefault="00B9311E" w:rsidP="00B9311E">
            <w:pPr>
              <w:spacing w:after="0" w:line="240" w:lineRule="auto"/>
              <w:ind w:firstLineChars="100" w:firstLine="180"/>
              <w:rPr>
                <w:sz w:val="18"/>
                <w:szCs w:val="18"/>
              </w:rPr>
            </w:pPr>
          </w:p>
        </w:tc>
        <w:tc>
          <w:tcPr>
            <w:tcW w:w="1372" w:type="dxa"/>
            <w:tcBorders>
              <w:top w:val="nil"/>
              <w:left w:val="nil"/>
              <w:bottom w:val="nil"/>
              <w:right w:val="nil"/>
            </w:tcBorders>
            <w:shd w:val="clear" w:color="auto" w:fill="auto"/>
            <w:vAlign w:val="bottom"/>
            <w:hideMark/>
          </w:tcPr>
          <w:p w14:paraId="1F58221E"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287" w:type="dxa"/>
            <w:tcBorders>
              <w:top w:val="nil"/>
              <w:left w:val="nil"/>
              <w:bottom w:val="nil"/>
              <w:right w:val="nil"/>
            </w:tcBorders>
            <w:shd w:val="clear" w:color="auto" w:fill="auto"/>
            <w:vAlign w:val="bottom"/>
            <w:hideMark/>
          </w:tcPr>
          <w:p w14:paraId="1321A421"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68" w:type="dxa"/>
            <w:tcBorders>
              <w:top w:val="nil"/>
              <w:left w:val="nil"/>
              <w:bottom w:val="nil"/>
              <w:right w:val="nil"/>
            </w:tcBorders>
            <w:shd w:val="clear" w:color="auto" w:fill="auto"/>
            <w:vAlign w:val="bottom"/>
            <w:hideMark/>
          </w:tcPr>
          <w:p w14:paraId="0CA2478E"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024" w:type="dxa"/>
            <w:tcBorders>
              <w:top w:val="nil"/>
              <w:left w:val="nil"/>
              <w:bottom w:val="nil"/>
              <w:right w:val="nil"/>
            </w:tcBorders>
            <w:shd w:val="clear" w:color="auto" w:fill="auto"/>
            <w:vAlign w:val="bottom"/>
            <w:hideMark/>
          </w:tcPr>
          <w:p w14:paraId="489FC397"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113A3529" w14:textId="77777777" w:rsidTr="003057FB">
        <w:trPr>
          <w:trHeight w:val="291"/>
        </w:trPr>
        <w:tc>
          <w:tcPr>
            <w:tcW w:w="4467" w:type="dxa"/>
            <w:tcBorders>
              <w:top w:val="nil"/>
              <w:left w:val="nil"/>
              <w:bottom w:val="nil"/>
              <w:right w:val="nil"/>
            </w:tcBorders>
            <w:shd w:val="clear" w:color="auto" w:fill="auto"/>
            <w:noWrap/>
            <w:vAlign w:val="bottom"/>
            <w:hideMark/>
          </w:tcPr>
          <w:p w14:paraId="2F5D390C"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Accumulated surplus (deficit) </w:t>
            </w:r>
          </w:p>
        </w:tc>
        <w:tc>
          <w:tcPr>
            <w:tcW w:w="1107" w:type="dxa"/>
            <w:tcBorders>
              <w:top w:val="nil"/>
              <w:left w:val="nil"/>
              <w:bottom w:val="nil"/>
              <w:right w:val="nil"/>
            </w:tcBorders>
            <w:shd w:val="clear" w:color="auto" w:fill="auto"/>
            <w:noWrap/>
            <w:vAlign w:val="bottom"/>
            <w:hideMark/>
          </w:tcPr>
          <w:p w14:paraId="26624339" w14:textId="77777777" w:rsidR="00B9311E" w:rsidRPr="00BD77D8" w:rsidRDefault="00B9311E" w:rsidP="00B9311E">
            <w:pPr>
              <w:spacing w:after="0" w:line="240" w:lineRule="auto"/>
              <w:ind w:firstLineChars="100" w:firstLine="180"/>
              <w:rPr>
                <w:sz w:val="18"/>
                <w:szCs w:val="18"/>
              </w:rPr>
            </w:pPr>
          </w:p>
        </w:tc>
        <w:tc>
          <w:tcPr>
            <w:tcW w:w="1372" w:type="dxa"/>
            <w:tcBorders>
              <w:top w:val="nil"/>
              <w:left w:val="nil"/>
              <w:bottom w:val="nil"/>
              <w:right w:val="nil"/>
            </w:tcBorders>
            <w:shd w:val="clear" w:color="auto" w:fill="auto"/>
            <w:vAlign w:val="bottom"/>
            <w:hideMark/>
          </w:tcPr>
          <w:p w14:paraId="22B9AE96" w14:textId="77777777" w:rsidR="00B9311E" w:rsidRPr="00BD77D8" w:rsidRDefault="00B9311E" w:rsidP="00B9311E">
            <w:pPr>
              <w:spacing w:after="0" w:line="240" w:lineRule="auto"/>
              <w:jc w:val="right"/>
              <w:rPr>
                <w:b/>
                <w:bCs/>
                <w:sz w:val="18"/>
                <w:szCs w:val="18"/>
              </w:rPr>
            </w:pPr>
            <w:r w:rsidRPr="00BD77D8">
              <w:rPr>
                <w:b/>
                <w:bCs/>
                <w:sz w:val="18"/>
                <w:szCs w:val="18"/>
              </w:rPr>
              <w:t xml:space="preserve">        54,211 </w:t>
            </w:r>
          </w:p>
        </w:tc>
        <w:tc>
          <w:tcPr>
            <w:tcW w:w="1287" w:type="dxa"/>
            <w:tcBorders>
              <w:top w:val="nil"/>
              <w:left w:val="nil"/>
              <w:bottom w:val="nil"/>
              <w:right w:val="nil"/>
            </w:tcBorders>
            <w:shd w:val="clear" w:color="auto" w:fill="auto"/>
            <w:vAlign w:val="bottom"/>
            <w:hideMark/>
          </w:tcPr>
          <w:p w14:paraId="486B71E8"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68" w:type="dxa"/>
            <w:tcBorders>
              <w:top w:val="nil"/>
              <w:left w:val="nil"/>
              <w:bottom w:val="nil"/>
              <w:right w:val="nil"/>
            </w:tcBorders>
            <w:shd w:val="clear" w:color="auto" w:fill="auto"/>
            <w:vAlign w:val="bottom"/>
            <w:hideMark/>
          </w:tcPr>
          <w:p w14:paraId="5CFD9AB6"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024" w:type="dxa"/>
            <w:tcBorders>
              <w:top w:val="nil"/>
              <w:left w:val="nil"/>
              <w:bottom w:val="nil"/>
              <w:right w:val="nil"/>
            </w:tcBorders>
            <w:shd w:val="clear" w:color="auto" w:fill="auto"/>
            <w:vAlign w:val="bottom"/>
            <w:hideMark/>
          </w:tcPr>
          <w:p w14:paraId="08251242" w14:textId="77777777" w:rsidR="00B9311E" w:rsidRPr="00BD77D8" w:rsidRDefault="00B9311E" w:rsidP="00B9311E">
            <w:pPr>
              <w:spacing w:after="0" w:line="240" w:lineRule="auto"/>
              <w:jc w:val="right"/>
              <w:rPr>
                <w:sz w:val="18"/>
                <w:szCs w:val="18"/>
              </w:rPr>
            </w:pPr>
            <w:r w:rsidRPr="00BD77D8">
              <w:rPr>
                <w:sz w:val="18"/>
                <w:szCs w:val="18"/>
              </w:rPr>
              <w:t xml:space="preserve">        23,021 </w:t>
            </w:r>
          </w:p>
        </w:tc>
      </w:tr>
      <w:tr w:rsidR="00BD77D8" w:rsidRPr="00BD77D8" w14:paraId="0604B79E" w14:textId="77777777" w:rsidTr="003057FB">
        <w:trPr>
          <w:trHeight w:val="307"/>
        </w:trPr>
        <w:tc>
          <w:tcPr>
            <w:tcW w:w="4467" w:type="dxa"/>
            <w:tcBorders>
              <w:top w:val="nil"/>
              <w:left w:val="nil"/>
              <w:bottom w:val="nil"/>
              <w:right w:val="nil"/>
            </w:tcBorders>
            <w:shd w:val="clear" w:color="auto" w:fill="auto"/>
            <w:noWrap/>
            <w:vAlign w:val="bottom"/>
            <w:hideMark/>
          </w:tcPr>
          <w:p w14:paraId="01162ECE" w14:textId="77777777" w:rsidR="00B9311E" w:rsidRPr="00BD77D8" w:rsidRDefault="00B9311E" w:rsidP="00B9311E">
            <w:pPr>
              <w:spacing w:after="0" w:line="240" w:lineRule="auto"/>
              <w:rPr>
                <w:b/>
                <w:bCs/>
                <w:sz w:val="18"/>
                <w:szCs w:val="18"/>
              </w:rPr>
            </w:pPr>
            <w:r w:rsidRPr="00BD77D8">
              <w:rPr>
                <w:b/>
                <w:bCs/>
                <w:sz w:val="18"/>
                <w:szCs w:val="18"/>
              </w:rPr>
              <w:t xml:space="preserve"> Total Equity </w:t>
            </w:r>
          </w:p>
        </w:tc>
        <w:tc>
          <w:tcPr>
            <w:tcW w:w="1107" w:type="dxa"/>
            <w:tcBorders>
              <w:top w:val="nil"/>
              <w:left w:val="nil"/>
              <w:bottom w:val="nil"/>
              <w:right w:val="nil"/>
            </w:tcBorders>
            <w:shd w:val="clear" w:color="auto" w:fill="auto"/>
            <w:noWrap/>
            <w:vAlign w:val="bottom"/>
            <w:hideMark/>
          </w:tcPr>
          <w:p w14:paraId="4B0E3E32" w14:textId="77777777" w:rsidR="00B9311E" w:rsidRPr="00BD77D8" w:rsidRDefault="00B9311E" w:rsidP="00B9311E">
            <w:pPr>
              <w:spacing w:after="0" w:line="240" w:lineRule="auto"/>
              <w:rPr>
                <w:b/>
                <w:bCs/>
                <w:sz w:val="18"/>
                <w:szCs w:val="18"/>
              </w:rPr>
            </w:pPr>
          </w:p>
        </w:tc>
        <w:tc>
          <w:tcPr>
            <w:tcW w:w="1372" w:type="dxa"/>
            <w:tcBorders>
              <w:top w:val="single" w:sz="4" w:space="0" w:color="auto"/>
              <w:left w:val="nil"/>
              <w:bottom w:val="single" w:sz="4" w:space="0" w:color="auto"/>
              <w:right w:val="nil"/>
            </w:tcBorders>
            <w:shd w:val="clear" w:color="auto" w:fill="auto"/>
            <w:vAlign w:val="bottom"/>
            <w:hideMark/>
          </w:tcPr>
          <w:p w14:paraId="7C74E831" w14:textId="77777777" w:rsidR="00B9311E" w:rsidRPr="00BD77D8" w:rsidRDefault="00B9311E" w:rsidP="00B9311E">
            <w:pPr>
              <w:spacing w:after="0" w:line="240" w:lineRule="auto"/>
              <w:jc w:val="right"/>
              <w:rPr>
                <w:b/>
                <w:bCs/>
                <w:sz w:val="18"/>
                <w:szCs w:val="18"/>
              </w:rPr>
            </w:pPr>
            <w:r w:rsidRPr="00BD77D8">
              <w:rPr>
                <w:b/>
                <w:bCs/>
                <w:sz w:val="18"/>
                <w:szCs w:val="18"/>
              </w:rPr>
              <w:t xml:space="preserve">      229,183 </w:t>
            </w:r>
          </w:p>
        </w:tc>
        <w:tc>
          <w:tcPr>
            <w:tcW w:w="1287" w:type="dxa"/>
            <w:tcBorders>
              <w:top w:val="single" w:sz="4" w:space="0" w:color="auto"/>
              <w:left w:val="nil"/>
              <w:bottom w:val="single" w:sz="4" w:space="0" w:color="auto"/>
              <w:right w:val="nil"/>
            </w:tcBorders>
            <w:shd w:val="clear" w:color="auto" w:fill="auto"/>
            <w:vAlign w:val="bottom"/>
            <w:hideMark/>
          </w:tcPr>
          <w:p w14:paraId="2BFC97EA"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168" w:type="dxa"/>
            <w:tcBorders>
              <w:top w:val="single" w:sz="4" w:space="0" w:color="auto"/>
              <w:left w:val="nil"/>
              <w:bottom w:val="single" w:sz="4" w:space="0" w:color="auto"/>
              <w:right w:val="nil"/>
            </w:tcBorders>
            <w:shd w:val="clear" w:color="auto" w:fill="auto"/>
            <w:vAlign w:val="bottom"/>
            <w:hideMark/>
          </w:tcPr>
          <w:p w14:paraId="145CA615"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024" w:type="dxa"/>
            <w:tcBorders>
              <w:top w:val="single" w:sz="4" w:space="0" w:color="auto"/>
              <w:left w:val="nil"/>
              <w:bottom w:val="single" w:sz="4" w:space="0" w:color="auto"/>
              <w:right w:val="nil"/>
            </w:tcBorders>
            <w:shd w:val="clear" w:color="auto" w:fill="auto"/>
            <w:vAlign w:val="bottom"/>
            <w:hideMark/>
          </w:tcPr>
          <w:p w14:paraId="415C1E57" w14:textId="77777777" w:rsidR="00B9311E" w:rsidRPr="00BD77D8" w:rsidRDefault="00B9311E" w:rsidP="00B9311E">
            <w:pPr>
              <w:spacing w:after="0" w:line="240" w:lineRule="auto"/>
              <w:jc w:val="right"/>
              <w:rPr>
                <w:b/>
                <w:bCs/>
                <w:sz w:val="18"/>
                <w:szCs w:val="18"/>
              </w:rPr>
            </w:pPr>
            <w:r w:rsidRPr="00BD77D8">
              <w:rPr>
                <w:b/>
                <w:bCs/>
                <w:sz w:val="18"/>
                <w:szCs w:val="18"/>
              </w:rPr>
              <w:t xml:space="preserve">      197,101 </w:t>
            </w:r>
          </w:p>
        </w:tc>
      </w:tr>
    </w:tbl>
    <w:bookmarkEnd w:id="26"/>
    <w:p w14:paraId="18E76F68" w14:textId="77777777" w:rsidR="00B9311E" w:rsidRPr="00BD77D8" w:rsidRDefault="00B9311E" w:rsidP="00587E62">
      <w:pPr>
        <w:tabs>
          <w:tab w:val="left" w:pos="360"/>
        </w:tabs>
        <w:spacing w:before="240" w:after="0" w:line="195" w:lineRule="exact"/>
        <w:textAlignment w:val="baseline"/>
        <w:rPr>
          <w:rFonts w:eastAsia="Arial"/>
          <w:b/>
          <w:bCs/>
          <w:sz w:val="16"/>
          <w:szCs w:val="16"/>
          <w:lang w:eastAsia="en-US"/>
        </w:rPr>
      </w:pPr>
      <w:r w:rsidRPr="00BD77D8">
        <w:rPr>
          <w:rFonts w:eastAsia="Arial"/>
          <w:sz w:val="16"/>
          <w:szCs w:val="16"/>
          <w:lang w:eastAsia="en-US"/>
        </w:rPr>
        <w:t>*An explanation of major variances is included at Note E1-1.</w:t>
      </w:r>
    </w:p>
    <w:p w14:paraId="650448D1" w14:textId="674025AA" w:rsidR="00B9311E" w:rsidRPr="00BD77D8" w:rsidRDefault="00B9311E" w:rsidP="00B9311E">
      <w:pPr>
        <w:tabs>
          <w:tab w:val="left" w:pos="360"/>
        </w:tabs>
        <w:spacing w:after="0" w:line="195" w:lineRule="exact"/>
        <w:textAlignment w:val="baseline"/>
        <w:rPr>
          <w:rFonts w:eastAsia="Arial"/>
          <w:b/>
          <w:bCs/>
          <w:sz w:val="18"/>
          <w:szCs w:val="18"/>
          <w:lang w:eastAsia="en-US"/>
        </w:rPr>
      </w:pPr>
      <w:r w:rsidRPr="00BD77D8">
        <w:rPr>
          <w:rFonts w:eastAsia="Arial"/>
          <w:sz w:val="16"/>
          <w:szCs w:val="16"/>
          <w:lang w:eastAsia="en-US"/>
        </w:rPr>
        <w:t>^These figures represent budgeted figures as published in the 2021-22 Service Delivery Statement tabled in Parliament.</w:t>
      </w:r>
    </w:p>
    <w:p w14:paraId="170B0011" w14:textId="08C1AC50" w:rsidR="00B9311E" w:rsidRPr="00BD77D8" w:rsidRDefault="00B9311E" w:rsidP="00DF4756">
      <w:pPr>
        <w:tabs>
          <w:tab w:val="left" w:pos="360"/>
        </w:tabs>
        <w:spacing w:before="2640" w:after="0" w:line="195" w:lineRule="exact"/>
        <w:textAlignment w:val="baseline"/>
        <w:rPr>
          <w:rFonts w:eastAsia="Arial"/>
          <w:iCs/>
          <w:spacing w:val="-3"/>
          <w:sz w:val="16"/>
          <w:szCs w:val="16"/>
          <w:lang w:eastAsia="en-US"/>
        </w:rPr>
      </w:pPr>
      <w:r w:rsidRPr="00BD77D8">
        <w:rPr>
          <w:rFonts w:eastAsia="Arial"/>
          <w:iCs/>
          <w:spacing w:val="-3"/>
          <w:sz w:val="16"/>
          <w:szCs w:val="16"/>
          <w:lang w:eastAsia="en-US"/>
        </w:rPr>
        <w:t>The accompanying notes form part of these financial statements.</w:t>
      </w:r>
    </w:p>
    <w:p w14:paraId="4FF46CB6" w14:textId="7F6EA41B" w:rsidR="00702AE3" w:rsidRPr="00BD77D8" w:rsidRDefault="00702AE3" w:rsidP="00DF4756">
      <w:pPr>
        <w:tabs>
          <w:tab w:val="left" w:pos="360"/>
        </w:tabs>
        <w:spacing w:before="960" w:after="0" w:line="195" w:lineRule="exact"/>
        <w:textAlignment w:val="baseline"/>
        <w:rPr>
          <w:rFonts w:eastAsia="Arial"/>
          <w:b/>
          <w:bCs/>
          <w:iCs/>
          <w:spacing w:val="-3"/>
          <w:sz w:val="16"/>
          <w:szCs w:val="16"/>
          <w:lang w:eastAsia="en-US"/>
        </w:rPr>
      </w:pP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t>Page 6 of 45</w:t>
      </w:r>
    </w:p>
    <w:p w14:paraId="3476C08F" w14:textId="77777777" w:rsidR="00B9311E" w:rsidRPr="00BD77D8" w:rsidRDefault="00B9311E" w:rsidP="00B9311E">
      <w:pPr>
        <w:spacing w:after="0" w:line="205" w:lineRule="exact"/>
        <w:rPr>
          <w:rFonts w:eastAsia="PMingLiU"/>
          <w:b/>
          <w:bCs/>
          <w:iCs/>
          <w:sz w:val="16"/>
          <w:szCs w:val="16"/>
          <w:lang w:eastAsia="en-US"/>
        </w:rPr>
      </w:pPr>
    </w:p>
    <w:p w14:paraId="1C0E4832" w14:textId="10F14ED1" w:rsidR="00702AE3" w:rsidRPr="00BD77D8" w:rsidRDefault="00702AE3" w:rsidP="00B9311E">
      <w:pPr>
        <w:spacing w:after="0" w:line="205" w:lineRule="exact"/>
        <w:rPr>
          <w:rFonts w:eastAsia="PMingLiU"/>
          <w:b/>
          <w:bCs/>
          <w:iCs/>
          <w:sz w:val="16"/>
          <w:szCs w:val="16"/>
          <w:lang w:eastAsia="en-US"/>
        </w:rPr>
        <w:sectPr w:rsidR="00702AE3" w:rsidRPr="00BD77D8" w:rsidSect="00457437">
          <w:pgSz w:w="11909" w:h="16838"/>
          <w:pgMar w:top="720" w:right="720" w:bottom="720" w:left="720" w:header="720" w:footer="720" w:gutter="0"/>
          <w:cols w:space="720"/>
          <w:docGrid w:linePitch="245"/>
        </w:sectPr>
      </w:pPr>
    </w:p>
    <w:p w14:paraId="6AF46C98" w14:textId="77777777" w:rsidR="00B9311E" w:rsidRPr="00BD77D8" w:rsidRDefault="00B9311E" w:rsidP="00B9311E">
      <w:pPr>
        <w:tabs>
          <w:tab w:val="left" w:pos="0"/>
        </w:tabs>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3DF6F988" w14:textId="77777777" w:rsidR="00B9311E" w:rsidRPr="00BD77D8" w:rsidRDefault="00B9311E" w:rsidP="00F70507">
      <w:pPr>
        <w:tabs>
          <w:tab w:val="left" w:pos="0"/>
        </w:tabs>
        <w:spacing w:after="0" w:line="199" w:lineRule="exact"/>
        <w:textAlignment w:val="baseline"/>
        <w:rPr>
          <w:rFonts w:eastAsia="Arial"/>
          <w:b/>
          <w:bCs/>
          <w:sz w:val="18"/>
          <w:szCs w:val="18"/>
          <w:lang w:eastAsia="en-US"/>
        </w:rPr>
      </w:pPr>
      <w:bookmarkStart w:id="29" w:name="_Toc111494795"/>
      <w:bookmarkStart w:id="30" w:name="_Toc111540667"/>
      <w:bookmarkStart w:id="31" w:name="_Toc111559230"/>
      <w:bookmarkStart w:id="32" w:name="_Toc113196502"/>
      <w:bookmarkStart w:id="33" w:name="_Toc113196850"/>
      <w:bookmarkStart w:id="34" w:name="_Toc113261980"/>
      <w:r w:rsidRPr="00BD77D8">
        <w:rPr>
          <w:rFonts w:eastAsia="Arial"/>
          <w:b/>
          <w:bCs/>
          <w:sz w:val="18"/>
          <w:szCs w:val="18"/>
          <w:lang w:eastAsia="en-US"/>
        </w:rPr>
        <w:t>Statement of Assets and Liabilities by Major Departmental Services - Controlled</w:t>
      </w:r>
      <w:bookmarkEnd w:id="29"/>
      <w:bookmarkEnd w:id="30"/>
      <w:bookmarkEnd w:id="31"/>
      <w:bookmarkEnd w:id="32"/>
      <w:bookmarkEnd w:id="33"/>
      <w:bookmarkEnd w:id="34"/>
    </w:p>
    <w:p w14:paraId="46CFA90D" w14:textId="77777777" w:rsidR="00B9311E" w:rsidRPr="00BD77D8" w:rsidRDefault="00B9311E" w:rsidP="00B9311E">
      <w:pPr>
        <w:tabs>
          <w:tab w:val="left" w:pos="0"/>
        </w:tabs>
        <w:spacing w:after="0" w:line="205"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27953EFA" w14:textId="77777777" w:rsidR="00B9311E" w:rsidRPr="00BD77D8" w:rsidRDefault="00B9311E" w:rsidP="00B9311E">
      <w:pPr>
        <w:pBdr>
          <w:bottom w:val="single" w:sz="4" w:space="1" w:color="auto"/>
        </w:pBdr>
        <w:tabs>
          <w:tab w:val="left" w:pos="0"/>
        </w:tabs>
        <w:spacing w:after="0" w:line="205" w:lineRule="exact"/>
        <w:textAlignment w:val="baseline"/>
        <w:rPr>
          <w:rFonts w:eastAsia="Arial"/>
          <w:sz w:val="18"/>
          <w:szCs w:val="18"/>
          <w:lang w:eastAsia="en-US"/>
        </w:rPr>
      </w:pPr>
    </w:p>
    <w:p w14:paraId="239DBBD6" w14:textId="77777777" w:rsidR="00B9311E" w:rsidRPr="00BD77D8" w:rsidRDefault="00B9311E" w:rsidP="00B9311E">
      <w:pPr>
        <w:tabs>
          <w:tab w:val="left" w:pos="0"/>
          <w:tab w:val="left" w:pos="288"/>
        </w:tabs>
        <w:spacing w:after="0" w:line="192" w:lineRule="exact"/>
        <w:textAlignment w:val="baseline"/>
        <w:rPr>
          <w:rFonts w:eastAsia="PMingLiU"/>
          <w:sz w:val="18"/>
          <w:szCs w:val="22"/>
          <w:lang w:val="en-US" w:eastAsia="en-US"/>
        </w:rPr>
      </w:pPr>
    </w:p>
    <w:tbl>
      <w:tblPr>
        <w:tblW w:w="0" w:type="auto"/>
        <w:tblCellMar>
          <w:left w:w="0" w:type="dxa"/>
          <w:right w:w="0" w:type="dxa"/>
        </w:tblCellMar>
        <w:tblLook w:val="04A0" w:firstRow="1" w:lastRow="0" w:firstColumn="1" w:lastColumn="0" w:noHBand="0" w:noVBand="1"/>
      </w:tblPr>
      <w:tblGrid>
        <w:gridCol w:w="3625"/>
        <w:gridCol w:w="917"/>
        <w:gridCol w:w="985"/>
        <w:gridCol w:w="997"/>
        <w:gridCol w:w="1003"/>
        <w:gridCol w:w="1136"/>
        <w:gridCol w:w="1115"/>
        <w:gridCol w:w="1158"/>
        <w:gridCol w:w="1158"/>
        <w:gridCol w:w="1285"/>
        <w:gridCol w:w="1065"/>
        <w:gridCol w:w="920"/>
      </w:tblGrid>
      <w:tr w:rsidR="00BD77D8" w:rsidRPr="00BD77D8" w14:paraId="126635E5" w14:textId="77777777" w:rsidTr="003057FB">
        <w:trPr>
          <w:trHeight w:val="720"/>
        </w:trPr>
        <w:tc>
          <w:tcPr>
            <w:tcW w:w="3655" w:type="dxa"/>
            <w:tcBorders>
              <w:top w:val="nil"/>
              <w:left w:val="nil"/>
              <w:bottom w:val="nil"/>
              <w:right w:val="nil"/>
            </w:tcBorders>
            <w:shd w:val="clear" w:color="000000" w:fill="FFFFFF"/>
            <w:noWrap/>
            <w:vAlign w:val="bottom"/>
            <w:hideMark/>
          </w:tcPr>
          <w:p w14:paraId="753BD15D" w14:textId="77777777" w:rsidR="00B9311E" w:rsidRPr="00BD77D8" w:rsidRDefault="00B9311E" w:rsidP="00B9311E">
            <w:pPr>
              <w:spacing w:after="0" w:line="240" w:lineRule="auto"/>
              <w:rPr>
                <w:sz w:val="17"/>
                <w:szCs w:val="17"/>
              </w:rPr>
            </w:pPr>
            <w:r w:rsidRPr="00BD77D8">
              <w:rPr>
                <w:sz w:val="17"/>
                <w:szCs w:val="17"/>
              </w:rPr>
              <w:t> </w:t>
            </w:r>
          </w:p>
        </w:tc>
        <w:tc>
          <w:tcPr>
            <w:tcW w:w="913" w:type="dxa"/>
            <w:tcBorders>
              <w:top w:val="nil"/>
              <w:left w:val="nil"/>
              <w:bottom w:val="nil"/>
              <w:right w:val="nil"/>
            </w:tcBorders>
            <w:shd w:val="clear" w:color="auto" w:fill="auto"/>
            <w:vAlign w:val="center"/>
            <w:hideMark/>
          </w:tcPr>
          <w:p w14:paraId="12DBC7B6" w14:textId="77777777" w:rsidR="00B9311E" w:rsidRPr="00BD77D8" w:rsidRDefault="00B9311E" w:rsidP="00B9311E">
            <w:pPr>
              <w:spacing w:after="0" w:line="240" w:lineRule="auto"/>
              <w:jc w:val="right"/>
              <w:rPr>
                <w:b/>
                <w:bCs/>
                <w:sz w:val="17"/>
                <w:szCs w:val="17"/>
              </w:rPr>
            </w:pPr>
            <w:r w:rsidRPr="00BD77D8">
              <w:rPr>
                <w:b/>
                <w:bCs/>
                <w:sz w:val="17"/>
                <w:szCs w:val="17"/>
              </w:rPr>
              <w:t xml:space="preserve"> Disability Services </w:t>
            </w:r>
          </w:p>
        </w:tc>
        <w:tc>
          <w:tcPr>
            <w:tcW w:w="982" w:type="dxa"/>
            <w:tcBorders>
              <w:top w:val="nil"/>
              <w:left w:val="nil"/>
              <w:bottom w:val="nil"/>
              <w:right w:val="nil"/>
            </w:tcBorders>
            <w:shd w:val="clear" w:color="auto" w:fill="auto"/>
            <w:vAlign w:val="center"/>
            <w:hideMark/>
          </w:tcPr>
          <w:p w14:paraId="14894C63" w14:textId="77777777" w:rsidR="00B9311E" w:rsidRPr="00BD77D8" w:rsidRDefault="00B9311E" w:rsidP="00B9311E">
            <w:pPr>
              <w:spacing w:after="0" w:line="240" w:lineRule="auto"/>
              <w:jc w:val="right"/>
              <w:rPr>
                <w:b/>
                <w:bCs/>
                <w:sz w:val="17"/>
                <w:szCs w:val="17"/>
              </w:rPr>
            </w:pPr>
            <w:r w:rsidRPr="00BD77D8">
              <w:rPr>
                <w:b/>
                <w:bCs/>
                <w:sz w:val="17"/>
                <w:szCs w:val="17"/>
              </w:rPr>
              <w:t xml:space="preserve"> Disability Services </w:t>
            </w:r>
          </w:p>
        </w:tc>
        <w:tc>
          <w:tcPr>
            <w:tcW w:w="993" w:type="dxa"/>
            <w:tcBorders>
              <w:top w:val="nil"/>
              <w:left w:val="nil"/>
              <w:bottom w:val="nil"/>
              <w:right w:val="nil"/>
            </w:tcBorders>
            <w:shd w:val="clear" w:color="auto" w:fill="auto"/>
            <w:vAlign w:val="center"/>
            <w:hideMark/>
          </w:tcPr>
          <w:p w14:paraId="72443F70" w14:textId="77777777" w:rsidR="00B9311E" w:rsidRPr="00BD77D8" w:rsidRDefault="00B9311E" w:rsidP="00B9311E">
            <w:pPr>
              <w:spacing w:after="0" w:line="240" w:lineRule="auto"/>
              <w:jc w:val="right"/>
              <w:rPr>
                <w:b/>
                <w:bCs/>
                <w:sz w:val="17"/>
                <w:szCs w:val="17"/>
              </w:rPr>
            </w:pPr>
            <w:r w:rsidRPr="00BD77D8">
              <w:rPr>
                <w:b/>
                <w:bCs/>
                <w:sz w:val="17"/>
                <w:szCs w:val="17"/>
              </w:rPr>
              <w:t xml:space="preserve"> Seniors Services </w:t>
            </w:r>
          </w:p>
        </w:tc>
        <w:tc>
          <w:tcPr>
            <w:tcW w:w="1000" w:type="dxa"/>
            <w:tcBorders>
              <w:top w:val="nil"/>
              <w:left w:val="nil"/>
              <w:bottom w:val="nil"/>
              <w:right w:val="nil"/>
            </w:tcBorders>
            <w:shd w:val="clear" w:color="auto" w:fill="auto"/>
            <w:vAlign w:val="center"/>
            <w:hideMark/>
          </w:tcPr>
          <w:p w14:paraId="3F42A4D9" w14:textId="77777777" w:rsidR="00B9311E" w:rsidRPr="00BD77D8" w:rsidRDefault="00B9311E" w:rsidP="00B9311E">
            <w:pPr>
              <w:spacing w:after="0" w:line="240" w:lineRule="auto"/>
              <w:jc w:val="right"/>
              <w:rPr>
                <w:b/>
                <w:bCs/>
                <w:sz w:val="17"/>
                <w:szCs w:val="17"/>
              </w:rPr>
            </w:pPr>
            <w:r w:rsidRPr="00BD77D8">
              <w:rPr>
                <w:b/>
                <w:bCs/>
                <w:sz w:val="17"/>
                <w:szCs w:val="17"/>
              </w:rPr>
              <w:t xml:space="preserve"> Seniors Services </w:t>
            </w:r>
          </w:p>
        </w:tc>
        <w:tc>
          <w:tcPr>
            <w:tcW w:w="1134" w:type="dxa"/>
            <w:tcBorders>
              <w:top w:val="nil"/>
              <w:left w:val="nil"/>
              <w:bottom w:val="nil"/>
              <w:right w:val="nil"/>
            </w:tcBorders>
            <w:shd w:val="clear" w:color="auto" w:fill="auto"/>
            <w:vAlign w:val="center"/>
            <w:hideMark/>
          </w:tcPr>
          <w:p w14:paraId="7ABAE7BA" w14:textId="77777777" w:rsidR="00B9311E" w:rsidRPr="00BD77D8" w:rsidRDefault="00B9311E" w:rsidP="00B9311E">
            <w:pPr>
              <w:spacing w:after="0" w:line="240" w:lineRule="auto"/>
              <w:jc w:val="right"/>
              <w:rPr>
                <w:b/>
                <w:bCs/>
                <w:sz w:val="17"/>
                <w:szCs w:val="17"/>
              </w:rPr>
            </w:pPr>
            <w:r w:rsidRPr="00BD77D8">
              <w:rPr>
                <w:b/>
                <w:bCs/>
                <w:sz w:val="17"/>
                <w:szCs w:val="17"/>
              </w:rPr>
              <w:t xml:space="preserve"> Community Services^ </w:t>
            </w:r>
          </w:p>
        </w:tc>
        <w:tc>
          <w:tcPr>
            <w:tcW w:w="1113" w:type="dxa"/>
            <w:tcBorders>
              <w:top w:val="nil"/>
              <w:left w:val="nil"/>
              <w:bottom w:val="nil"/>
              <w:right w:val="nil"/>
            </w:tcBorders>
            <w:shd w:val="clear" w:color="auto" w:fill="auto"/>
            <w:vAlign w:val="center"/>
            <w:hideMark/>
          </w:tcPr>
          <w:p w14:paraId="6F58D509" w14:textId="77777777" w:rsidR="00B9311E" w:rsidRPr="00BD77D8" w:rsidRDefault="00B9311E" w:rsidP="00B9311E">
            <w:pPr>
              <w:spacing w:after="0" w:line="240" w:lineRule="auto"/>
              <w:jc w:val="right"/>
              <w:rPr>
                <w:b/>
                <w:bCs/>
                <w:sz w:val="17"/>
                <w:szCs w:val="17"/>
              </w:rPr>
            </w:pPr>
            <w:r w:rsidRPr="00BD77D8">
              <w:rPr>
                <w:b/>
                <w:bCs/>
                <w:sz w:val="17"/>
                <w:szCs w:val="17"/>
              </w:rPr>
              <w:t xml:space="preserve"> Economic Participation Services  </w:t>
            </w:r>
          </w:p>
        </w:tc>
        <w:tc>
          <w:tcPr>
            <w:tcW w:w="1156" w:type="dxa"/>
            <w:tcBorders>
              <w:top w:val="nil"/>
              <w:left w:val="nil"/>
              <w:bottom w:val="nil"/>
              <w:right w:val="nil"/>
            </w:tcBorders>
            <w:shd w:val="clear" w:color="auto" w:fill="auto"/>
            <w:vAlign w:val="center"/>
            <w:hideMark/>
          </w:tcPr>
          <w:p w14:paraId="3DF1ADE2" w14:textId="77777777" w:rsidR="00B9311E" w:rsidRPr="00BD77D8" w:rsidRDefault="00B9311E" w:rsidP="00B9311E">
            <w:pPr>
              <w:spacing w:after="0" w:line="240" w:lineRule="auto"/>
              <w:jc w:val="right"/>
              <w:rPr>
                <w:b/>
                <w:bCs/>
                <w:sz w:val="17"/>
                <w:szCs w:val="17"/>
              </w:rPr>
            </w:pPr>
            <w:r w:rsidRPr="00BD77D8">
              <w:rPr>
                <w:b/>
                <w:bCs/>
                <w:sz w:val="17"/>
                <w:szCs w:val="17"/>
              </w:rPr>
              <w:t xml:space="preserve"> Economic Participation Services * </w:t>
            </w:r>
          </w:p>
        </w:tc>
        <w:tc>
          <w:tcPr>
            <w:tcW w:w="1156" w:type="dxa"/>
            <w:tcBorders>
              <w:top w:val="nil"/>
              <w:left w:val="nil"/>
              <w:bottom w:val="nil"/>
              <w:right w:val="nil"/>
            </w:tcBorders>
            <w:shd w:val="clear" w:color="auto" w:fill="auto"/>
            <w:vAlign w:val="center"/>
            <w:hideMark/>
          </w:tcPr>
          <w:p w14:paraId="7BA89B6D" w14:textId="77777777" w:rsidR="00B9311E" w:rsidRPr="00BD77D8" w:rsidRDefault="00B9311E" w:rsidP="00B9311E">
            <w:pPr>
              <w:spacing w:after="0" w:line="240" w:lineRule="auto"/>
              <w:jc w:val="right"/>
              <w:rPr>
                <w:b/>
                <w:bCs/>
                <w:sz w:val="17"/>
                <w:szCs w:val="17"/>
              </w:rPr>
            </w:pPr>
            <w:r w:rsidRPr="00BD77D8">
              <w:rPr>
                <w:b/>
                <w:bCs/>
                <w:sz w:val="17"/>
                <w:szCs w:val="17"/>
              </w:rPr>
              <w:t xml:space="preserve"> Community Participation Services  </w:t>
            </w:r>
          </w:p>
        </w:tc>
        <w:tc>
          <w:tcPr>
            <w:tcW w:w="1285" w:type="dxa"/>
            <w:tcBorders>
              <w:top w:val="nil"/>
              <w:left w:val="nil"/>
              <w:bottom w:val="nil"/>
              <w:right w:val="nil"/>
            </w:tcBorders>
            <w:shd w:val="clear" w:color="auto" w:fill="auto"/>
            <w:vAlign w:val="center"/>
            <w:hideMark/>
          </w:tcPr>
          <w:p w14:paraId="0E5FAD1F" w14:textId="77777777" w:rsidR="00B9311E" w:rsidRPr="00BD77D8" w:rsidRDefault="00B9311E" w:rsidP="00B9311E">
            <w:pPr>
              <w:spacing w:after="0" w:line="240" w:lineRule="auto"/>
              <w:jc w:val="right"/>
              <w:rPr>
                <w:b/>
                <w:bCs/>
                <w:sz w:val="17"/>
                <w:szCs w:val="17"/>
              </w:rPr>
            </w:pPr>
            <w:r w:rsidRPr="00BD77D8">
              <w:rPr>
                <w:b/>
                <w:bCs/>
                <w:sz w:val="17"/>
                <w:szCs w:val="17"/>
              </w:rPr>
              <w:t xml:space="preserve"> Community Participation Services * </w:t>
            </w:r>
          </w:p>
        </w:tc>
        <w:tc>
          <w:tcPr>
            <w:tcW w:w="1062" w:type="dxa"/>
            <w:tcBorders>
              <w:top w:val="nil"/>
              <w:left w:val="nil"/>
              <w:bottom w:val="nil"/>
              <w:right w:val="nil"/>
            </w:tcBorders>
            <w:shd w:val="clear" w:color="auto" w:fill="auto"/>
            <w:noWrap/>
            <w:vAlign w:val="center"/>
            <w:hideMark/>
          </w:tcPr>
          <w:p w14:paraId="07812FF1" w14:textId="77777777" w:rsidR="00B9311E" w:rsidRPr="00BD77D8" w:rsidRDefault="00B9311E" w:rsidP="00B9311E">
            <w:pPr>
              <w:spacing w:after="0" w:line="240" w:lineRule="auto"/>
              <w:jc w:val="right"/>
              <w:rPr>
                <w:b/>
                <w:bCs/>
                <w:sz w:val="17"/>
                <w:szCs w:val="17"/>
              </w:rPr>
            </w:pPr>
            <w:r w:rsidRPr="00BD77D8">
              <w:rPr>
                <w:b/>
                <w:bCs/>
                <w:sz w:val="17"/>
                <w:szCs w:val="17"/>
              </w:rPr>
              <w:t xml:space="preserve"> Total </w:t>
            </w:r>
          </w:p>
        </w:tc>
        <w:tc>
          <w:tcPr>
            <w:tcW w:w="915" w:type="dxa"/>
            <w:tcBorders>
              <w:top w:val="nil"/>
              <w:left w:val="nil"/>
              <w:bottom w:val="nil"/>
              <w:right w:val="nil"/>
            </w:tcBorders>
            <w:shd w:val="clear" w:color="auto" w:fill="auto"/>
            <w:vAlign w:val="center"/>
            <w:hideMark/>
          </w:tcPr>
          <w:p w14:paraId="0218F471" w14:textId="77777777" w:rsidR="00B9311E" w:rsidRPr="00BD77D8" w:rsidRDefault="00B9311E" w:rsidP="00B9311E">
            <w:pPr>
              <w:spacing w:after="0" w:line="240" w:lineRule="auto"/>
              <w:jc w:val="right"/>
              <w:rPr>
                <w:b/>
                <w:bCs/>
                <w:sz w:val="17"/>
                <w:szCs w:val="17"/>
              </w:rPr>
            </w:pPr>
            <w:r w:rsidRPr="00BD77D8">
              <w:rPr>
                <w:b/>
                <w:bCs/>
                <w:sz w:val="17"/>
                <w:szCs w:val="17"/>
              </w:rPr>
              <w:t xml:space="preserve"> Total </w:t>
            </w:r>
          </w:p>
        </w:tc>
      </w:tr>
      <w:tr w:rsidR="00BD77D8" w:rsidRPr="00BD77D8" w14:paraId="40E779C7" w14:textId="77777777" w:rsidTr="003057FB">
        <w:trPr>
          <w:trHeight w:val="240"/>
        </w:trPr>
        <w:tc>
          <w:tcPr>
            <w:tcW w:w="3655" w:type="dxa"/>
            <w:tcBorders>
              <w:top w:val="nil"/>
              <w:left w:val="nil"/>
              <w:bottom w:val="nil"/>
              <w:right w:val="nil"/>
            </w:tcBorders>
            <w:shd w:val="clear" w:color="000000" w:fill="FFFFFF"/>
            <w:noWrap/>
            <w:vAlign w:val="bottom"/>
            <w:hideMark/>
          </w:tcPr>
          <w:p w14:paraId="762E576D" w14:textId="77777777" w:rsidR="00B9311E" w:rsidRPr="00BD77D8" w:rsidRDefault="00B9311E" w:rsidP="00B9311E">
            <w:pPr>
              <w:spacing w:after="0" w:line="240" w:lineRule="auto"/>
              <w:rPr>
                <w:sz w:val="17"/>
                <w:szCs w:val="17"/>
              </w:rPr>
            </w:pPr>
            <w:r w:rsidRPr="00BD77D8">
              <w:rPr>
                <w:sz w:val="17"/>
                <w:szCs w:val="17"/>
              </w:rPr>
              <w:t> </w:t>
            </w:r>
          </w:p>
        </w:tc>
        <w:tc>
          <w:tcPr>
            <w:tcW w:w="913" w:type="dxa"/>
            <w:tcBorders>
              <w:top w:val="nil"/>
              <w:left w:val="nil"/>
              <w:bottom w:val="nil"/>
              <w:right w:val="nil"/>
            </w:tcBorders>
            <w:shd w:val="clear" w:color="auto" w:fill="auto"/>
            <w:noWrap/>
            <w:vAlign w:val="bottom"/>
            <w:hideMark/>
          </w:tcPr>
          <w:p w14:paraId="6ADCDB25" w14:textId="77777777" w:rsidR="00B9311E" w:rsidRPr="00BD77D8" w:rsidRDefault="00B9311E" w:rsidP="00B9311E">
            <w:pPr>
              <w:spacing w:after="0" w:line="240" w:lineRule="auto"/>
              <w:jc w:val="right"/>
              <w:rPr>
                <w:b/>
                <w:bCs/>
                <w:sz w:val="17"/>
                <w:szCs w:val="17"/>
              </w:rPr>
            </w:pPr>
            <w:r w:rsidRPr="00BD77D8">
              <w:rPr>
                <w:b/>
                <w:bCs/>
                <w:sz w:val="17"/>
                <w:szCs w:val="17"/>
              </w:rPr>
              <w:t>2022</w:t>
            </w:r>
          </w:p>
        </w:tc>
        <w:tc>
          <w:tcPr>
            <w:tcW w:w="982" w:type="dxa"/>
            <w:tcBorders>
              <w:top w:val="nil"/>
              <w:left w:val="nil"/>
              <w:bottom w:val="nil"/>
              <w:right w:val="nil"/>
            </w:tcBorders>
            <w:shd w:val="clear" w:color="auto" w:fill="auto"/>
            <w:noWrap/>
            <w:vAlign w:val="bottom"/>
            <w:hideMark/>
          </w:tcPr>
          <w:p w14:paraId="35CFFFAC" w14:textId="77777777" w:rsidR="00B9311E" w:rsidRPr="00BD77D8" w:rsidRDefault="00B9311E" w:rsidP="00B9311E">
            <w:pPr>
              <w:spacing w:after="0" w:line="240" w:lineRule="auto"/>
              <w:jc w:val="right"/>
              <w:rPr>
                <w:b/>
                <w:bCs/>
                <w:sz w:val="17"/>
                <w:szCs w:val="17"/>
              </w:rPr>
            </w:pPr>
            <w:r w:rsidRPr="00BD77D8">
              <w:rPr>
                <w:b/>
                <w:bCs/>
                <w:sz w:val="17"/>
                <w:szCs w:val="17"/>
              </w:rPr>
              <w:t>2021</w:t>
            </w:r>
          </w:p>
        </w:tc>
        <w:tc>
          <w:tcPr>
            <w:tcW w:w="993" w:type="dxa"/>
            <w:tcBorders>
              <w:top w:val="nil"/>
              <w:left w:val="nil"/>
              <w:bottom w:val="nil"/>
              <w:right w:val="nil"/>
            </w:tcBorders>
            <w:shd w:val="clear" w:color="auto" w:fill="auto"/>
            <w:noWrap/>
            <w:vAlign w:val="bottom"/>
            <w:hideMark/>
          </w:tcPr>
          <w:p w14:paraId="07902C40" w14:textId="77777777" w:rsidR="00B9311E" w:rsidRPr="00BD77D8" w:rsidRDefault="00B9311E" w:rsidP="00B9311E">
            <w:pPr>
              <w:spacing w:after="0" w:line="240" w:lineRule="auto"/>
              <w:jc w:val="right"/>
              <w:rPr>
                <w:b/>
                <w:bCs/>
                <w:sz w:val="17"/>
                <w:szCs w:val="17"/>
              </w:rPr>
            </w:pPr>
            <w:r w:rsidRPr="00BD77D8">
              <w:rPr>
                <w:b/>
                <w:bCs/>
                <w:sz w:val="17"/>
                <w:szCs w:val="17"/>
              </w:rPr>
              <w:t>2022</w:t>
            </w:r>
          </w:p>
        </w:tc>
        <w:tc>
          <w:tcPr>
            <w:tcW w:w="1000" w:type="dxa"/>
            <w:tcBorders>
              <w:top w:val="nil"/>
              <w:left w:val="nil"/>
              <w:bottom w:val="nil"/>
              <w:right w:val="nil"/>
            </w:tcBorders>
            <w:shd w:val="clear" w:color="auto" w:fill="auto"/>
            <w:noWrap/>
            <w:vAlign w:val="bottom"/>
            <w:hideMark/>
          </w:tcPr>
          <w:p w14:paraId="40FE40A8" w14:textId="77777777" w:rsidR="00B9311E" w:rsidRPr="00BD77D8" w:rsidRDefault="00B9311E" w:rsidP="00B9311E">
            <w:pPr>
              <w:spacing w:after="0" w:line="240" w:lineRule="auto"/>
              <w:jc w:val="right"/>
              <w:rPr>
                <w:b/>
                <w:bCs/>
                <w:sz w:val="17"/>
                <w:szCs w:val="17"/>
              </w:rPr>
            </w:pPr>
            <w:r w:rsidRPr="00BD77D8">
              <w:rPr>
                <w:b/>
                <w:bCs/>
                <w:sz w:val="17"/>
                <w:szCs w:val="17"/>
              </w:rPr>
              <w:t>2021</w:t>
            </w:r>
          </w:p>
        </w:tc>
        <w:tc>
          <w:tcPr>
            <w:tcW w:w="1134" w:type="dxa"/>
            <w:tcBorders>
              <w:top w:val="nil"/>
              <w:left w:val="nil"/>
              <w:bottom w:val="nil"/>
              <w:right w:val="nil"/>
            </w:tcBorders>
            <w:shd w:val="clear" w:color="auto" w:fill="auto"/>
            <w:noWrap/>
            <w:vAlign w:val="bottom"/>
            <w:hideMark/>
          </w:tcPr>
          <w:p w14:paraId="750349B7" w14:textId="77777777" w:rsidR="00B9311E" w:rsidRPr="00BD77D8" w:rsidRDefault="00B9311E" w:rsidP="00B9311E">
            <w:pPr>
              <w:spacing w:after="0" w:line="240" w:lineRule="auto"/>
              <w:jc w:val="right"/>
              <w:rPr>
                <w:b/>
                <w:bCs/>
                <w:sz w:val="17"/>
                <w:szCs w:val="17"/>
              </w:rPr>
            </w:pPr>
            <w:r w:rsidRPr="00BD77D8">
              <w:rPr>
                <w:b/>
                <w:bCs/>
                <w:sz w:val="17"/>
                <w:szCs w:val="17"/>
              </w:rPr>
              <w:t>2021</w:t>
            </w:r>
          </w:p>
        </w:tc>
        <w:tc>
          <w:tcPr>
            <w:tcW w:w="1113" w:type="dxa"/>
            <w:tcBorders>
              <w:top w:val="nil"/>
              <w:left w:val="nil"/>
              <w:bottom w:val="nil"/>
              <w:right w:val="nil"/>
            </w:tcBorders>
            <w:shd w:val="clear" w:color="auto" w:fill="auto"/>
            <w:noWrap/>
            <w:vAlign w:val="bottom"/>
            <w:hideMark/>
          </w:tcPr>
          <w:p w14:paraId="1A2FE5C6" w14:textId="77777777" w:rsidR="00B9311E" w:rsidRPr="00BD77D8" w:rsidRDefault="00B9311E" w:rsidP="00B9311E">
            <w:pPr>
              <w:spacing w:after="0" w:line="240" w:lineRule="auto"/>
              <w:jc w:val="right"/>
              <w:rPr>
                <w:b/>
                <w:bCs/>
                <w:sz w:val="17"/>
                <w:szCs w:val="17"/>
              </w:rPr>
            </w:pPr>
            <w:r w:rsidRPr="00BD77D8">
              <w:rPr>
                <w:b/>
                <w:bCs/>
                <w:sz w:val="17"/>
                <w:szCs w:val="17"/>
              </w:rPr>
              <w:t>2022</w:t>
            </w:r>
          </w:p>
        </w:tc>
        <w:tc>
          <w:tcPr>
            <w:tcW w:w="1156" w:type="dxa"/>
            <w:tcBorders>
              <w:top w:val="nil"/>
              <w:left w:val="nil"/>
              <w:bottom w:val="nil"/>
              <w:right w:val="nil"/>
            </w:tcBorders>
            <w:shd w:val="clear" w:color="auto" w:fill="auto"/>
            <w:noWrap/>
            <w:vAlign w:val="bottom"/>
            <w:hideMark/>
          </w:tcPr>
          <w:p w14:paraId="3A8E8CCF" w14:textId="77777777" w:rsidR="00B9311E" w:rsidRPr="00BD77D8" w:rsidRDefault="00B9311E" w:rsidP="00B9311E">
            <w:pPr>
              <w:spacing w:after="0" w:line="240" w:lineRule="auto"/>
              <w:jc w:val="right"/>
              <w:rPr>
                <w:b/>
                <w:bCs/>
                <w:sz w:val="17"/>
                <w:szCs w:val="17"/>
              </w:rPr>
            </w:pPr>
            <w:r w:rsidRPr="00BD77D8">
              <w:rPr>
                <w:b/>
                <w:bCs/>
                <w:sz w:val="17"/>
                <w:szCs w:val="17"/>
              </w:rPr>
              <w:t>2021</w:t>
            </w:r>
          </w:p>
        </w:tc>
        <w:tc>
          <w:tcPr>
            <w:tcW w:w="1156" w:type="dxa"/>
            <w:tcBorders>
              <w:top w:val="nil"/>
              <w:left w:val="nil"/>
              <w:bottom w:val="nil"/>
              <w:right w:val="nil"/>
            </w:tcBorders>
            <w:shd w:val="clear" w:color="auto" w:fill="auto"/>
            <w:noWrap/>
            <w:vAlign w:val="bottom"/>
            <w:hideMark/>
          </w:tcPr>
          <w:p w14:paraId="09BCBDAA" w14:textId="77777777" w:rsidR="00B9311E" w:rsidRPr="00BD77D8" w:rsidRDefault="00B9311E" w:rsidP="00B9311E">
            <w:pPr>
              <w:spacing w:after="0" w:line="240" w:lineRule="auto"/>
              <w:jc w:val="right"/>
              <w:rPr>
                <w:b/>
                <w:bCs/>
                <w:sz w:val="17"/>
                <w:szCs w:val="17"/>
              </w:rPr>
            </w:pPr>
            <w:r w:rsidRPr="00BD77D8">
              <w:rPr>
                <w:b/>
                <w:bCs/>
                <w:sz w:val="17"/>
                <w:szCs w:val="17"/>
              </w:rPr>
              <w:t>2022</w:t>
            </w:r>
          </w:p>
        </w:tc>
        <w:tc>
          <w:tcPr>
            <w:tcW w:w="1285" w:type="dxa"/>
            <w:tcBorders>
              <w:top w:val="nil"/>
              <w:left w:val="nil"/>
              <w:bottom w:val="nil"/>
              <w:right w:val="nil"/>
            </w:tcBorders>
            <w:shd w:val="clear" w:color="auto" w:fill="auto"/>
            <w:noWrap/>
            <w:vAlign w:val="bottom"/>
            <w:hideMark/>
          </w:tcPr>
          <w:p w14:paraId="28C4DBC8" w14:textId="77777777" w:rsidR="00B9311E" w:rsidRPr="00BD77D8" w:rsidRDefault="00B9311E" w:rsidP="00B9311E">
            <w:pPr>
              <w:spacing w:after="0" w:line="240" w:lineRule="auto"/>
              <w:jc w:val="right"/>
              <w:rPr>
                <w:b/>
                <w:bCs/>
                <w:sz w:val="17"/>
                <w:szCs w:val="17"/>
              </w:rPr>
            </w:pPr>
            <w:r w:rsidRPr="00BD77D8">
              <w:rPr>
                <w:b/>
                <w:bCs/>
                <w:sz w:val="17"/>
                <w:szCs w:val="17"/>
              </w:rPr>
              <w:t>2021</w:t>
            </w:r>
          </w:p>
        </w:tc>
        <w:tc>
          <w:tcPr>
            <w:tcW w:w="1062" w:type="dxa"/>
            <w:tcBorders>
              <w:top w:val="nil"/>
              <w:left w:val="nil"/>
              <w:bottom w:val="nil"/>
              <w:right w:val="nil"/>
            </w:tcBorders>
            <w:shd w:val="clear" w:color="auto" w:fill="auto"/>
            <w:noWrap/>
            <w:vAlign w:val="bottom"/>
            <w:hideMark/>
          </w:tcPr>
          <w:p w14:paraId="233043E7" w14:textId="77777777" w:rsidR="00B9311E" w:rsidRPr="00BD77D8" w:rsidRDefault="00B9311E" w:rsidP="00B9311E">
            <w:pPr>
              <w:spacing w:after="0" w:line="240" w:lineRule="auto"/>
              <w:jc w:val="right"/>
              <w:rPr>
                <w:b/>
                <w:bCs/>
                <w:sz w:val="17"/>
                <w:szCs w:val="17"/>
              </w:rPr>
            </w:pPr>
            <w:r w:rsidRPr="00BD77D8">
              <w:rPr>
                <w:b/>
                <w:bCs/>
                <w:sz w:val="17"/>
                <w:szCs w:val="17"/>
              </w:rPr>
              <w:t>2022</w:t>
            </w:r>
          </w:p>
        </w:tc>
        <w:tc>
          <w:tcPr>
            <w:tcW w:w="915" w:type="dxa"/>
            <w:tcBorders>
              <w:top w:val="nil"/>
              <w:left w:val="nil"/>
              <w:bottom w:val="nil"/>
              <w:right w:val="nil"/>
            </w:tcBorders>
            <w:shd w:val="clear" w:color="auto" w:fill="auto"/>
            <w:noWrap/>
            <w:vAlign w:val="bottom"/>
            <w:hideMark/>
          </w:tcPr>
          <w:p w14:paraId="0DA9A9E5" w14:textId="77777777" w:rsidR="00B9311E" w:rsidRPr="00BD77D8" w:rsidRDefault="00B9311E" w:rsidP="00B9311E">
            <w:pPr>
              <w:spacing w:after="0" w:line="240" w:lineRule="auto"/>
              <w:jc w:val="right"/>
              <w:rPr>
                <w:b/>
                <w:bCs/>
                <w:sz w:val="17"/>
                <w:szCs w:val="17"/>
              </w:rPr>
            </w:pPr>
            <w:r w:rsidRPr="00BD77D8">
              <w:rPr>
                <w:b/>
                <w:bCs/>
                <w:sz w:val="17"/>
                <w:szCs w:val="17"/>
              </w:rPr>
              <w:t>2021</w:t>
            </w:r>
          </w:p>
        </w:tc>
      </w:tr>
      <w:tr w:rsidR="00BD77D8" w:rsidRPr="00BD77D8" w14:paraId="1AA138F4" w14:textId="77777777" w:rsidTr="003057FB">
        <w:trPr>
          <w:trHeight w:val="240"/>
        </w:trPr>
        <w:tc>
          <w:tcPr>
            <w:tcW w:w="3655" w:type="dxa"/>
            <w:tcBorders>
              <w:top w:val="nil"/>
              <w:left w:val="nil"/>
              <w:bottom w:val="single" w:sz="4" w:space="0" w:color="auto"/>
              <w:right w:val="nil"/>
            </w:tcBorders>
            <w:shd w:val="clear" w:color="000000" w:fill="FFFFFF"/>
            <w:noWrap/>
            <w:vAlign w:val="bottom"/>
            <w:hideMark/>
          </w:tcPr>
          <w:p w14:paraId="0B379AFE" w14:textId="77777777" w:rsidR="00B9311E" w:rsidRPr="00BD77D8" w:rsidRDefault="00B9311E" w:rsidP="00B9311E">
            <w:pPr>
              <w:spacing w:after="0" w:line="240" w:lineRule="auto"/>
              <w:rPr>
                <w:sz w:val="17"/>
                <w:szCs w:val="17"/>
              </w:rPr>
            </w:pPr>
            <w:r w:rsidRPr="00BD77D8">
              <w:rPr>
                <w:sz w:val="17"/>
                <w:szCs w:val="17"/>
              </w:rPr>
              <w:t> </w:t>
            </w:r>
          </w:p>
        </w:tc>
        <w:tc>
          <w:tcPr>
            <w:tcW w:w="913" w:type="dxa"/>
            <w:tcBorders>
              <w:top w:val="nil"/>
              <w:left w:val="nil"/>
              <w:bottom w:val="single" w:sz="4" w:space="0" w:color="auto"/>
              <w:right w:val="nil"/>
            </w:tcBorders>
            <w:shd w:val="clear" w:color="auto" w:fill="auto"/>
            <w:noWrap/>
            <w:vAlign w:val="bottom"/>
            <w:hideMark/>
          </w:tcPr>
          <w:p w14:paraId="6F41B1A0" w14:textId="77777777" w:rsidR="00B9311E" w:rsidRPr="00BD77D8" w:rsidRDefault="00B9311E" w:rsidP="00B9311E">
            <w:pPr>
              <w:spacing w:after="0" w:line="240" w:lineRule="auto"/>
              <w:jc w:val="right"/>
              <w:rPr>
                <w:b/>
                <w:bCs/>
                <w:sz w:val="17"/>
                <w:szCs w:val="17"/>
              </w:rPr>
            </w:pPr>
            <w:r w:rsidRPr="00BD77D8">
              <w:rPr>
                <w:b/>
                <w:bCs/>
                <w:sz w:val="17"/>
                <w:szCs w:val="17"/>
              </w:rPr>
              <w:t>$'000</w:t>
            </w:r>
          </w:p>
        </w:tc>
        <w:tc>
          <w:tcPr>
            <w:tcW w:w="982" w:type="dxa"/>
            <w:tcBorders>
              <w:top w:val="nil"/>
              <w:left w:val="nil"/>
              <w:bottom w:val="single" w:sz="4" w:space="0" w:color="auto"/>
              <w:right w:val="nil"/>
            </w:tcBorders>
            <w:shd w:val="clear" w:color="auto" w:fill="auto"/>
            <w:noWrap/>
            <w:vAlign w:val="bottom"/>
            <w:hideMark/>
          </w:tcPr>
          <w:p w14:paraId="46483F89" w14:textId="77777777" w:rsidR="00B9311E" w:rsidRPr="00BD77D8" w:rsidRDefault="00B9311E" w:rsidP="00B9311E">
            <w:pPr>
              <w:spacing w:after="0" w:line="240" w:lineRule="auto"/>
              <w:jc w:val="right"/>
              <w:rPr>
                <w:b/>
                <w:bCs/>
                <w:sz w:val="17"/>
                <w:szCs w:val="17"/>
              </w:rPr>
            </w:pPr>
            <w:r w:rsidRPr="00BD77D8">
              <w:rPr>
                <w:b/>
                <w:bCs/>
                <w:sz w:val="17"/>
                <w:szCs w:val="17"/>
              </w:rPr>
              <w:t>$'000</w:t>
            </w:r>
          </w:p>
        </w:tc>
        <w:tc>
          <w:tcPr>
            <w:tcW w:w="993" w:type="dxa"/>
            <w:tcBorders>
              <w:top w:val="nil"/>
              <w:left w:val="nil"/>
              <w:bottom w:val="single" w:sz="4" w:space="0" w:color="auto"/>
              <w:right w:val="nil"/>
            </w:tcBorders>
            <w:shd w:val="clear" w:color="auto" w:fill="auto"/>
            <w:noWrap/>
            <w:vAlign w:val="bottom"/>
            <w:hideMark/>
          </w:tcPr>
          <w:p w14:paraId="5CBA40B6" w14:textId="77777777" w:rsidR="00B9311E" w:rsidRPr="00BD77D8" w:rsidRDefault="00B9311E" w:rsidP="00B9311E">
            <w:pPr>
              <w:spacing w:after="0" w:line="240" w:lineRule="auto"/>
              <w:jc w:val="right"/>
              <w:rPr>
                <w:b/>
                <w:bCs/>
                <w:sz w:val="17"/>
                <w:szCs w:val="17"/>
              </w:rPr>
            </w:pPr>
            <w:r w:rsidRPr="00BD77D8">
              <w:rPr>
                <w:b/>
                <w:bCs/>
                <w:sz w:val="17"/>
                <w:szCs w:val="17"/>
              </w:rPr>
              <w:t>$'000</w:t>
            </w:r>
          </w:p>
        </w:tc>
        <w:tc>
          <w:tcPr>
            <w:tcW w:w="1000" w:type="dxa"/>
            <w:tcBorders>
              <w:top w:val="nil"/>
              <w:left w:val="nil"/>
              <w:bottom w:val="single" w:sz="4" w:space="0" w:color="auto"/>
              <w:right w:val="nil"/>
            </w:tcBorders>
            <w:shd w:val="clear" w:color="auto" w:fill="auto"/>
            <w:noWrap/>
            <w:vAlign w:val="bottom"/>
            <w:hideMark/>
          </w:tcPr>
          <w:p w14:paraId="70516D11" w14:textId="77777777" w:rsidR="00B9311E" w:rsidRPr="00BD77D8" w:rsidRDefault="00B9311E" w:rsidP="00B9311E">
            <w:pPr>
              <w:spacing w:after="0" w:line="240" w:lineRule="auto"/>
              <w:jc w:val="right"/>
              <w:rPr>
                <w:b/>
                <w:bCs/>
                <w:sz w:val="17"/>
                <w:szCs w:val="17"/>
              </w:rPr>
            </w:pPr>
            <w:r w:rsidRPr="00BD77D8">
              <w:rPr>
                <w:b/>
                <w:bCs/>
                <w:sz w:val="17"/>
                <w:szCs w:val="17"/>
              </w:rPr>
              <w:t>$'000</w:t>
            </w:r>
          </w:p>
        </w:tc>
        <w:tc>
          <w:tcPr>
            <w:tcW w:w="1134" w:type="dxa"/>
            <w:tcBorders>
              <w:top w:val="nil"/>
              <w:left w:val="nil"/>
              <w:bottom w:val="single" w:sz="4" w:space="0" w:color="auto"/>
              <w:right w:val="nil"/>
            </w:tcBorders>
            <w:shd w:val="clear" w:color="auto" w:fill="auto"/>
            <w:noWrap/>
            <w:vAlign w:val="bottom"/>
            <w:hideMark/>
          </w:tcPr>
          <w:p w14:paraId="7ED2150A" w14:textId="77777777" w:rsidR="00B9311E" w:rsidRPr="00BD77D8" w:rsidRDefault="00B9311E" w:rsidP="00B9311E">
            <w:pPr>
              <w:spacing w:after="0" w:line="240" w:lineRule="auto"/>
              <w:jc w:val="right"/>
              <w:rPr>
                <w:b/>
                <w:bCs/>
                <w:sz w:val="17"/>
                <w:szCs w:val="17"/>
              </w:rPr>
            </w:pPr>
            <w:r w:rsidRPr="00BD77D8">
              <w:rPr>
                <w:b/>
                <w:bCs/>
                <w:sz w:val="17"/>
                <w:szCs w:val="17"/>
              </w:rPr>
              <w:t>$'000</w:t>
            </w:r>
          </w:p>
        </w:tc>
        <w:tc>
          <w:tcPr>
            <w:tcW w:w="1113" w:type="dxa"/>
            <w:tcBorders>
              <w:top w:val="nil"/>
              <w:left w:val="nil"/>
              <w:bottom w:val="single" w:sz="4" w:space="0" w:color="auto"/>
              <w:right w:val="nil"/>
            </w:tcBorders>
            <w:shd w:val="clear" w:color="auto" w:fill="auto"/>
            <w:noWrap/>
            <w:vAlign w:val="bottom"/>
            <w:hideMark/>
          </w:tcPr>
          <w:p w14:paraId="5C7E282D" w14:textId="77777777" w:rsidR="00B9311E" w:rsidRPr="00BD77D8" w:rsidRDefault="00B9311E" w:rsidP="00B9311E">
            <w:pPr>
              <w:spacing w:after="0" w:line="240" w:lineRule="auto"/>
              <w:jc w:val="right"/>
              <w:rPr>
                <w:b/>
                <w:bCs/>
                <w:sz w:val="17"/>
                <w:szCs w:val="17"/>
              </w:rPr>
            </w:pPr>
            <w:r w:rsidRPr="00BD77D8">
              <w:rPr>
                <w:b/>
                <w:bCs/>
                <w:sz w:val="17"/>
                <w:szCs w:val="17"/>
              </w:rPr>
              <w:t>$'000</w:t>
            </w:r>
          </w:p>
        </w:tc>
        <w:tc>
          <w:tcPr>
            <w:tcW w:w="1156" w:type="dxa"/>
            <w:tcBorders>
              <w:top w:val="nil"/>
              <w:left w:val="nil"/>
              <w:bottom w:val="single" w:sz="4" w:space="0" w:color="auto"/>
              <w:right w:val="nil"/>
            </w:tcBorders>
            <w:shd w:val="clear" w:color="auto" w:fill="auto"/>
            <w:noWrap/>
            <w:vAlign w:val="bottom"/>
            <w:hideMark/>
          </w:tcPr>
          <w:p w14:paraId="6ED836D0" w14:textId="77777777" w:rsidR="00B9311E" w:rsidRPr="00BD77D8" w:rsidRDefault="00B9311E" w:rsidP="00B9311E">
            <w:pPr>
              <w:spacing w:after="0" w:line="240" w:lineRule="auto"/>
              <w:jc w:val="right"/>
              <w:rPr>
                <w:b/>
                <w:bCs/>
                <w:sz w:val="17"/>
                <w:szCs w:val="17"/>
              </w:rPr>
            </w:pPr>
            <w:r w:rsidRPr="00BD77D8">
              <w:rPr>
                <w:b/>
                <w:bCs/>
                <w:sz w:val="17"/>
                <w:szCs w:val="17"/>
              </w:rPr>
              <w:t>$'000</w:t>
            </w:r>
          </w:p>
        </w:tc>
        <w:tc>
          <w:tcPr>
            <w:tcW w:w="1156" w:type="dxa"/>
            <w:tcBorders>
              <w:top w:val="nil"/>
              <w:left w:val="nil"/>
              <w:bottom w:val="single" w:sz="4" w:space="0" w:color="auto"/>
              <w:right w:val="nil"/>
            </w:tcBorders>
            <w:shd w:val="clear" w:color="auto" w:fill="auto"/>
            <w:noWrap/>
            <w:vAlign w:val="bottom"/>
            <w:hideMark/>
          </w:tcPr>
          <w:p w14:paraId="77BBBC0D" w14:textId="77777777" w:rsidR="00B9311E" w:rsidRPr="00BD77D8" w:rsidRDefault="00B9311E" w:rsidP="00B9311E">
            <w:pPr>
              <w:spacing w:after="0" w:line="240" w:lineRule="auto"/>
              <w:jc w:val="right"/>
              <w:rPr>
                <w:b/>
                <w:bCs/>
                <w:sz w:val="17"/>
                <w:szCs w:val="17"/>
              </w:rPr>
            </w:pPr>
            <w:r w:rsidRPr="00BD77D8">
              <w:rPr>
                <w:b/>
                <w:bCs/>
                <w:sz w:val="17"/>
                <w:szCs w:val="17"/>
              </w:rPr>
              <w:t>$'000</w:t>
            </w:r>
          </w:p>
        </w:tc>
        <w:tc>
          <w:tcPr>
            <w:tcW w:w="1285" w:type="dxa"/>
            <w:tcBorders>
              <w:top w:val="nil"/>
              <w:left w:val="nil"/>
              <w:bottom w:val="single" w:sz="4" w:space="0" w:color="auto"/>
              <w:right w:val="nil"/>
            </w:tcBorders>
            <w:shd w:val="clear" w:color="auto" w:fill="auto"/>
            <w:noWrap/>
            <w:vAlign w:val="bottom"/>
            <w:hideMark/>
          </w:tcPr>
          <w:p w14:paraId="782A2D8A" w14:textId="77777777" w:rsidR="00B9311E" w:rsidRPr="00BD77D8" w:rsidRDefault="00B9311E" w:rsidP="00B9311E">
            <w:pPr>
              <w:spacing w:after="0" w:line="240" w:lineRule="auto"/>
              <w:jc w:val="right"/>
              <w:rPr>
                <w:b/>
                <w:bCs/>
                <w:sz w:val="17"/>
                <w:szCs w:val="17"/>
              </w:rPr>
            </w:pPr>
            <w:r w:rsidRPr="00BD77D8">
              <w:rPr>
                <w:b/>
                <w:bCs/>
                <w:sz w:val="17"/>
                <w:szCs w:val="17"/>
              </w:rPr>
              <w:t>$'000</w:t>
            </w:r>
          </w:p>
        </w:tc>
        <w:tc>
          <w:tcPr>
            <w:tcW w:w="1062" w:type="dxa"/>
            <w:tcBorders>
              <w:top w:val="nil"/>
              <w:left w:val="nil"/>
              <w:bottom w:val="single" w:sz="4" w:space="0" w:color="auto"/>
              <w:right w:val="nil"/>
            </w:tcBorders>
            <w:shd w:val="clear" w:color="auto" w:fill="auto"/>
            <w:noWrap/>
            <w:vAlign w:val="bottom"/>
            <w:hideMark/>
          </w:tcPr>
          <w:p w14:paraId="0521F9DA" w14:textId="77777777" w:rsidR="00B9311E" w:rsidRPr="00BD77D8" w:rsidRDefault="00B9311E" w:rsidP="00B9311E">
            <w:pPr>
              <w:spacing w:after="0" w:line="240" w:lineRule="auto"/>
              <w:jc w:val="right"/>
              <w:rPr>
                <w:b/>
                <w:bCs/>
                <w:sz w:val="17"/>
                <w:szCs w:val="17"/>
              </w:rPr>
            </w:pPr>
            <w:r w:rsidRPr="00BD77D8">
              <w:rPr>
                <w:b/>
                <w:bCs/>
                <w:sz w:val="17"/>
                <w:szCs w:val="17"/>
              </w:rPr>
              <w:t>$'000</w:t>
            </w:r>
          </w:p>
        </w:tc>
        <w:tc>
          <w:tcPr>
            <w:tcW w:w="915" w:type="dxa"/>
            <w:tcBorders>
              <w:top w:val="nil"/>
              <w:left w:val="nil"/>
              <w:bottom w:val="single" w:sz="4" w:space="0" w:color="auto"/>
              <w:right w:val="nil"/>
            </w:tcBorders>
            <w:shd w:val="clear" w:color="auto" w:fill="auto"/>
            <w:noWrap/>
            <w:vAlign w:val="bottom"/>
            <w:hideMark/>
          </w:tcPr>
          <w:p w14:paraId="037AD746" w14:textId="77777777" w:rsidR="00B9311E" w:rsidRPr="00BD77D8" w:rsidRDefault="00B9311E" w:rsidP="00B9311E">
            <w:pPr>
              <w:spacing w:after="0" w:line="240" w:lineRule="auto"/>
              <w:jc w:val="right"/>
              <w:rPr>
                <w:b/>
                <w:bCs/>
                <w:sz w:val="17"/>
                <w:szCs w:val="17"/>
              </w:rPr>
            </w:pPr>
            <w:r w:rsidRPr="00BD77D8">
              <w:rPr>
                <w:b/>
                <w:bCs/>
                <w:sz w:val="17"/>
                <w:szCs w:val="17"/>
              </w:rPr>
              <w:t>$'000</w:t>
            </w:r>
          </w:p>
        </w:tc>
      </w:tr>
      <w:tr w:rsidR="00BD77D8" w:rsidRPr="00BD77D8" w14:paraId="4883F17B" w14:textId="77777777" w:rsidTr="003057FB">
        <w:trPr>
          <w:trHeight w:val="240"/>
        </w:trPr>
        <w:tc>
          <w:tcPr>
            <w:tcW w:w="3655" w:type="dxa"/>
            <w:tcBorders>
              <w:top w:val="nil"/>
              <w:left w:val="nil"/>
              <w:bottom w:val="nil"/>
              <w:right w:val="nil"/>
            </w:tcBorders>
            <w:shd w:val="clear" w:color="000000" w:fill="FFFFFF"/>
            <w:noWrap/>
            <w:vAlign w:val="bottom"/>
            <w:hideMark/>
          </w:tcPr>
          <w:p w14:paraId="361295AC" w14:textId="77777777" w:rsidR="00B9311E" w:rsidRPr="00BD77D8" w:rsidRDefault="00B9311E" w:rsidP="00B9311E">
            <w:pPr>
              <w:spacing w:after="0" w:line="240" w:lineRule="auto"/>
              <w:rPr>
                <w:b/>
                <w:bCs/>
                <w:sz w:val="17"/>
                <w:szCs w:val="17"/>
              </w:rPr>
            </w:pPr>
            <w:r w:rsidRPr="00BD77D8">
              <w:rPr>
                <w:b/>
                <w:bCs/>
                <w:sz w:val="17"/>
                <w:szCs w:val="17"/>
              </w:rPr>
              <w:t xml:space="preserve"> Current Assets </w:t>
            </w:r>
          </w:p>
        </w:tc>
        <w:tc>
          <w:tcPr>
            <w:tcW w:w="913" w:type="dxa"/>
            <w:tcBorders>
              <w:top w:val="nil"/>
              <w:left w:val="nil"/>
              <w:bottom w:val="nil"/>
              <w:right w:val="nil"/>
            </w:tcBorders>
            <w:shd w:val="clear" w:color="auto" w:fill="auto"/>
            <w:noWrap/>
            <w:vAlign w:val="bottom"/>
            <w:hideMark/>
          </w:tcPr>
          <w:p w14:paraId="0204C7B2" w14:textId="77777777" w:rsidR="00B9311E" w:rsidRPr="00BD77D8" w:rsidRDefault="00B9311E" w:rsidP="00B9311E">
            <w:pPr>
              <w:spacing w:after="0" w:line="240" w:lineRule="auto"/>
              <w:rPr>
                <w:b/>
                <w:bCs/>
                <w:sz w:val="17"/>
                <w:szCs w:val="17"/>
              </w:rPr>
            </w:pPr>
          </w:p>
        </w:tc>
        <w:tc>
          <w:tcPr>
            <w:tcW w:w="982" w:type="dxa"/>
            <w:tcBorders>
              <w:top w:val="nil"/>
              <w:left w:val="nil"/>
              <w:bottom w:val="nil"/>
              <w:right w:val="nil"/>
            </w:tcBorders>
            <w:shd w:val="clear" w:color="auto" w:fill="auto"/>
            <w:noWrap/>
            <w:vAlign w:val="bottom"/>
            <w:hideMark/>
          </w:tcPr>
          <w:p w14:paraId="0C6DB3D6"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993" w:type="dxa"/>
            <w:tcBorders>
              <w:top w:val="nil"/>
              <w:left w:val="nil"/>
              <w:bottom w:val="nil"/>
              <w:right w:val="nil"/>
            </w:tcBorders>
            <w:shd w:val="clear" w:color="auto" w:fill="auto"/>
            <w:noWrap/>
            <w:vAlign w:val="bottom"/>
            <w:hideMark/>
          </w:tcPr>
          <w:p w14:paraId="6798C6C0"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000" w:type="dxa"/>
            <w:tcBorders>
              <w:top w:val="nil"/>
              <w:left w:val="nil"/>
              <w:bottom w:val="nil"/>
              <w:right w:val="nil"/>
            </w:tcBorders>
            <w:shd w:val="clear" w:color="auto" w:fill="auto"/>
            <w:noWrap/>
            <w:vAlign w:val="bottom"/>
            <w:hideMark/>
          </w:tcPr>
          <w:p w14:paraId="6B0D9273"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134" w:type="dxa"/>
            <w:tcBorders>
              <w:top w:val="nil"/>
              <w:left w:val="nil"/>
              <w:bottom w:val="nil"/>
              <w:right w:val="nil"/>
            </w:tcBorders>
            <w:shd w:val="clear" w:color="auto" w:fill="auto"/>
            <w:noWrap/>
            <w:vAlign w:val="bottom"/>
            <w:hideMark/>
          </w:tcPr>
          <w:p w14:paraId="02B8271D"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113" w:type="dxa"/>
            <w:tcBorders>
              <w:top w:val="nil"/>
              <w:left w:val="nil"/>
              <w:bottom w:val="nil"/>
              <w:right w:val="nil"/>
            </w:tcBorders>
            <w:shd w:val="clear" w:color="auto" w:fill="auto"/>
            <w:noWrap/>
            <w:vAlign w:val="bottom"/>
            <w:hideMark/>
          </w:tcPr>
          <w:p w14:paraId="6DC13536"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156" w:type="dxa"/>
            <w:tcBorders>
              <w:top w:val="nil"/>
              <w:left w:val="nil"/>
              <w:bottom w:val="nil"/>
              <w:right w:val="nil"/>
            </w:tcBorders>
            <w:shd w:val="clear" w:color="auto" w:fill="auto"/>
            <w:noWrap/>
            <w:vAlign w:val="bottom"/>
            <w:hideMark/>
          </w:tcPr>
          <w:p w14:paraId="282342DF"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156" w:type="dxa"/>
            <w:tcBorders>
              <w:top w:val="nil"/>
              <w:left w:val="nil"/>
              <w:bottom w:val="nil"/>
              <w:right w:val="nil"/>
            </w:tcBorders>
            <w:shd w:val="clear" w:color="auto" w:fill="auto"/>
            <w:noWrap/>
            <w:vAlign w:val="bottom"/>
            <w:hideMark/>
          </w:tcPr>
          <w:p w14:paraId="6BC91EEE"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285" w:type="dxa"/>
            <w:tcBorders>
              <w:top w:val="nil"/>
              <w:left w:val="nil"/>
              <w:bottom w:val="nil"/>
              <w:right w:val="nil"/>
            </w:tcBorders>
            <w:shd w:val="clear" w:color="auto" w:fill="auto"/>
            <w:noWrap/>
            <w:vAlign w:val="bottom"/>
            <w:hideMark/>
          </w:tcPr>
          <w:p w14:paraId="1DB479F6"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062" w:type="dxa"/>
            <w:tcBorders>
              <w:top w:val="nil"/>
              <w:left w:val="nil"/>
              <w:bottom w:val="nil"/>
              <w:right w:val="nil"/>
            </w:tcBorders>
            <w:shd w:val="clear" w:color="auto" w:fill="auto"/>
            <w:noWrap/>
            <w:vAlign w:val="bottom"/>
            <w:hideMark/>
          </w:tcPr>
          <w:p w14:paraId="2FB7A29E"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915" w:type="dxa"/>
            <w:tcBorders>
              <w:top w:val="nil"/>
              <w:left w:val="nil"/>
              <w:bottom w:val="nil"/>
              <w:right w:val="nil"/>
            </w:tcBorders>
            <w:shd w:val="clear" w:color="auto" w:fill="auto"/>
            <w:noWrap/>
            <w:vAlign w:val="bottom"/>
            <w:hideMark/>
          </w:tcPr>
          <w:p w14:paraId="32E64F7B" w14:textId="77777777" w:rsidR="00B9311E" w:rsidRPr="00BD77D8" w:rsidRDefault="00B9311E" w:rsidP="00B9311E">
            <w:pPr>
              <w:spacing w:after="0" w:line="240" w:lineRule="auto"/>
              <w:jc w:val="right"/>
              <w:rPr>
                <w:rFonts w:ascii="Times New Roman" w:hAnsi="Times New Roman" w:cs="Times New Roman"/>
                <w:b/>
                <w:bCs/>
                <w:sz w:val="17"/>
                <w:szCs w:val="17"/>
              </w:rPr>
            </w:pPr>
          </w:p>
        </w:tc>
      </w:tr>
      <w:tr w:rsidR="00BD77D8" w:rsidRPr="00BD77D8" w14:paraId="18FED74E" w14:textId="77777777" w:rsidTr="003057FB">
        <w:trPr>
          <w:trHeight w:val="240"/>
        </w:trPr>
        <w:tc>
          <w:tcPr>
            <w:tcW w:w="3655" w:type="dxa"/>
            <w:tcBorders>
              <w:top w:val="nil"/>
              <w:left w:val="nil"/>
              <w:bottom w:val="nil"/>
              <w:right w:val="nil"/>
            </w:tcBorders>
            <w:shd w:val="clear" w:color="000000" w:fill="FFFFFF"/>
            <w:noWrap/>
            <w:vAlign w:val="bottom"/>
            <w:hideMark/>
          </w:tcPr>
          <w:p w14:paraId="08D3E6AF" w14:textId="77777777" w:rsidR="00B9311E" w:rsidRPr="00BD77D8" w:rsidRDefault="00B9311E" w:rsidP="00B9311E">
            <w:pPr>
              <w:spacing w:after="0" w:line="240" w:lineRule="auto"/>
              <w:ind w:firstLineChars="100" w:firstLine="170"/>
              <w:rPr>
                <w:sz w:val="17"/>
                <w:szCs w:val="17"/>
              </w:rPr>
            </w:pPr>
            <w:r w:rsidRPr="00BD77D8">
              <w:rPr>
                <w:sz w:val="17"/>
                <w:szCs w:val="17"/>
              </w:rPr>
              <w:t xml:space="preserve"> Cash and cash equivalents </w:t>
            </w:r>
          </w:p>
        </w:tc>
        <w:tc>
          <w:tcPr>
            <w:tcW w:w="913" w:type="dxa"/>
            <w:tcBorders>
              <w:top w:val="nil"/>
              <w:left w:val="nil"/>
              <w:bottom w:val="nil"/>
              <w:right w:val="nil"/>
            </w:tcBorders>
            <w:shd w:val="clear" w:color="auto" w:fill="auto"/>
            <w:vAlign w:val="center"/>
            <w:hideMark/>
          </w:tcPr>
          <w:p w14:paraId="444589BC" w14:textId="77777777" w:rsidR="00B9311E" w:rsidRPr="00BD77D8" w:rsidRDefault="00B9311E" w:rsidP="00B9311E">
            <w:pPr>
              <w:spacing w:after="0" w:line="240" w:lineRule="auto"/>
              <w:jc w:val="right"/>
              <w:rPr>
                <w:b/>
                <w:bCs/>
                <w:sz w:val="17"/>
                <w:szCs w:val="17"/>
              </w:rPr>
            </w:pPr>
            <w:r w:rsidRPr="00BD77D8">
              <w:rPr>
                <w:b/>
                <w:bCs/>
                <w:sz w:val="17"/>
                <w:szCs w:val="17"/>
              </w:rPr>
              <w:t xml:space="preserve">      29,767 </w:t>
            </w:r>
          </w:p>
        </w:tc>
        <w:tc>
          <w:tcPr>
            <w:tcW w:w="982" w:type="dxa"/>
            <w:tcBorders>
              <w:top w:val="nil"/>
              <w:left w:val="nil"/>
              <w:bottom w:val="nil"/>
              <w:right w:val="nil"/>
            </w:tcBorders>
            <w:shd w:val="clear" w:color="auto" w:fill="auto"/>
            <w:vAlign w:val="center"/>
            <w:hideMark/>
          </w:tcPr>
          <w:p w14:paraId="3AC1DA0C" w14:textId="77777777" w:rsidR="00B9311E" w:rsidRPr="00BD77D8" w:rsidRDefault="00B9311E" w:rsidP="00B9311E">
            <w:pPr>
              <w:spacing w:after="0" w:line="240" w:lineRule="auto"/>
              <w:jc w:val="right"/>
              <w:rPr>
                <w:sz w:val="17"/>
                <w:szCs w:val="17"/>
              </w:rPr>
            </w:pPr>
            <w:r w:rsidRPr="00BD77D8">
              <w:rPr>
                <w:sz w:val="17"/>
                <w:szCs w:val="17"/>
              </w:rPr>
              <w:t xml:space="preserve">      30,241 </w:t>
            </w:r>
          </w:p>
        </w:tc>
        <w:tc>
          <w:tcPr>
            <w:tcW w:w="993" w:type="dxa"/>
            <w:tcBorders>
              <w:top w:val="nil"/>
              <w:left w:val="nil"/>
              <w:bottom w:val="nil"/>
              <w:right w:val="nil"/>
            </w:tcBorders>
            <w:shd w:val="clear" w:color="auto" w:fill="auto"/>
            <w:vAlign w:val="center"/>
            <w:hideMark/>
          </w:tcPr>
          <w:p w14:paraId="39D6D5A7" w14:textId="77777777" w:rsidR="00B9311E" w:rsidRPr="00BD77D8" w:rsidRDefault="00B9311E" w:rsidP="00B9311E">
            <w:pPr>
              <w:spacing w:after="0" w:line="240" w:lineRule="auto"/>
              <w:jc w:val="right"/>
              <w:rPr>
                <w:b/>
                <w:bCs/>
                <w:sz w:val="17"/>
                <w:szCs w:val="17"/>
              </w:rPr>
            </w:pPr>
            <w:r w:rsidRPr="00BD77D8">
              <w:rPr>
                <w:b/>
                <w:bCs/>
                <w:sz w:val="17"/>
                <w:szCs w:val="17"/>
              </w:rPr>
              <w:t xml:space="preserve">            855 </w:t>
            </w:r>
          </w:p>
        </w:tc>
        <w:tc>
          <w:tcPr>
            <w:tcW w:w="1000" w:type="dxa"/>
            <w:tcBorders>
              <w:top w:val="nil"/>
              <w:left w:val="nil"/>
              <w:bottom w:val="nil"/>
              <w:right w:val="nil"/>
            </w:tcBorders>
            <w:shd w:val="clear" w:color="auto" w:fill="auto"/>
            <w:vAlign w:val="center"/>
            <w:hideMark/>
          </w:tcPr>
          <w:p w14:paraId="01CF329A" w14:textId="77777777" w:rsidR="00B9311E" w:rsidRPr="00BD77D8" w:rsidRDefault="00B9311E" w:rsidP="00B9311E">
            <w:pPr>
              <w:spacing w:after="0" w:line="240" w:lineRule="auto"/>
              <w:jc w:val="right"/>
              <w:rPr>
                <w:sz w:val="17"/>
                <w:szCs w:val="17"/>
              </w:rPr>
            </w:pPr>
            <w:r w:rsidRPr="00BD77D8">
              <w:rPr>
                <w:sz w:val="17"/>
                <w:szCs w:val="17"/>
              </w:rPr>
              <w:t xml:space="preserve">         2,374 </w:t>
            </w:r>
          </w:p>
        </w:tc>
        <w:tc>
          <w:tcPr>
            <w:tcW w:w="1134" w:type="dxa"/>
            <w:tcBorders>
              <w:top w:val="nil"/>
              <w:left w:val="nil"/>
              <w:bottom w:val="nil"/>
              <w:right w:val="nil"/>
            </w:tcBorders>
            <w:shd w:val="clear" w:color="auto" w:fill="auto"/>
            <w:vAlign w:val="center"/>
            <w:hideMark/>
          </w:tcPr>
          <w:p w14:paraId="04D4E3A3"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13" w:type="dxa"/>
            <w:tcBorders>
              <w:top w:val="nil"/>
              <w:left w:val="nil"/>
              <w:bottom w:val="nil"/>
              <w:right w:val="nil"/>
            </w:tcBorders>
            <w:shd w:val="clear" w:color="auto" w:fill="auto"/>
            <w:vAlign w:val="center"/>
            <w:hideMark/>
          </w:tcPr>
          <w:p w14:paraId="762DA5B4" w14:textId="77777777" w:rsidR="00B9311E" w:rsidRPr="00BD77D8" w:rsidRDefault="00B9311E" w:rsidP="00B9311E">
            <w:pPr>
              <w:spacing w:after="0" w:line="240" w:lineRule="auto"/>
              <w:jc w:val="right"/>
              <w:rPr>
                <w:b/>
                <w:bCs/>
                <w:sz w:val="17"/>
                <w:szCs w:val="17"/>
              </w:rPr>
            </w:pPr>
            <w:r w:rsidRPr="00BD77D8">
              <w:rPr>
                <w:b/>
                <w:bCs/>
                <w:sz w:val="17"/>
                <w:szCs w:val="17"/>
              </w:rPr>
              <w:t xml:space="preserve">             6,613 </w:t>
            </w:r>
          </w:p>
        </w:tc>
        <w:tc>
          <w:tcPr>
            <w:tcW w:w="1156" w:type="dxa"/>
            <w:tcBorders>
              <w:top w:val="nil"/>
              <w:left w:val="nil"/>
              <w:bottom w:val="nil"/>
              <w:right w:val="nil"/>
            </w:tcBorders>
            <w:shd w:val="clear" w:color="auto" w:fill="auto"/>
            <w:vAlign w:val="center"/>
            <w:hideMark/>
          </w:tcPr>
          <w:p w14:paraId="503AD1C8" w14:textId="77777777" w:rsidR="00B9311E" w:rsidRPr="00BD77D8" w:rsidRDefault="00B9311E" w:rsidP="00B9311E">
            <w:pPr>
              <w:spacing w:after="0" w:line="240" w:lineRule="auto"/>
              <w:jc w:val="right"/>
              <w:rPr>
                <w:sz w:val="17"/>
                <w:szCs w:val="17"/>
              </w:rPr>
            </w:pPr>
            <w:r w:rsidRPr="00BD77D8">
              <w:rPr>
                <w:sz w:val="17"/>
                <w:szCs w:val="17"/>
              </w:rPr>
              <w:t xml:space="preserve">             7,280 </w:t>
            </w:r>
          </w:p>
        </w:tc>
        <w:tc>
          <w:tcPr>
            <w:tcW w:w="1156" w:type="dxa"/>
            <w:tcBorders>
              <w:top w:val="nil"/>
              <w:left w:val="nil"/>
              <w:bottom w:val="nil"/>
              <w:right w:val="nil"/>
            </w:tcBorders>
            <w:shd w:val="clear" w:color="auto" w:fill="auto"/>
            <w:vAlign w:val="center"/>
            <w:hideMark/>
          </w:tcPr>
          <w:p w14:paraId="7B8EC9D5" w14:textId="77777777" w:rsidR="00B9311E" w:rsidRPr="00BD77D8" w:rsidRDefault="00B9311E" w:rsidP="00B9311E">
            <w:pPr>
              <w:spacing w:after="0" w:line="240" w:lineRule="auto"/>
              <w:jc w:val="right"/>
              <w:rPr>
                <w:b/>
                <w:bCs/>
                <w:sz w:val="17"/>
                <w:szCs w:val="17"/>
              </w:rPr>
            </w:pPr>
            <w:r w:rsidRPr="00BD77D8">
              <w:rPr>
                <w:b/>
                <w:bCs/>
                <w:sz w:val="17"/>
                <w:szCs w:val="17"/>
              </w:rPr>
              <w:t xml:space="preserve">           13,770 </w:t>
            </w:r>
          </w:p>
        </w:tc>
        <w:tc>
          <w:tcPr>
            <w:tcW w:w="1285" w:type="dxa"/>
            <w:tcBorders>
              <w:top w:val="nil"/>
              <w:left w:val="nil"/>
              <w:bottom w:val="nil"/>
              <w:right w:val="nil"/>
            </w:tcBorders>
            <w:shd w:val="clear" w:color="auto" w:fill="auto"/>
            <w:vAlign w:val="center"/>
            <w:hideMark/>
          </w:tcPr>
          <w:p w14:paraId="2FE1EAF7" w14:textId="77777777" w:rsidR="00B9311E" w:rsidRPr="00BD77D8" w:rsidRDefault="00B9311E" w:rsidP="00B9311E">
            <w:pPr>
              <w:spacing w:after="0" w:line="240" w:lineRule="auto"/>
              <w:jc w:val="right"/>
              <w:rPr>
                <w:sz w:val="17"/>
                <w:szCs w:val="17"/>
              </w:rPr>
            </w:pPr>
            <w:r w:rsidRPr="00BD77D8">
              <w:rPr>
                <w:sz w:val="17"/>
                <w:szCs w:val="17"/>
              </w:rPr>
              <w:t xml:space="preserve">           14,945 </w:t>
            </w:r>
          </w:p>
        </w:tc>
        <w:tc>
          <w:tcPr>
            <w:tcW w:w="1062" w:type="dxa"/>
            <w:tcBorders>
              <w:top w:val="nil"/>
              <w:left w:val="nil"/>
              <w:bottom w:val="nil"/>
              <w:right w:val="nil"/>
            </w:tcBorders>
            <w:shd w:val="clear" w:color="auto" w:fill="auto"/>
            <w:vAlign w:val="center"/>
            <w:hideMark/>
          </w:tcPr>
          <w:p w14:paraId="08FFBF81" w14:textId="77777777" w:rsidR="00B9311E" w:rsidRPr="00BD77D8" w:rsidRDefault="00B9311E" w:rsidP="00B9311E">
            <w:pPr>
              <w:spacing w:after="0" w:line="240" w:lineRule="auto"/>
              <w:jc w:val="right"/>
              <w:rPr>
                <w:b/>
                <w:bCs/>
                <w:sz w:val="17"/>
                <w:szCs w:val="17"/>
              </w:rPr>
            </w:pPr>
            <w:r w:rsidRPr="00BD77D8">
              <w:rPr>
                <w:b/>
                <w:bCs/>
                <w:sz w:val="17"/>
                <w:szCs w:val="17"/>
              </w:rPr>
              <w:t xml:space="preserve">    51,005 </w:t>
            </w:r>
          </w:p>
        </w:tc>
        <w:tc>
          <w:tcPr>
            <w:tcW w:w="915" w:type="dxa"/>
            <w:tcBorders>
              <w:top w:val="nil"/>
              <w:left w:val="nil"/>
              <w:bottom w:val="nil"/>
              <w:right w:val="nil"/>
            </w:tcBorders>
            <w:shd w:val="clear" w:color="auto" w:fill="auto"/>
            <w:vAlign w:val="center"/>
            <w:hideMark/>
          </w:tcPr>
          <w:p w14:paraId="56626D10" w14:textId="77777777" w:rsidR="00B9311E" w:rsidRPr="00BD77D8" w:rsidRDefault="00B9311E" w:rsidP="00B9311E">
            <w:pPr>
              <w:spacing w:after="0" w:line="240" w:lineRule="auto"/>
              <w:jc w:val="right"/>
              <w:rPr>
                <w:sz w:val="17"/>
                <w:szCs w:val="17"/>
              </w:rPr>
            </w:pPr>
            <w:r w:rsidRPr="00BD77D8">
              <w:rPr>
                <w:sz w:val="17"/>
                <w:szCs w:val="17"/>
              </w:rPr>
              <w:t xml:space="preserve">    54,840 </w:t>
            </w:r>
          </w:p>
        </w:tc>
      </w:tr>
      <w:tr w:rsidR="00BD77D8" w:rsidRPr="00BD77D8" w14:paraId="0EF72180" w14:textId="77777777" w:rsidTr="003057FB">
        <w:trPr>
          <w:trHeight w:val="240"/>
        </w:trPr>
        <w:tc>
          <w:tcPr>
            <w:tcW w:w="3655" w:type="dxa"/>
            <w:tcBorders>
              <w:top w:val="nil"/>
              <w:left w:val="nil"/>
              <w:bottom w:val="nil"/>
              <w:right w:val="nil"/>
            </w:tcBorders>
            <w:shd w:val="clear" w:color="000000" w:fill="FFFFFF"/>
            <w:noWrap/>
            <w:vAlign w:val="bottom"/>
            <w:hideMark/>
          </w:tcPr>
          <w:p w14:paraId="039692AC" w14:textId="77777777" w:rsidR="00B9311E" w:rsidRPr="00BD77D8" w:rsidRDefault="00B9311E" w:rsidP="00B9311E">
            <w:pPr>
              <w:spacing w:after="0" w:line="240" w:lineRule="auto"/>
              <w:ind w:firstLineChars="100" w:firstLine="170"/>
              <w:rPr>
                <w:sz w:val="17"/>
                <w:szCs w:val="17"/>
              </w:rPr>
            </w:pPr>
            <w:r w:rsidRPr="00BD77D8">
              <w:rPr>
                <w:sz w:val="17"/>
                <w:szCs w:val="17"/>
              </w:rPr>
              <w:t xml:space="preserve"> Receivables </w:t>
            </w:r>
          </w:p>
        </w:tc>
        <w:tc>
          <w:tcPr>
            <w:tcW w:w="913" w:type="dxa"/>
            <w:tcBorders>
              <w:top w:val="nil"/>
              <w:left w:val="nil"/>
              <w:bottom w:val="nil"/>
              <w:right w:val="nil"/>
            </w:tcBorders>
            <w:shd w:val="clear" w:color="auto" w:fill="auto"/>
            <w:vAlign w:val="center"/>
            <w:hideMark/>
          </w:tcPr>
          <w:p w14:paraId="428580F7" w14:textId="77777777" w:rsidR="00B9311E" w:rsidRPr="00BD77D8" w:rsidRDefault="00B9311E" w:rsidP="00B9311E">
            <w:pPr>
              <w:spacing w:after="0" w:line="240" w:lineRule="auto"/>
              <w:jc w:val="right"/>
              <w:rPr>
                <w:b/>
                <w:bCs/>
                <w:sz w:val="17"/>
                <w:szCs w:val="17"/>
              </w:rPr>
            </w:pPr>
            <w:r w:rsidRPr="00BD77D8">
              <w:rPr>
                <w:b/>
                <w:bCs/>
                <w:sz w:val="17"/>
                <w:szCs w:val="17"/>
              </w:rPr>
              <w:t xml:space="preserve">         5,654 </w:t>
            </w:r>
          </w:p>
        </w:tc>
        <w:tc>
          <w:tcPr>
            <w:tcW w:w="982" w:type="dxa"/>
            <w:tcBorders>
              <w:top w:val="nil"/>
              <w:left w:val="nil"/>
              <w:bottom w:val="nil"/>
              <w:right w:val="nil"/>
            </w:tcBorders>
            <w:shd w:val="clear" w:color="auto" w:fill="auto"/>
            <w:vAlign w:val="center"/>
            <w:hideMark/>
          </w:tcPr>
          <w:p w14:paraId="16B14B37" w14:textId="77777777" w:rsidR="00B9311E" w:rsidRPr="00BD77D8" w:rsidRDefault="00B9311E" w:rsidP="00B9311E">
            <w:pPr>
              <w:spacing w:after="0" w:line="240" w:lineRule="auto"/>
              <w:jc w:val="right"/>
              <w:rPr>
                <w:sz w:val="17"/>
                <w:szCs w:val="17"/>
              </w:rPr>
            </w:pPr>
            <w:r w:rsidRPr="00BD77D8">
              <w:rPr>
                <w:sz w:val="17"/>
                <w:szCs w:val="17"/>
              </w:rPr>
              <w:t xml:space="preserve">         4,765 </w:t>
            </w:r>
          </w:p>
        </w:tc>
        <w:tc>
          <w:tcPr>
            <w:tcW w:w="993" w:type="dxa"/>
            <w:tcBorders>
              <w:top w:val="nil"/>
              <w:left w:val="nil"/>
              <w:bottom w:val="nil"/>
              <w:right w:val="nil"/>
            </w:tcBorders>
            <w:shd w:val="clear" w:color="auto" w:fill="auto"/>
            <w:vAlign w:val="center"/>
            <w:hideMark/>
          </w:tcPr>
          <w:p w14:paraId="2A9F3B66" w14:textId="77777777" w:rsidR="00B9311E" w:rsidRPr="00BD77D8" w:rsidRDefault="00B9311E" w:rsidP="00B9311E">
            <w:pPr>
              <w:spacing w:after="0" w:line="240" w:lineRule="auto"/>
              <w:jc w:val="right"/>
              <w:rPr>
                <w:b/>
                <w:bCs/>
                <w:sz w:val="17"/>
                <w:szCs w:val="17"/>
              </w:rPr>
            </w:pPr>
            <w:r w:rsidRPr="00BD77D8">
              <w:rPr>
                <w:b/>
                <w:bCs/>
                <w:sz w:val="17"/>
                <w:szCs w:val="17"/>
              </w:rPr>
              <w:t xml:space="preserve">            155 </w:t>
            </w:r>
          </w:p>
        </w:tc>
        <w:tc>
          <w:tcPr>
            <w:tcW w:w="1000" w:type="dxa"/>
            <w:tcBorders>
              <w:top w:val="nil"/>
              <w:left w:val="nil"/>
              <w:bottom w:val="nil"/>
              <w:right w:val="nil"/>
            </w:tcBorders>
            <w:shd w:val="clear" w:color="auto" w:fill="auto"/>
            <w:vAlign w:val="center"/>
            <w:hideMark/>
          </w:tcPr>
          <w:p w14:paraId="39B6774B" w14:textId="77777777" w:rsidR="00B9311E" w:rsidRPr="00BD77D8" w:rsidRDefault="00B9311E" w:rsidP="00B9311E">
            <w:pPr>
              <w:spacing w:after="0" w:line="240" w:lineRule="auto"/>
              <w:jc w:val="right"/>
              <w:rPr>
                <w:sz w:val="17"/>
                <w:szCs w:val="17"/>
              </w:rPr>
            </w:pPr>
            <w:r w:rsidRPr="00BD77D8">
              <w:rPr>
                <w:sz w:val="17"/>
                <w:szCs w:val="17"/>
              </w:rPr>
              <w:t xml:space="preserve">              19 </w:t>
            </w:r>
          </w:p>
        </w:tc>
        <w:tc>
          <w:tcPr>
            <w:tcW w:w="1134" w:type="dxa"/>
            <w:tcBorders>
              <w:top w:val="nil"/>
              <w:left w:val="nil"/>
              <w:bottom w:val="nil"/>
              <w:right w:val="nil"/>
            </w:tcBorders>
            <w:shd w:val="clear" w:color="auto" w:fill="auto"/>
            <w:vAlign w:val="center"/>
            <w:hideMark/>
          </w:tcPr>
          <w:p w14:paraId="280B5DC7"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13" w:type="dxa"/>
            <w:tcBorders>
              <w:top w:val="nil"/>
              <w:left w:val="nil"/>
              <w:bottom w:val="nil"/>
              <w:right w:val="nil"/>
            </w:tcBorders>
            <w:shd w:val="clear" w:color="auto" w:fill="auto"/>
            <w:vAlign w:val="center"/>
            <w:hideMark/>
          </w:tcPr>
          <w:p w14:paraId="5719537D" w14:textId="77777777" w:rsidR="00B9311E" w:rsidRPr="00BD77D8" w:rsidRDefault="00B9311E" w:rsidP="00B9311E">
            <w:pPr>
              <w:spacing w:after="0" w:line="240" w:lineRule="auto"/>
              <w:jc w:val="right"/>
              <w:rPr>
                <w:b/>
                <w:bCs/>
                <w:sz w:val="17"/>
                <w:szCs w:val="17"/>
              </w:rPr>
            </w:pPr>
            <w:r w:rsidRPr="00BD77D8">
              <w:rPr>
                <w:b/>
                <w:bCs/>
                <w:sz w:val="17"/>
                <w:szCs w:val="17"/>
              </w:rPr>
              <w:t xml:space="preserve">                821 </w:t>
            </w:r>
          </w:p>
        </w:tc>
        <w:tc>
          <w:tcPr>
            <w:tcW w:w="1156" w:type="dxa"/>
            <w:tcBorders>
              <w:top w:val="nil"/>
              <w:left w:val="nil"/>
              <w:bottom w:val="nil"/>
              <w:right w:val="nil"/>
            </w:tcBorders>
            <w:shd w:val="clear" w:color="auto" w:fill="auto"/>
            <w:vAlign w:val="center"/>
            <w:hideMark/>
          </w:tcPr>
          <w:p w14:paraId="01A4C518" w14:textId="77777777" w:rsidR="00B9311E" w:rsidRPr="00BD77D8" w:rsidRDefault="00B9311E" w:rsidP="00B9311E">
            <w:pPr>
              <w:spacing w:after="0" w:line="240" w:lineRule="auto"/>
              <w:jc w:val="right"/>
              <w:rPr>
                <w:sz w:val="17"/>
                <w:szCs w:val="17"/>
              </w:rPr>
            </w:pPr>
            <w:r w:rsidRPr="00BD77D8">
              <w:rPr>
                <w:sz w:val="17"/>
                <w:szCs w:val="17"/>
              </w:rPr>
              <w:t xml:space="preserve">                590 </w:t>
            </w:r>
          </w:p>
        </w:tc>
        <w:tc>
          <w:tcPr>
            <w:tcW w:w="1156" w:type="dxa"/>
            <w:tcBorders>
              <w:top w:val="nil"/>
              <w:left w:val="nil"/>
              <w:bottom w:val="nil"/>
              <w:right w:val="nil"/>
            </w:tcBorders>
            <w:shd w:val="clear" w:color="auto" w:fill="auto"/>
            <w:vAlign w:val="center"/>
            <w:hideMark/>
          </w:tcPr>
          <w:p w14:paraId="2929E5AA" w14:textId="77777777" w:rsidR="00B9311E" w:rsidRPr="00BD77D8" w:rsidRDefault="00B9311E" w:rsidP="00B9311E">
            <w:pPr>
              <w:spacing w:after="0" w:line="240" w:lineRule="auto"/>
              <w:jc w:val="right"/>
              <w:rPr>
                <w:b/>
                <w:bCs/>
                <w:sz w:val="17"/>
                <w:szCs w:val="17"/>
              </w:rPr>
            </w:pPr>
            <w:r w:rsidRPr="00BD77D8">
              <w:rPr>
                <w:b/>
                <w:bCs/>
                <w:sz w:val="17"/>
                <w:szCs w:val="17"/>
              </w:rPr>
              <w:t xml:space="preserve">                880 </w:t>
            </w:r>
          </w:p>
        </w:tc>
        <w:tc>
          <w:tcPr>
            <w:tcW w:w="1285" w:type="dxa"/>
            <w:tcBorders>
              <w:top w:val="nil"/>
              <w:left w:val="nil"/>
              <w:bottom w:val="nil"/>
              <w:right w:val="nil"/>
            </w:tcBorders>
            <w:shd w:val="clear" w:color="auto" w:fill="auto"/>
            <w:vAlign w:val="center"/>
            <w:hideMark/>
          </w:tcPr>
          <w:p w14:paraId="475C6A39" w14:textId="77777777" w:rsidR="00B9311E" w:rsidRPr="00BD77D8" w:rsidRDefault="00B9311E" w:rsidP="00B9311E">
            <w:pPr>
              <w:spacing w:after="0" w:line="240" w:lineRule="auto"/>
              <w:jc w:val="right"/>
              <w:rPr>
                <w:sz w:val="17"/>
                <w:szCs w:val="17"/>
              </w:rPr>
            </w:pPr>
            <w:r w:rsidRPr="00BD77D8">
              <w:rPr>
                <w:sz w:val="17"/>
                <w:szCs w:val="17"/>
              </w:rPr>
              <w:t xml:space="preserve">                636 </w:t>
            </w:r>
          </w:p>
        </w:tc>
        <w:tc>
          <w:tcPr>
            <w:tcW w:w="1062" w:type="dxa"/>
            <w:tcBorders>
              <w:top w:val="nil"/>
              <w:left w:val="nil"/>
              <w:bottom w:val="nil"/>
              <w:right w:val="nil"/>
            </w:tcBorders>
            <w:shd w:val="clear" w:color="auto" w:fill="auto"/>
            <w:vAlign w:val="center"/>
            <w:hideMark/>
          </w:tcPr>
          <w:p w14:paraId="3F63EC47" w14:textId="77777777" w:rsidR="00B9311E" w:rsidRPr="00BD77D8" w:rsidRDefault="00B9311E" w:rsidP="00B9311E">
            <w:pPr>
              <w:spacing w:after="0" w:line="240" w:lineRule="auto"/>
              <w:jc w:val="right"/>
              <w:rPr>
                <w:b/>
                <w:bCs/>
                <w:sz w:val="17"/>
                <w:szCs w:val="17"/>
              </w:rPr>
            </w:pPr>
            <w:r w:rsidRPr="00BD77D8">
              <w:rPr>
                <w:b/>
                <w:bCs/>
                <w:sz w:val="17"/>
                <w:szCs w:val="17"/>
              </w:rPr>
              <w:t xml:space="preserve">       7,510 </w:t>
            </w:r>
          </w:p>
        </w:tc>
        <w:tc>
          <w:tcPr>
            <w:tcW w:w="915" w:type="dxa"/>
            <w:tcBorders>
              <w:top w:val="nil"/>
              <w:left w:val="nil"/>
              <w:bottom w:val="nil"/>
              <w:right w:val="nil"/>
            </w:tcBorders>
            <w:shd w:val="clear" w:color="auto" w:fill="auto"/>
            <w:vAlign w:val="center"/>
            <w:hideMark/>
          </w:tcPr>
          <w:p w14:paraId="776C4099" w14:textId="77777777" w:rsidR="00B9311E" w:rsidRPr="00BD77D8" w:rsidRDefault="00B9311E" w:rsidP="00B9311E">
            <w:pPr>
              <w:spacing w:after="0" w:line="240" w:lineRule="auto"/>
              <w:jc w:val="right"/>
              <w:rPr>
                <w:sz w:val="17"/>
                <w:szCs w:val="17"/>
              </w:rPr>
            </w:pPr>
            <w:r w:rsidRPr="00BD77D8">
              <w:rPr>
                <w:sz w:val="17"/>
                <w:szCs w:val="17"/>
              </w:rPr>
              <w:t xml:space="preserve">       6,009 </w:t>
            </w:r>
          </w:p>
        </w:tc>
      </w:tr>
      <w:tr w:rsidR="00BD77D8" w:rsidRPr="00BD77D8" w14:paraId="665468F9" w14:textId="77777777" w:rsidTr="003057FB">
        <w:trPr>
          <w:trHeight w:val="240"/>
        </w:trPr>
        <w:tc>
          <w:tcPr>
            <w:tcW w:w="3655" w:type="dxa"/>
            <w:tcBorders>
              <w:top w:val="nil"/>
              <w:left w:val="nil"/>
              <w:bottom w:val="nil"/>
              <w:right w:val="nil"/>
            </w:tcBorders>
            <w:shd w:val="clear" w:color="000000" w:fill="FFFFFF"/>
            <w:noWrap/>
            <w:vAlign w:val="bottom"/>
            <w:hideMark/>
          </w:tcPr>
          <w:p w14:paraId="39CCDEFA" w14:textId="77777777" w:rsidR="00B9311E" w:rsidRPr="00BD77D8" w:rsidRDefault="00B9311E" w:rsidP="00B9311E">
            <w:pPr>
              <w:spacing w:after="0" w:line="240" w:lineRule="auto"/>
              <w:ind w:firstLineChars="100" w:firstLine="170"/>
              <w:rPr>
                <w:sz w:val="17"/>
                <w:szCs w:val="17"/>
              </w:rPr>
            </w:pPr>
            <w:r w:rsidRPr="00BD77D8">
              <w:rPr>
                <w:sz w:val="17"/>
                <w:szCs w:val="17"/>
              </w:rPr>
              <w:t xml:space="preserve"> Other current assets   </w:t>
            </w:r>
          </w:p>
        </w:tc>
        <w:tc>
          <w:tcPr>
            <w:tcW w:w="913" w:type="dxa"/>
            <w:tcBorders>
              <w:top w:val="nil"/>
              <w:left w:val="nil"/>
              <w:bottom w:val="nil"/>
              <w:right w:val="nil"/>
            </w:tcBorders>
            <w:shd w:val="clear" w:color="auto" w:fill="auto"/>
            <w:vAlign w:val="center"/>
            <w:hideMark/>
          </w:tcPr>
          <w:p w14:paraId="0392EE7F" w14:textId="77777777" w:rsidR="00B9311E" w:rsidRPr="00BD77D8" w:rsidRDefault="00B9311E" w:rsidP="00B9311E">
            <w:pPr>
              <w:spacing w:after="0" w:line="240" w:lineRule="auto"/>
              <w:jc w:val="right"/>
              <w:rPr>
                <w:b/>
                <w:bCs/>
                <w:sz w:val="17"/>
                <w:szCs w:val="17"/>
              </w:rPr>
            </w:pPr>
            <w:r w:rsidRPr="00BD77D8">
              <w:rPr>
                <w:b/>
                <w:bCs/>
                <w:sz w:val="17"/>
                <w:szCs w:val="17"/>
              </w:rPr>
              <w:t xml:space="preserve">            689 </w:t>
            </w:r>
          </w:p>
        </w:tc>
        <w:tc>
          <w:tcPr>
            <w:tcW w:w="982" w:type="dxa"/>
            <w:tcBorders>
              <w:top w:val="nil"/>
              <w:left w:val="nil"/>
              <w:bottom w:val="nil"/>
              <w:right w:val="nil"/>
            </w:tcBorders>
            <w:shd w:val="clear" w:color="auto" w:fill="auto"/>
            <w:vAlign w:val="center"/>
            <w:hideMark/>
          </w:tcPr>
          <w:p w14:paraId="36D4312A" w14:textId="77777777" w:rsidR="00B9311E" w:rsidRPr="00BD77D8" w:rsidRDefault="00B9311E" w:rsidP="00B9311E">
            <w:pPr>
              <w:spacing w:after="0" w:line="240" w:lineRule="auto"/>
              <w:jc w:val="right"/>
              <w:rPr>
                <w:sz w:val="17"/>
                <w:szCs w:val="17"/>
              </w:rPr>
            </w:pPr>
            <w:r w:rsidRPr="00BD77D8">
              <w:rPr>
                <w:sz w:val="17"/>
                <w:szCs w:val="17"/>
              </w:rPr>
              <w:t xml:space="preserve">         1,173 </w:t>
            </w:r>
          </w:p>
        </w:tc>
        <w:tc>
          <w:tcPr>
            <w:tcW w:w="993" w:type="dxa"/>
            <w:tcBorders>
              <w:top w:val="nil"/>
              <w:left w:val="nil"/>
              <w:bottom w:val="nil"/>
              <w:right w:val="nil"/>
            </w:tcBorders>
            <w:shd w:val="clear" w:color="auto" w:fill="auto"/>
            <w:vAlign w:val="center"/>
            <w:hideMark/>
          </w:tcPr>
          <w:p w14:paraId="056EE67D" w14:textId="77777777" w:rsidR="00B9311E" w:rsidRPr="00BD77D8" w:rsidRDefault="00B9311E" w:rsidP="00B9311E">
            <w:pPr>
              <w:spacing w:after="0" w:line="240" w:lineRule="auto"/>
              <w:jc w:val="right"/>
              <w:rPr>
                <w:b/>
                <w:bCs/>
                <w:sz w:val="17"/>
                <w:szCs w:val="17"/>
              </w:rPr>
            </w:pPr>
            <w:r w:rsidRPr="00BD77D8">
              <w:rPr>
                <w:b/>
                <w:bCs/>
                <w:sz w:val="17"/>
                <w:szCs w:val="17"/>
              </w:rPr>
              <w:t xml:space="preserve">                 8 </w:t>
            </w:r>
          </w:p>
        </w:tc>
        <w:tc>
          <w:tcPr>
            <w:tcW w:w="1000" w:type="dxa"/>
            <w:tcBorders>
              <w:top w:val="nil"/>
              <w:left w:val="nil"/>
              <w:bottom w:val="nil"/>
              <w:right w:val="nil"/>
            </w:tcBorders>
            <w:shd w:val="clear" w:color="auto" w:fill="auto"/>
            <w:vAlign w:val="center"/>
            <w:hideMark/>
          </w:tcPr>
          <w:p w14:paraId="0A8CEECE" w14:textId="77777777" w:rsidR="00B9311E" w:rsidRPr="00BD77D8" w:rsidRDefault="00B9311E" w:rsidP="00B9311E">
            <w:pPr>
              <w:spacing w:after="0" w:line="240" w:lineRule="auto"/>
              <w:jc w:val="right"/>
              <w:rPr>
                <w:sz w:val="17"/>
                <w:szCs w:val="17"/>
              </w:rPr>
            </w:pPr>
            <w:r w:rsidRPr="00BD77D8">
              <w:rPr>
                <w:sz w:val="17"/>
                <w:szCs w:val="17"/>
              </w:rPr>
              <w:t xml:space="preserve">              10 </w:t>
            </w:r>
          </w:p>
        </w:tc>
        <w:tc>
          <w:tcPr>
            <w:tcW w:w="1134" w:type="dxa"/>
            <w:tcBorders>
              <w:top w:val="nil"/>
              <w:left w:val="nil"/>
              <w:bottom w:val="nil"/>
              <w:right w:val="nil"/>
            </w:tcBorders>
            <w:shd w:val="clear" w:color="auto" w:fill="auto"/>
            <w:vAlign w:val="center"/>
            <w:hideMark/>
          </w:tcPr>
          <w:p w14:paraId="5BB1FA73"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13" w:type="dxa"/>
            <w:tcBorders>
              <w:top w:val="nil"/>
              <w:left w:val="nil"/>
              <w:bottom w:val="nil"/>
              <w:right w:val="nil"/>
            </w:tcBorders>
            <w:shd w:val="clear" w:color="auto" w:fill="auto"/>
            <w:vAlign w:val="center"/>
            <w:hideMark/>
          </w:tcPr>
          <w:p w14:paraId="55E1EEA9" w14:textId="77777777" w:rsidR="00B9311E" w:rsidRPr="00BD77D8" w:rsidRDefault="00B9311E" w:rsidP="00B9311E">
            <w:pPr>
              <w:spacing w:after="0" w:line="240" w:lineRule="auto"/>
              <w:jc w:val="right"/>
              <w:rPr>
                <w:b/>
                <w:bCs/>
                <w:sz w:val="17"/>
                <w:szCs w:val="17"/>
              </w:rPr>
            </w:pPr>
            <w:r w:rsidRPr="00BD77D8">
              <w:rPr>
                <w:b/>
                <w:bCs/>
                <w:sz w:val="17"/>
                <w:szCs w:val="17"/>
              </w:rPr>
              <w:t xml:space="preserve">                105 </w:t>
            </w:r>
          </w:p>
        </w:tc>
        <w:tc>
          <w:tcPr>
            <w:tcW w:w="1156" w:type="dxa"/>
            <w:tcBorders>
              <w:top w:val="nil"/>
              <w:left w:val="nil"/>
              <w:bottom w:val="nil"/>
              <w:right w:val="nil"/>
            </w:tcBorders>
            <w:shd w:val="clear" w:color="auto" w:fill="auto"/>
            <w:vAlign w:val="center"/>
            <w:hideMark/>
          </w:tcPr>
          <w:p w14:paraId="578D9DEA" w14:textId="77777777" w:rsidR="00B9311E" w:rsidRPr="00BD77D8" w:rsidRDefault="00B9311E" w:rsidP="00B9311E">
            <w:pPr>
              <w:spacing w:after="0" w:line="240" w:lineRule="auto"/>
              <w:jc w:val="right"/>
              <w:rPr>
                <w:sz w:val="17"/>
                <w:szCs w:val="17"/>
              </w:rPr>
            </w:pPr>
            <w:r w:rsidRPr="00BD77D8">
              <w:rPr>
                <w:sz w:val="17"/>
                <w:szCs w:val="17"/>
              </w:rPr>
              <w:t xml:space="preserve">                252 </w:t>
            </w:r>
          </w:p>
        </w:tc>
        <w:tc>
          <w:tcPr>
            <w:tcW w:w="1156" w:type="dxa"/>
            <w:tcBorders>
              <w:top w:val="nil"/>
              <w:left w:val="nil"/>
              <w:bottom w:val="nil"/>
              <w:right w:val="nil"/>
            </w:tcBorders>
            <w:shd w:val="clear" w:color="auto" w:fill="auto"/>
            <w:vAlign w:val="center"/>
            <w:hideMark/>
          </w:tcPr>
          <w:p w14:paraId="6EEFEFA6" w14:textId="77777777" w:rsidR="00B9311E" w:rsidRPr="00BD77D8" w:rsidRDefault="00B9311E" w:rsidP="00B9311E">
            <w:pPr>
              <w:spacing w:after="0" w:line="240" w:lineRule="auto"/>
              <w:jc w:val="right"/>
              <w:rPr>
                <w:b/>
                <w:bCs/>
                <w:sz w:val="17"/>
                <w:szCs w:val="17"/>
              </w:rPr>
            </w:pPr>
            <w:r w:rsidRPr="00BD77D8">
              <w:rPr>
                <w:b/>
                <w:bCs/>
                <w:sz w:val="17"/>
                <w:szCs w:val="17"/>
              </w:rPr>
              <w:t xml:space="preserve">                180 </w:t>
            </w:r>
          </w:p>
        </w:tc>
        <w:tc>
          <w:tcPr>
            <w:tcW w:w="1285" w:type="dxa"/>
            <w:tcBorders>
              <w:top w:val="nil"/>
              <w:left w:val="nil"/>
              <w:bottom w:val="nil"/>
              <w:right w:val="nil"/>
            </w:tcBorders>
            <w:shd w:val="clear" w:color="auto" w:fill="auto"/>
            <w:vAlign w:val="center"/>
            <w:hideMark/>
          </w:tcPr>
          <w:p w14:paraId="05C9A4C0" w14:textId="77777777" w:rsidR="00B9311E" w:rsidRPr="00BD77D8" w:rsidRDefault="00B9311E" w:rsidP="00B9311E">
            <w:pPr>
              <w:spacing w:after="0" w:line="240" w:lineRule="auto"/>
              <w:jc w:val="right"/>
              <w:rPr>
                <w:sz w:val="17"/>
                <w:szCs w:val="17"/>
              </w:rPr>
            </w:pPr>
            <w:r w:rsidRPr="00BD77D8">
              <w:rPr>
                <w:sz w:val="17"/>
                <w:szCs w:val="17"/>
              </w:rPr>
              <w:t xml:space="preserve">                339 </w:t>
            </w:r>
          </w:p>
        </w:tc>
        <w:tc>
          <w:tcPr>
            <w:tcW w:w="1062" w:type="dxa"/>
            <w:tcBorders>
              <w:top w:val="nil"/>
              <w:left w:val="nil"/>
              <w:bottom w:val="nil"/>
              <w:right w:val="nil"/>
            </w:tcBorders>
            <w:shd w:val="clear" w:color="auto" w:fill="auto"/>
            <w:vAlign w:val="center"/>
            <w:hideMark/>
          </w:tcPr>
          <w:p w14:paraId="23C20D87" w14:textId="77777777" w:rsidR="00B9311E" w:rsidRPr="00BD77D8" w:rsidRDefault="00B9311E" w:rsidP="00B9311E">
            <w:pPr>
              <w:spacing w:after="0" w:line="240" w:lineRule="auto"/>
              <w:jc w:val="right"/>
              <w:rPr>
                <w:b/>
                <w:bCs/>
                <w:sz w:val="17"/>
                <w:szCs w:val="17"/>
              </w:rPr>
            </w:pPr>
            <w:r w:rsidRPr="00BD77D8">
              <w:rPr>
                <w:b/>
                <w:bCs/>
                <w:sz w:val="17"/>
                <w:szCs w:val="17"/>
              </w:rPr>
              <w:t xml:space="preserve">          982 </w:t>
            </w:r>
          </w:p>
        </w:tc>
        <w:tc>
          <w:tcPr>
            <w:tcW w:w="915" w:type="dxa"/>
            <w:tcBorders>
              <w:top w:val="nil"/>
              <w:left w:val="nil"/>
              <w:bottom w:val="nil"/>
              <w:right w:val="nil"/>
            </w:tcBorders>
            <w:shd w:val="clear" w:color="auto" w:fill="auto"/>
            <w:vAlign w:val="center"/>
            <w:hideMark/>
          </w:tcPr>
          <w:p w14:paraId="668DBB39" w14:textId="77777777" w:rsidR="00B9311E" w:rsidRPr="00BD77D8" w:rsidRDefault="00B9311E" w:rsidP="00B9311E">
            <w:pPr>
              <w:spacing w:after="0" w:line="240" w:lineRule="auto"/>
              <w:jc w:val="right"/>
              <w:rPr>
                <w:sz w:val="17"/>
                <w:szCs w:val="17"/>
              </w:rPr>
            </w:pPr>
            <w:r w:rsidRPr="00BD77D8">
              <w:rPr>
                <w:sz w:val="17"/>
                <w:szCs w:val="17"/>
              </w:rPr>
              <w:t xml:space="preserve">       1,774 </w:t>
            </w:r>
          </w:p>
        </w:tc>
      </w:tr>
      <w:tr w:rsidR="00BD77D8" w:rsidRPr="00BD77D8" w14:paraId="1F5368EE" w14:textId="77777777" w:rsidTr="003057FB">
        <w:trPr>
          <w:trHeight w:val="240"/>
        </w:trPr>
        <w:tc>
          <w:tcPr>
            <w:tcW w:w="3655" w:type="dxa"/>
            <w:tcBorders>
              <w:top w:val="nil"/>
              <w:left w:val="nil"/>
              <w:bottom w:val="nil"/>
              <w:right w:val="nil"/>
            </w:tcBorders>
            <w:shd w:val="clear" w:color="auto" w:fill="auto"/>
            <w:noWrap/>
            <w:vAlign w:val="bottom"/>
            <w:hideMark/>
          </w:tcPr>
          <w:p w14:paraId="4F4C0E8B" w14:textId="77777777" w:rsidR="00B9311E" w:rsidRPr="00BD77D8" w:rsidRDefault="00B9311E" w:rsidP="00B9311E">
            <w:pPr>
              <w:spacing w:after="0" w:line="240" w:lineRule="auto"/>
              <w:ind w:firstLineChars="83" w:firstLine="141"/>
              <w:rPr>
                <w:sz w:val="17"/>
                <w:szCs w:val="17"/>
              </w:rPr>
            </w:pPr>
            <w:r w:rsidRPr="00BD77D8">
              <w:rPr>
                <w:sz w:val="17"/>
                <w:szCs w:val="17"/>
              </w:rPr>
              <w:t xml:space="preserve"> Non-current assets classified as held for sale </w:t>
            </w:r>
          </w:p>
        </w:tc>
        <w:tc>
          <w:tcPr>
            <w:tcW w:w="913" w:type="dxa"/>
            <w:tcBorders>
              <w:top w:val="nil"/>
              <w:left w:val="nil"/>
              <w:bottom w:val="nil"/>
              <w:right w:val="nil"/>
            </w:tcBorders>
            <w:shd w:val="clear" w:color="auto" w:fill="auto"/>
            <w:vAlign w:val="center"/>
            <w:hideMark/>
          </w:tcPr>
          <w:p w14:paraId="33D6CE87" w14:textId="77777777" w:rsidR="00B9311E" w:rsidRPr="00BD77D8" w:rsidRDefault="00B9311E" w:rsidP="00B9311E">
            <w:pPr>
              <w:spacing w:after="0" w:line="240" w:lineRule="auto"/>
              <w:jc w:val="right"/>
              <w:rPr>
                <w:b/>
                <w:bCs/>
                <w:sz w:val="17"/>
                <w:szCs w:val="17"/>
              </w:rPr>
            </w:pPr>
            <w:r w:rsidRPr="00BD77D8">
              <w:rPr>
                <w:b/>
                <w:bCs/>
                <w:sz w:val="17"/>
                <w:szCs w:val="17"/>
              </w:rPr>
              <w:t xml:space="preserve">            880 </w:t>
            </w:r>
          </w:p>
        </w:tc>
        <w:tc>
          <w:tcPr>
            <w:tcW w:w="982" w:type="dxa"/>
            <w:tcBorders>
              <w:top w:val="nil"/>
              <w:left w:val="nil"/>
              <w:bottom w:val="nil"/>
              <w:right w:val="nil"/>
            </w:tcBorders>
            <w:shd w:val="clear" w:color="auto" w:fill="auto"/>
            <w:vAlign w:val="center"/>
            <w:hideMark/>
          </w:tcPr>
          <w:p w14:paraId="52BDD753"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993" w:type="dxa"/>
            <w:tcBorders>
              <w:top w:val="nil"/>
              <w:left w:val="nil"/>
              <w:bottom w:val="nil"/>
              <w:right w:val="nil"/>
            </w:tcBorders>
            <w:shd w:val="clear" w:color="auto" w:fill="auto"/>
            <w:vAlign w:val="center"/>
            <w:hideMark/>
          </w:tcPr>
          <w:p w14:paraId="57FA7387"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000" w:type="dxa"/>
            <w:tcBorders>
              <w:top w:val="nil"/>
              <w:left w:val="nil"/>
              <w:bottom w:val="nil"/>
              <w:right w:val="nil"/>
            </w:tcBorders>
            <w:shd w:val="clear" w:color="auto" w:fill="auto"/>
            <w:vAlign w:val="center"/>
            <w:hideMark/>
          </w:tcPr>
          <w:p w14:paraId="3E2EDCDB"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34" w:type="dxa"/>
            <w:tcBorders>
              <w:top w:val="nil"/>
              <w:left w:val="nil"/>
              <w:bottom w:val="nil"/>
              <w:right w:val="nil"/>
            </w:tcBorders>
            <w:shd w:val="clear" w:color="auto" w:fill="auto"/>
            <w:vAlign w:val="center"/>
            <w:hideMark/>
          </w:tcPr>
          <w:p w14:paraId="26DB9D18"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13" w:type="dxa"/>
            <w:tcBorders>
              <w:top w:val="nil"/>
              <w:left w:val="nil"/>
              <w:bottom w:val="nil"/>
              <w:right w:val="nil"/>
            </w:tcBorders>
            <w:shd w:val="clear" w:color="auto" w:fill="auto"/>
            <w:vAlign w:val="center"/>
            <w:hideMark/>
          </w:tcPr>
          <w:p w14:paraId="52266BE6"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156" w:type="dxa"/>
            <w:tcBorders>
              <w:top w:val="nil"/>
              <w:left w:val="nil"/>
              <w:bottom w:val="nil"/>
              <w:right w:val="nil"/>
            </w:tcBorders>
            <w:shd w:val="clear" w:color="auto" w:fill="auto"/>
            <w:vAlign w:val="center"/>
            <w:hideMark/>
          </w:tcPr>
          <w:p w14:paraId="270629A7"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56" w:type="dxa"/>
            <w:tcBorders>
              <w:top w:val="nil"/>
              <w:left w:val="nil"/>
              <w:bottom w:val="nil"/>
              <w:right w:val="nil"/>
            </w:tcBorders>
            <w:shd w:val="clear" w:color="auto" w:fill="auto"/>
            <w:vAlign w:val="center"/>
            <w:hideMark/>
          </w:tcPr>
          <w:p w14:paraId="3278B001"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285" w:type="dxa"/>
            <w:tcBorders>
              <w:top w:val="nil"/>
              <w:left w:val="nil"/>
              <w:bottom w:val="nil"/>
              <w:right w:val="nil"/>
            </w:tcBorders>
            <w:shd w:val="clear" w:color="auto" w:fill="auto"/>
            <w:vAlign w:val="center"/>
            <w:hideMark/>
          </w:tcPr>
          <w:p w14:paraId="5B04E303"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062" w:type="dxa"/>
            <w:tcBorders>
              <w:top w:val="nil"/>
              <w:left w:val="nil"/>
              <w:bottom w:val="nil"/>
              <w:right w:val="nil"/>
            </w:tcBorders>
            <w:shd w:val="clear" w:color="auto" w:fill="auto"/>
            <w:vAlign w:val="center"/>
            <w:hideMark/>
          </w:tcPr>
          <w:p w14:paraId="6585E352" w14:textId="77777777" w:rsidR="00B9311E" w:rsidRPr="00BD77D8" w:rsidRDefault="00B9311E" w:rsidP="00B9311E">
            <w:pPr>
              <w:spacing w:after="0" w:line="240" w:lineRule="auto"/>
              <w:jc w:val="right"/>
              <w:rPr>
                <w:b/>
                <w:bCs/>
                <w:sz w:val="17"/>
                <w:szCs w:val="17"/>
              </w:rPr>
            </w:pPr>
            <w:r w:rsidRPr="00BD77D8">
              <w:rPr>
                <w:b/>
                <w:bCs/>
                <w:sz w:val="17"/>
                <w:szCs w:val="17"/>
              </w:rPr>
              <w:t xml:space="preserve">          880 </w:t>
            </w:r>
          </w:p>
        </w:tc>
        <w:tc>
          <w:tcPr>
            <w:tcW w:w="915" w:type="dxa"/>
            <w:tcBorders>
              <w:top w:val="nil"/>
              <w:left w:val="nil"/>
              <w:bottom w:val="nil"/>
              <w:right w:val="nil"/>
            </w:tcBorders>
            <w:shd w:val="clear" w:color="auto" w:fill="auto"/>
            <w:vAlign w:val="center"/>
            <w:hideMark/>
          </w:tcPr>
          <w:p w14:paraId="5C6EBCF2" w14:textId="77777777" w:rsidR="00B9311E" w:rsidRPr="00BD77D8" w:rsidRDefault="00B9311E" w:rsidP="00B9311E">
            <w:pPr>
              <w:spacing w:after="0" w:line="240" w:lineRule="auto"/>
              <w:jc w:val="right"/>
              <w:rPr>
                <w:sz w:val="17"/>
                <w:szCs w:val="17"/>
              </w:rPr>
            </w:pPr>
            <w:r w:rsidRPr="00BD77D8">
              <w:rPr>
                <w:sz w:val="17"/>
                <w:szCs w:val="17"/>
              </w:rPr>
              <w:t xml:space="preserve">                - </w:t>
            </w:r>
          </w:p>
        </w:tc>
      </w:tr>
      <w:tr w:rsidR="00BD77D8" w:rsidRPr="00BD77D8" w14:paraId="447E68A3" w14:textId="77777777" w:rsidTr="003057FB">
        <w:trPr>
          <w:trHeight w:val="240"/>
        </w:trPr>
        <w:tc>
          <w:tcPr>
            <w:tcW w:w="3655" w:type="dxa"/>
            <w:tcBorders>
              <w:top w:val="nil"/>
              <w:left w:val="nil"/>
              <w:bottom w:val="nil"/>
              <w:right w:val="nil"/>
            </w:tcBorders>
            <w:shd w:val="clear" w:color="auto" w:fill="auto"/>
            <w:noWrap/>
            <w:vAlign w:val="bottom"/>
            <w:hideMark/>
          </w:tcPr>
          <w:p w14:paraId="5DED4435" w14:textId="77777777" w:rsidR="00B9311E" w:rsidRPr="00BD77D8" w:rsidRDefault="00B9311E" w:rsidP="00B9311E">
            <w:pPr>
              <w:spacing w:after="0" w:line="240" w:lineRule="auto"/>
              <w:rPr>
                <w:b/>
                <w:bCs/>
                <w:sz w:val="17"/>
                <w:szCs w:val="17"/>
              </w:rPr>
            </w:pPr>
            <w:r w:rsidRPr="00BD77D8">
              <w:rPr>
                <w:b/>
                <w:bCs/>
                <w:sz w:val="17"/>
                <w:szCs w:val="17"/>
              </w:rPr>
              <w:t xml:space="preserve"> Total Current Assets </w:t>
            </w:r>
          </w:p>
        </w:tc>
        <w:tc>
          <w:tcPr>
            <w:tcW w:w="913" w:type="dxa"/>
            <w:tcBorders>
              <w:top w:val="single" w:sz="4" w:space="0" w:color="auto"/>
              <w:left w:val="nil"/>
              <w:bottom w:val="single" w:sz="4" w:space="0" w:color="auto"/>
              <w:right w:val="nil"/>
            </w:tcBorders>
            <w:shd w:val="clear" w:color="auto" w:fill="auto"/>
            <w:vAlign w:val="center"/>
            <w:hideMark/>
          </w:tcPr>
          <w:p w14:paraId="725E859C" w14:textId="77777777" w:rsidR="00B9311E" w:rsidRPr="00BD77D8" w:rsidRDefault="00B9311E" w:rsidP="00B9311E">
            <w:pPr>
              <w:spacing w:after="0" w:line="240" w:lineRule="auto"/>
              <w:jc w:val="right"/>
              <w:rPr>
                <w:b/>
                <w:bCs/>
                <w:sz w:val="17"/>
                <w:szCs w:val="17"/>
              </w:rPr>
            </w:pPr>
            <w:r w:rsidRPr="00BD77D8">
              <w:rPr>
                <w:b/>
                <w:bCs/>
                <w:sz w:val="17"/>
                <w:szCs w:val="17"/>
              </w:rPr>
              <w:t xml:space="preserve">      36,990 </w:t>
            </w:r>
          </w:p>
        </w:tc>
        <w:tc>
          <w:tcPr>
            <w:tcW w:w="982" w:type="dxa"/>
            <w:tcBorders>
              <w:top w:val="single" w:sz="4" w:space="0" w:color="auto"/>
              <w:left w:val="nil"/>
              <w:bottom w:val="single" w:sz="4" w:space="0" w:color="auto"/>
              <w:right w:val="nil"/>
            </w:tcBorders>
            <w:shd w:val="clear" w:color="auto" w:fill="auto"/>
            <w:vAlign w:val="center"/>
            <w:hideMark/>
          </w:tcPr>
          <w:p w14:paraId="2F38A224" w14:textId="77777777" w:rsidR="00B9311E" w:rsidRPr="00BD77D8" w:rsidRDefault="00B9311E" w:rsidP="00B9311E">
            <w:pPr>
              <w:spacing w:after="0" w:line="240" w:lineRule="auto"/>
              <w:jc w:val="right"/>
              <w:rPr>
                <w:b/>
                <w:bCs/>
                <w:sz w:val="17"/>
                <w:szCs w:val="17"/>
              </w:rPr>
            </w:pPr>
            <w:r w:rsidRPr="00BD77D8">
              <w:rPr>
                <w:b/>
                <w:bCs/>
                <w:sz w:val="17"/>
                <w:szCs w:val="17"/>
              </w:rPr>
              <w:t xml:space="preserve">      36,178 </w:t>
            </w:r>
          </w:p>
        </w:tc>
        <w:tc>
          <w:tcPr>
            <w:tcW w:w="993" w:type="dxa"/>
            <w:tcBorders>
              <w:top w:val="single" w:sz="4" w:space="0" w:color="auto"/>
              <w:left w:val="nil"/>
              <w:bottom w:val="single" w:sz="4" w:space="0" w:color="auto"/>
              <w:right w:val="nil"/>
            </w:tcBorders>
            <w:shd w:val="clear" w:color="auto" w:fill="auto"/>
            <w:vAlign w:val="center"/>
            <w:hideMark/>
          </w:tcPr>
          <w:p w14:paraId="2AB10B48" w14:textId="77777777" w:rsidR="00B9311E" w:rsidRPr="00BD77D8" w:rsidRDefault="00B9311E" w:rsidP="00B9311E">
            <w:pPr>
              <w:spacing w:after="0" w:line="240" w:lineRule="auto"/>
              <w:jc w:val="right"/>
              <w:rPr>
                <w:b/>
                <w:bCs/>
                <w:sz w:val="17"/>
                <w:szCs w:val="17"/>
              </w:rPr>
            </w:pPr>
            <w:r w:rsidRPr="00BD77D8">
              <w:rPr>
                <w:b/>
                <w:bCs/>
                <w:sz w:val="17"/>
                <w:szCs w:val="17"/>
              </w:rPr>
              <w:t xml:space="preserve">         1,018 </w:t>
            </w:r>
          </w:p>
        </w:tc>
        <w:tc>
          <w:tcPr>
            <w:tcW w:w="1000" w:type="dxa"/>
            <w:tcBorders>
              <w:top w:val="single" w:sz="4" w:space="0" w:color="auto"/>
              <w:left w:val="nil"/>
              <w:bottom w:val="single" w:sz="4" w:space="0" w:color="auto"/>
              <w:right w:val="nil"/>
            </w:tcBorders>
            <w:shd w:val="clear" w:color="auto" w:fill="auto"/>
            <w:vAlign w:val="center"/>
            <w:hideMark/>
          </w:tcPr>
          <w:p w14:paraId="650A9894" w14:textId="77777777" w:rsidR="00B9311E" w:rsidRPr="00BD77D8" w:rsidRDefault="00B9311E" w:rsidP="00B9311E">
            <w:pPr>
              <w:spacing w:after="0" w:line="240" w:lineRule="auto"/>
              <w:jc w:val="right"/>
              <w:rPr>
                <w:b/>
                <w:bCs/>
                <w:sz w:val="17"/>
                <w:szCs w:val="17"/>
              </w:rPr>
            </w:pPr>
            <w:r w:rsidRPr="00BD77D8">
              <w:rPr>
                <w:b/>
                <w:bCs/>
                <w:sz w:val="17"/>
                <w:szCs w:val="17"/>
              </w:rPr>
              <w:t xml:space="preserve">         2,403 </w:t>
            </w:r>
          </w:p>
        </w:tc>
        <w:tc>
          <w:tcPr>
            <w:tcW w:w="1134" w:type="dxa"/>
            <w:tcBorders>
              <w:top w:val="single" w:sz="4" w:space="0" w:color="auto"/>
              <w:left w:val="nil"/>
              <w:bottom w:val="single" w:sz="4" w:space="0" w:color="auto"/>
              <w:right w:val="nil"/>
            </w:tcBorders>
            <w:shd w:val="clear" w:color="auto" w:fill="auto"/>
            <w:vAlign w:val="center"/>
            <w:hideMark/>
          </w:tcPr>
          <w:p w14:paraId="628C5448"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113" w:type="dxa"/>
            <w:tcBorders>
              <w:top w:val="single" w:sz="4" w:space="0" w:color="auto"/>
              <w:left w:val="nil"/>
              <w:bottom w:val="single" w:sz="4" w:space="0" w:color="auto"/>
              <w:right w:val="nil"/>
            </w:tcBorders>
            <w:shd w:val="clear" w:color="auto" w:fill="auto"/>
            <w:vAlign w:val="center"/>
            <w:hideMark/>
          </w:tcPr>
          <w:p w14:paraId="3C8A4B49" w14:textId="77777777" w:rsidR="00B9311E" w:rsidRPr="00BD77D8" w:rsidRDefault="00B9311E" w:rsidP="00B9311E">
            <w:pPr>
              <w:spacing w:after="0" w:line="240" w:lineRule="auto"/>
              <w:jc w:val="right"/>
              <w:rPr>
                <w:b/>
                <w:bCs/>
                <w:sz w:val="17"/>
                <w:szCs w:val="17"/>
              </w:rPr>
            </w:pPr>
            <w:r w:rsidRPr="00BD77D8">
              <w:rPr>
                <w:b/>
                <w:bCs/>
                <w:sz w:val="17"/>
                <w:szCs w:val="17"/>
              </w:rPr>
              <w:t xml:space="preserve">             7,539 </w:t>
            </w:r>
          </w:p>
        </w:tc>
        <w:tc>
          <w:tcPr>
            <w:tcW w:w="1156" w:type="dxa"/>
            <w:tcBorders>
              <w:top w:val="single" w:sz="4" w:space="0" w:color="auto"/>
              <w:left w:val="nil"/>
              <w:bottom w:val="single" w:sz="4" w:space="0" w:color="auto"/>
              <w:right w:val="nil"/>
            </w:tcBorders>
            <w:shd w:val="clear" w:color="auto" w:fill="auto"/>
            <w:vAlign w:val="center"/>
            <w:hideMark/>
          </w:tcPr>
          <w:p w14:paraId="20771666" w14:textId="77777777" w:rsidR="00B9311E" w:rsidRPr="00BD77D8" w:rsidRDefault="00B9311E" w:rsidP="00B9311E">
            <w:pPr>
              <w:spacing w:after="0" w:line="240" w:lineRule="auto"/>
              <w:jc w:val="right"/>
              <w:rPr>
                <w:b/>
                <w:bCs/>
                <w:sz w:val="17"/>
                <w:szCs w:val="17"/>
              </w:rPr>
            </w:pPr>
            <w:r w:rsidRPr="00BD77D8">
              <w:rPr>
                <w:b/>
                <w:bCs/>
                <w:sz w:val="17"/>
                <w:szCs w:val="17"/>
              </w:rPr>
              <w:t xml:space="preserve">             8,122 </w:t>
            </w:r>
          </w:p>
        </w:tc>
        <w:tc>
          <w:tcPr>
            <w:tcW w:w="1156" w:type="dxa"/>
            <w:tcBorders>
              <w:top w:val="single" w:sz="4" w:space="0" w:color="auto"/>
              <w:left w:val="nil"/>
              <w:bottom w:val="single" w:sz="4" w:space="0" w:color="auto"/>
              <w:right w:val="nil"/>
            </w:tcBorders>
            <w:shd w:val="clear" w:color="auto" w:fill="auto"/>
            <w:vAlign w:val="center"/>
            <w:hideMark/>
          </w:tcPr>
          <w:p w14:paraId="13A30998" w14:textId="77777777" w:rsidR="00B9311E" w:rsidRPr="00BD77D8" w:rsidRDefault="00B9311E" w:rsidP="00B9311E">
            <w:pPr>
              <w:spacing w:after="0" w:line="240" w:lineRule="auto"/>
              <w:jc w:val="right"/>
              <w:rPr>
                <w:b/>
                <w:bCs/>
                <w:sz w:val="17"/>
                <w:szCs w:val="17"/>
              </w:rPr>
            </w:pPr>
            <w:r w:rsidRPr="00BD77D8">
              <w:rPr>
                <w:b/>
                <w:bCs/>
                <w:sz w:val="17"/>
                <w:szCs w:val="17"/>
              </w:rPr>
              <w:t xml:space="preserve">           14,830 </w:t>
            </w:r>
          </w:p>
        </w:tc>
        <w:tc>
          <w:tcPr>
            <w:tcW w:w="1285" w:type="dxa"/>
            <w:tcBorders>
              <w:top w:val="single" w:sz="4" w:space="0" w:color="auto"/>
              <w:left w:val="nil"/>
              <w:bottom w:val="single" w:sz="4" w:space="0" w:color="auto"/>
              <w:right w:val="nil"/>
            </w:tcBorders>
            <w:shd w:val="clear" w:color="auto" w:fill="auto"/>
            <w:vAlign w:val="center"/>
            <w:hideMark/>
          </w:tcPr>
          <w:p w14:paraId="70B3CB15" w14:textId="77777777" w:rsidR="00B9311E" w:rsidRPr="00BD77D8" w:rsidRDefault="00B9311E" w:rsidP="00B9311E">
            <w:pPr>
              <w:spacing w:after="0" w:line="240" w:lineRule="auto"/>
              <w:jc w:val="right"/>
              <w:rPr>
                <w:b/>
                <w:bCs/>
                <w:sz w:val="17"/>
                <w:szCs w:val="17"/>
              </w:rPr>
            </w:pPr>
            <w:r w:rsidRPr="00BD77D8">
              <w:rPr>
                <w:b/>
                <w:bCs/>
                <w:sz w:val="17"/>
                <w:szCs w:val="17"/>
              </w:rPr>
              <w:t xml:space="preserve">           15,920 </w:t>
            </w:r>
          </w:p>
        </w:tc>
        <w:tc>
          <w:tcPr>
            <w:tcW w:w="1062" w:type="dxa"/>
            <w:tcBorders>
              <w:top w:val="single" w:sz="4" w:space="0" w:color="auto"/>
              <w:left w:val="nil"/>
              <w:bottom w:val="single" w:sz="4" w:space="0" w:color="auto"/>
              <w:right w:val="nil"/>
            </w:tcBorders>
            <w:shd w:val="clear" w:color="auto" w:fill="auto"/>
            <w:vAlign w:val="center"/>
            <w:hideMark/>
          </w:tcPr>
          <w:p w14:paraId="3C82CDAE" w14:textId="77777777" w:rsidR="00B9311E" w:rsidRPr="00BD77D8" w:rsidRDefault="00B9311E" w:rsidP="00B9311E">
            <w:pPr>
              <w:spacing w:after="0" w:line="240" w:lineRule="auto"/>
              <w:jc w:val="right"/>
              <w:rPr>
                <w:b/>
                <w:bCs/>
                <w:sz w:val="17"/>
                <w:szCs w:val="17"/>
              </w:rPr>
            </w:pPr>
            <w:r w:rsidRPr="00BD77D8">
              <w:rPr>
                <w:b/>
                <w:bCs/>
                <w:sz w:val="17"/>
                <w:szCs w:val="17"/>
              </w:rPr>
              <w:t xml:space="preserve">    60,377 </w:t>
            </w:r>
          </w:p>
        </w:tc>
        <w:tc>
          <w:tcPr>
            <w:tcW w:w="915" w:type="dxa"/>
            <w:tcBorders>
              <w:top w:val="single" w:sz="4" w:space="0" w:color="auto"/>
              <w:left w:val="nil"/>
              <w:bottom w:val="single" w:sz="4" w:space="0" w:color="auto"/>
              <w:right w:val="nil"/>
            </w:tcBorders>
            <w:shd w:val="clear" w:color="auto" w:fill="auto"/>
            <w:vAlign w:val="center"/>
            <w:hideMark/>
          </w:tcPr>
          <w:p w14:paraId="0119592B" w14:textId="77777777" w:rsidR="00B9311E" w:rsidRPr="00BD77D8" w:rsidRDefault="00B9311E" w:rsidP="00B9311E">
            <w:pPr>
              <w:spacing w:after="0" w:line="240" w:lineRule="auto"/>
              <w:jc w:val="right"/>
              <w:rPr>
                <w:b/>
                <w:bCs/>
                <w:sz w:val="17"/>
                <w:szCs w:val="17"/>
              </w:rPr>
            </w:pPr>
            <w:r w:rsidRPr="00BD77D8">
              <w:rPr>
                <w:b/>
                <w:bCs/>
                <w:sz w:val="17"/>
                <w:szCs w:val="17"/>
              </w:rPr>
              <w:t xml:space="preserve">    62,622 </w:t>
            </w:r>
          </w:p>
        </w:tc>
      </w:tr>
      <w:tr w:rsidR="00BD77D8" w:rsidRPr="00BD77D8" w14:paraId="65948D18" w14:textId="77777777" w:rsidTr="003057FB">
        <w:trPr>
          <w:trHeight w:val="240"/>
        </w:trPr>
        <w:tc>
          <w:tcPr>
            <w:tcW w:w="3655" w:type="dxa"/>
            <w:tcBorders>
              <w:top w:val="nil"/>
              <w:left w:val="nil"/>
              <w:bottom w:val="nil"/>
              <w:right w:val="nil"/>
            </w:tcBorders>
            <w:shd w:val="clear" w:color="000000" w:fill="FFFFFF"/>
            <w:noWrap/>
            <w:vAlign w:val="bottom"/>
            <w:hideMark/>
          </w:tcPr>
          <w:p w14:paraId="408120E3" w14:textId="77777777" w:rsidR="00B9311E" w:rsidRPr="00BD77D8" w:rsidRDefault="00B9311E" w:rsidP="00B9311E">
            <w:pPr>
              <w:spacing w:after="0" w:line="240" w:lineRule="auto"/>
              <w:rPr>
                <w:b/>
                <w:bCs/>
                <w:sz w:val="17"/>
                <w:szCs w:val="17"/>
              </w:rPr>
            </w:pPr>
            <w:r w:rsidRPr="00BD77D8">
              <w:rPr>
                <w:b/>
                <w:bCs/>
                <w:sz w:val="17"/>
                <w:szCs w:val="17"/>
              </w:rPr>
              <w:t xml:space="preserve"> Non-Current Assets </w:t>
            </w:r>
          </w:p>
        </w:tc>
        <w:tc>
          <w:tcPr>
            <w:tcW w:w="913" w:type="dxa"/>
            <w:tcBorders>
              <w:top w:val="nil"/>
              <w:left w:val="nil"/>
              <w:bottom w:val="nil"/>
              <w:right w:val="nil"/>
            </w:tcBorders>
            <w:shd w:val="clear" w:color="auto" w:fill="auto"/>
            <w:vAlign w:val="center"/>
            <w:hideMark/>
          </w:tcPr>
          <w:p w14:paraId="34D78A71" w14:textId="77777777" w:rsidR="00B9311E" w:rsidRPr="00BD77D8" w:rsidRDefault="00B9311E" w:rsidP="00B9311E">
            <w:pPr>
              <w:spacing w:after="0" w:line="240" w:lineRule="auto"/>
              <w:jc w:val="right"/>
              <w:rPr>
                <w:b/>
                <w:bCs/>
                <w:sz w:val="17"/>
                <w:szCs w:val="17"/>
              </w:rPr>
            </w:pPr>
          </w:p>
        </w:tc>
        <w:tc>
          <w:tcPr>
            <w:tcW w:w="982" w:type="dxa"/>
            <w:tcBorders>
              <w:top w:val="nil"/>
              <w:left w:val="nil"/>
              <w:bottom w:val="nil"/>
              <w:right w:val="nil"/>
            </w:tcBorders>
            <w:shd w:val="clear" w:color="auto" w:fill="auto"/>
            <w:vAlign w:val="center"/>
            <w:hideMark/>
          </w:tcPr>
          <w:p w14:paraId="4BE6F30E"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993" w:type="dxa"/>
            <w:tcBorders>
              <w:top w:val="nil"/>
              <w:left w:val="nil"/>
              <w:bottom w:val="nil"/>
              <w:right w:val="nil"/>
            </w:tcBorders>
            <w:shd w:val="clear" w:color="auto" w:fill="auto"/>
            <w:vAlign w:val="center"/>
            <w:hideMark/>
          </w:tcPr>
          <w:p w14:paraId="76075067"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000" w:type="dxa"/>
            <w:tcBorders>
              <w:top w:val="nil"/>
              <w:left w:val="nil"/>
              <w:bottom w:val="nil"/>
              <w:right w:val="nil"/>
            </w:tcBorders>
            <w:shd w:val="clear" w:color="auto" w:fill="auto"/>
            <w:vAlign w:val="center"/>
            <w:hideMark/>
          </w:tcPr>
          <w:p w14:paraId="11A463FA"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134" w:type="dxa"/>
            <w:tcBorders>
              <w:top w:val="nil"/>
              <w:left w:val="nil"/>
              <w:bottom w:val="nil"/>
              <w:right w:val="nil"/>
            </w:tcBorders>
            <w:shd w:val="clear" w:color="auto" w:fill="auto"/>
            <w:vAlign w:val="center"/>
            <w:hideMark/>
          </w:tcPr>
          <w:p w14:paraId="6A9C184D"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113" w:type="dxa"/>
            <w:tcBorders>
              <w:top w:val="nil"/>
              <w:left w:val="nil"/>
              <w:bottom w:val="nil"/>
              <w:right w:val="nil"/>
            </w:tcBorders>
            <w:shd w:val="clear" w:color="auto" w:fill="auto"/>
            <w:vAlign w:val="center"/>
            <w:hideMark/>
          </w:tcPr>
          <w:p w14:paraId="015D41CE"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156" w:type="dxa"/>
            <w:tcBorders>
              <w:top w:val="nil"/>
              <w:left w:val="nil"/>
              <w:bottom w:val="nil"/>
              <w:right w:val="nil"/>
            </w:tcBorders>
            <w:shd w:val="clear" w:color="auto" w:fill="auto"/>
            <w:vAlign w:val="center"/>
            <w:hideMark/>
          </w:tcPr>
          <w:p w14:paraId="71B22AAA"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156" w:type="dxa"/>
            <w:tcBorders>
              <w:top w:val="nil"/>
              <w:left w:val="nil"/>
              <w:bottom w:val="nil"/>
              <w:right w:val="nil"/>
            </w:tcBorders>
            <w:shd w:val="clear" w:color="auto" w:fill="auto"/>
            <w:vAlign w:val="center"/>
            <w:hideMark/>
          </w:tcPr>
          <w:p w14:paraId="5B1BA9C1"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285" w:type="dxa"/>
            <w:tcBorders>
              <w:top w:val="nil"/>
              <w:left w:val="nil"/>
              <w:bottom w:val="nil"/>
              <w:right w:val="nil"/>
            </w:tcBorders>
            <w:shd w:val="clear" w:color="auto" w:fill="auto"/>
            <w:vAlign w:val="center"/>
            <w:hideMark/>
          </w:tcPr>
          <w:p w14:paraId="4F4C2901"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062" w:type="dxa"/>
            <w:tcBorders>
              <w:top w:val="nil"/>
              <w:left w:val="nil"/>
              <w:bottom w:val="nil"/>
              <w:right w:val="nil"/>
            </w:tcBorders>
            <w:shd w:val="clear" w:color="auto" w:fill="auto"/>
            <w:vAlign w:val="center"/>
            <w:hideMark/>
          </w:tcPr>
          <w:p w14:paraId="37CDE7AD"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915" w:type="dxa"/>
            <w:tcBorders>
              <w:top w:val="nil"/>
              <w:left w:val="nil"/>
              <w:bottom w:val="nil"/>
              <w:right w:val="nil"/>
            </w:tcBorders>
            <w:shd w:val="clear" w:color="auto" w:fill="auto"/>
            <w:vAlign w:val="center"/>
            <w:hideMark/>
          </w:tcPr>
          <w:p w14:paraId="713DA94B" w14:textId="77777777" w:rsidR="00B9311E" w:rsidRPr="00BD77D8" w:rsidRDefault="00B9311E" w:rsidP="00B9311E">
            <w:pPr>
              <w:spacing w:after="0" w:line="240" w:lineRule="auto"/>
              <w:jc w:val="right"/>
              <w:rPr>
                <w:rFonts w:ascii="Times New Roman" w:hAnsi="Times New Roman" w:cs="Times New Roman"/>
                <w:b/>
                <w:bCs/>
                <w:sz w:val="17"/>
                <w:szCs w:val="17"/>
              </w:rPr>
            </w:pPr>
          </w:p>
        </w:tc>
      </w:tr>
      <w:tr w:rsidR="00BD77D8" w:rsidRPr="00BD77D8" w14:paraId="2D2FEB9C" w14:textId="77777777" w:rsidTr="003057FB">
        <w:trPr>
          <w:trHeight w:val="240"/>
        </w:trPr>
        <w:tc>
          <w:tcPr>
            <w:tcW w:w="3655" w:type="dxa"/>
            <w:tcBorders>
              <w:top w:val="nil"/>
              <w:left w:val="nil"/>
              <w:bottom w:val="nil"/>
              <w:right w:val="nil"/>
            </w:tcBorders>
            <w:shd w:val="clear" w:color="000000" w:fill="FFFFFF"/>
            <w:noWrap/>
            <w:vAlign w:val="bottom"/>
            <w:hideMark/>
          </w:tcPr>
          <w:p w14:paraId="0EF5AC76" w14:textId="77777777" w:rsidR="00B9311E" w:rsidRPr="00BD77D8" w:rsidRDefault="00B9311E" w:rsidP="00B9311E">
            <w:pPr>
              <w:spacing w:after="0" w:line="240" w:lineRule="auto"/>
              <w:ind w:firstLineChars="100" w:firstLine="170"/>
              <w:rPr>
                <w:sz w:val="17"/>
                <w:szCs w:val="17"/>
              </w:rPr>
            </w:pPr>
            <w:r w:rsidRPr="00BD77D8">
              <w:rPr>
                <w:sz w:val="17"/>
                <w:szCs w:val="17"/>
              </w:rPr>
              <w:t xml:space="preserve"> Property, plant and equipment </w:t>
            </w:r>
          </w:p>
        </w:tc>
        <w:tc>
          <w:tcPr>
            <w:tcW w:w="913" w:type="dxa"/>
            <w:tcBorders>
              <w:top w:val="nil"/>
              <w:left w:val="nil"/>
              <w:bottom w:val="nil"/>
              <w:right w:val="nil"/>
            </w:tcBorders>
            <w:shd w:val="clear" w:color="auto" w:fill="auto"/>
            <w:vAlign w:val="center"/>
            <w:hideMark/>
          </w:tcPr>
          <w:p w14:paraId="01E5DD13" w14:textId="77777777" w:rsidR="00B9311E" w:rsidRPr="00BD77D8" w:rsidRDefault="00B9311E" w:rsidP="00B9311E">
            <w:pPr>
              <w:spacing w:after="0" w:line="240" w:lineRule="auto"/>
              <w:jc w:val="right"/>
              <w:rPr>
                <w:b/>
                <w:bCs/>
                <w:sz w:val="17"/>
                <w:szCs w:val="17"/>
              </w:rPr>
            </w:pPr>
            <w:r w:rsidRPr="00BD77D8">
              <w:rPr>
                <w:b/>
                <w:bCs/>
                <w:sz w:val="17"/>
                <w:szCs w:val="17"/>
              </w:rPr>
              <w:t xml:space="preserve">    187,039 </w:t>
            </w:r>
          </w:p>
        </w:tc>
        <w:tc>
          <w:tcPr>
            <w:tcW w:w="982" w:type="dxa"/>
            <w:tcBorders>
              <w:top w:val="nil"/>
              <w:left w:val="nil"/>
              <w:bottom w:val="nil"/>
              <w:right w:val="nil"/>
            </w:tcBorders>
            <w:shd w:val="clear" w:color="auto" w:fill="auto"/>
            <w:vAlign w:val="center"/>
            <w:hideMark/>
          </w:tcPr>
          <w:p w14:paraId="6A5EC9D6" w14:textId="77777777" w:rsidR="00B9311E" w:rsidRPr="00BD77D8" w:rsidRDefault="00B9311E" w:rsidP="00B9311E">
            <w:pPr>
              <w:spacing w:after="0" w:line="240" w:lineRule="auto"/>
              <w:jc w:val="right"/>
              <w:rPr>
                <w:sz w:val="17"/>
                <w:szCs w:val="17"/>
              </w:rPr>
            </w:pPr>
            <w:r w:rsidRPr="00BD77D8">
              <w:rPr>
                <w:sz w:val="17"/>
                <w:szCs w:val="17"/>
              </w:rPr>
              <w:t xml:space="preserve">    165,545 </w:t>
            </w:r>
          </w:p>
        </w:tc>
        <w:tc>
          <w:tcPr>
            <w:tcW w:w="993" w:type="dxa"/>
            <w:tcBorders>
              <w:top w:val="nil"/>
              <w:left w:val="nil"/>
              <w:bottom w:val="nil"/>
              <w:right w:val="nil"/>
            </w:tcBorders>
            <w:shd w:val="clear" w:color="auto" w:fill="auto"/>
            <w:vAlign w:val="center"/>
            <w:hideMark/>
          </w:tcPr>
          <w:p w14:paraId="51720FD4" w14:textId="77777777" w:rsidR="00B9311E" w:rsidRPr="00BD77D8" w:rsidRDefault="00B9311E" w:rsidP="00B9311E">
            <w:pPr>
              <w:spacing w:after="0" w:line="240" w:lineRule="auto"/>
              <w:jc w:val="right"/>
              <w:rPr>
                <w:b/>
                <w:bCs/>
                <w:sz w:val="17"/>
                <w:szCs w:val="17"/>
              </w:rPr>
            </w:pPr>
            <w:r w:rsidRPr="00BD77D8">
              <w:rPr>
                <w:b/>
                <w:bCs/>
                <w:sz w:val="17"/>
                <w:szCs w:val="17"/>
              </w:rPr>
              <w:t xml:space="preserve">         2,208 </w:t>
            </w:r>
          </w:p>
        </w:tc>
        <w:tc>
          <w:tcPr>
            <w:tcW w:w="1000" w:type="dxa"/>
            <w:tcBorders>
              <w:top w:val="nil"/>
              <w:left w:val="nil"/>
              <w:bottom w:val="nil"/>
              <w:right w:val="nil"/>
            </w:tcBorders>
            <w:shd w:val="clear" w:color="auto" w:fill="auto"/>
            <w:vAlign w:val="center"/>
            <w:hideMark/>
          </w:tcPr>
          <w:p w14:paraId="1FD616E1"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34" w:type="dxa"/>
            <w:tcBorders>
              <w:top w:val="nil"/>
              <w:left w:val="nil"/>
              <w:bottom w:val="nil"/>
              <w:right w:val="nil"/>
            </w:tcBorders>
            <w:shd w:val="clear" w:color="auto" w:fill="auto"/>
            <w:vAlign w:val="center"/>
            <w:hideMark/>
          </w:tcPr>
          <w:p w14:paraId="73386790"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13" w:type="dxa"/>
            <w:tcBorders>
              <w:top w:val="nil"/>
              <w:left w:val="nil"/>
              <w:bottom w:val="nil"/>
              <w:right w:val="nil"/>
            </w:tcBorders>
            <w:shd w:val="clear" w:color="auto" w:fill="auto"/>
            <w:vAlign w:val="center"/>
            <w:hideMark/>
          </w:tcPr>
          <w:p w14:paraId="55E9F77F" w14:textId="77777777" w:rsidR="00B9311E" w:rsidRPr="00BD77D8" w:rsidRDefault="00B9311E" w:rsidP="00B9311E">
            <w:pPr>
              <w:spacing w:after="0" w:line="240" w:lineRule="auto"/>
              <w:jc w:val="right"/>
              <w:rPr>
                <w:b/>
                <w:bCs/>
                <w:sz w:val="17"/>
                <w:szCs w:val="17"/>
              </w:rPr>
            </w:pPr>
            <w:r w:rsidRPr="00BD77D8">
              <w:rPr>
                <w:b/>
                <w:bCs/>
                <w:sz w:val="17"/>
                <w:szCs w:val="17"/>
              </w:rPr>
              <w:t xml:space="preserve">             1,170 </w:t>
            </w:r>
          </w:p>
        </w:tc>
        <w:tc>
          <w:tcPr>
            <w:tcW w:w="1156" w:type="dxa"/>
            <w:tcBorders>
              <w:top w:val="nil"/>
              <w:left w:val="nil"/>
              <w:bottom w:val="nil"/>
              <w:right w:val="nil"/>
            </w:tcBorders>
            <w:shd w:val="clear" w:color="auto" w:fill="auto"/>
            <w:vAlign w:val="center"/>
            <w:hideMark/>
          </w:tcPr>
          <w:p w14:paraId="0BC8AA77" w14:textId="77777777" w:rsidR="00B9311E" w:rsidRPr="00BD77D8" w:rsidRDefault="00B9311E" w:rsidP="00B9311E">
            <w:pPr>
              <w:spacing w:after="0" w:line="240" w:lineRule="auto"/>
              <w:jc w:val="right"/>
              <w:rPr>
                <w:sz w:val="17"/>
                <w:szCs w:val="17"/>
              </w:rPr>
            </w:pPr>
            <w:r w:rsidRPr="00BD77D8">
              <w:rPr>
                <w:sz w:val="17"/>
                <w:szCs w:val="17"/>
              </w:rPr>
              <w:t xml:space="preserve">                708 </w:t>
            </w:r>
          </w:p>
        </w:tc>
        <w:tc>
          <w:tcPr>
            <w:tcW w:w="1156" w:type="dxa"/>
            <w:tcBorders>
              <w:top w:val="nil"/>
              <w:left w:val="nil"/>
              <w:bottom w:val="nil"/>
              <w:right w:val="nil"/>
            </w:tcBorders>
            <w:shd w:val="clear" w:color="auto" w:fill="auto"/>
            <w:vAlign w:val="center"/>
            <w:hideMark/>
          </w:tcPr>
          <w:p w14:paraId="2C405D37" w14:textId="77777777" w:rsidR="00B9311E" w:rsidRPr="00BD77D8" w:rsidRDefault="00B9311E" w:rsidP="00B9311E">
            <w:pPr>
              <w:spacing w:after="0" w:line="240" w:lineRule="auto"/>
              <w:jc w:val="right"/>
              <w:rPr>
                <w:b/>
                <w:bCs/>
                <w:sz w:val="17"/>
                <w:szCs w:val="17"/>
              </w:rPr>
            </w:pPr>
            <w:r w:rsidRPr="00BD77D8">
              <w:rPr>
                <w:b/>
                <w:bCs/>
                <w:sz w:val="17"/>
                <w:szCs w:val="17"/>
              </w:rPr>
              <w:t xml:space="preserve">           14,756 </w:t>
            </w:r>
          </w:p>
        </w:tc>
        <w:tc>
          <w:tcPr>
            <w:tcW w:w="1285" w:type="dxa"/>
            <w:tcBorders>
              <w:top w:val="nil"/>
              <w:left w:val="nil"/>
              <w:bottom w:val="nil"/>
              <w:right w:val="nil"/>
            </w:tcBorders>
            <w:shd w:val="clear" w:color="auto" w:fill="auto"/>
            <w:vAlign w:val="center"/>
            <w:hideMark/>
          </w:tcPr>
          <w:p w14:paraId="3C44D37C" w14:textId="77777777" w:rsidR="00B9311E" w:rsidRPr="00BD77D8" w:rsidRDefault="00B9311E" w:rsidP="00B9311E">
            <w:pPr>
              <w:spacing w:after="0" w:line="240" w:lineRule="auto"/>
              <w:jc w:val="right"/>
              <w:rPr>
                <w:sz w:val="17"/>
                <w:szCs w:val="17"/>
              </w:rPr>
            </w:pPr>
            <w:r w:rsidRPr="00BD77D8">
              <w:rPr>
                <w:sz w:val="17"/>
                <w:szCs w:val="17"/>
              </w:rPr>
              <w:t xml:space="preserve">           15,042 </w:t>
            </w:r>
          </w:p>
        </w:tc>
        <w:tc>
          <w:tcPr>
            <w:tcW w:w="1062" w:type="dxa"/>
            <w:tcBorders>
              <w:top w:val="nil"/>
              <w:left w:val="nil"/>
              <w:bottom w:val="nil"/>
              <w:right w:val="nil"/>
            </w:tcBorders>
            <w:shd w:val="clear" w:color="auto" w:fill="auto"/>
            <w:vAlign w:val="center"/>
            <w:hideMark/>
          </w:tcPr>
          <w:p w14:paraId="377200FB" w14:textId="77777777" w:rsidR="00B9311E" w:rsidRPr="00BD77D8" w:rsidRDefault="00B9311E" w:rsidP="00B9311E">
            <w:pPr>
              <w:spacing w:after="0" w:line="240" w:lineRule="auto"/>
              <w:jc w:val="right"/>
              <w:rPr>
                <w:b/>
                <w:bCs/>
                <w:sz w:val="17"/>
                <w:szCs w:val="17"/>
              </w:rPr>
            </w:pPr>
            <w:r w:rsidRPr="00BD77D8">
              <w:rPr>
                <w:b/>
                <w:bCs/>
                <w:sz w:val="17"/>
                <w:szCs w:val="17"/>
              </w:rPr>
              <w:t xml:space="preserve">  205,173 </w:t>
            </w:r>
          </w:p>
        </w:tc>
        <w:tc>
          <w:tcPr>
            <w:tcW w:w="915" w:type="dxa"/>
            <w:tcBorders>
              <w:top w:val="nil"/>
              <w:left w:val="nil"/>
              <w:bottom w:val="nil"/>
              <w:right w:val="nil"/>
            </w:tcBorders>
            <w:shd w:val="clear" w:color="auto" w:fill="auto"/>
            <w:vAlign w:val="center"/>
            <w:hideMark/>
          </w:tcPr>
          <w:p w14:paraId="2B9C7B38" w14:textId="77777777" w:rsidR="00B9311E" w:rsidRPr="00BD77D8" w:rsidRDefault="00B9311E" w:rsidP="00B9311E">
            <w:pPr>
              <w:spacing w:after="0" w:line="240" w:lineRule="auto"/>
              <w:jc w:val="right"/>
              <w:rPr>
                <w:sz w:val="17"/>
                <w:szCs w:val="17"/>
              </w:rPr>
            </w:pPr>
            <w:r w:rsidRPr="00BD77D8">
              <w:rPr>
                <w:sz w:val="17"/>
                <w:szCs w:val="17"/>
              </w:rPr>
              <w:t xml:space="preserve">  181,296 </w:t>
            </w:r>
          </w:p>
        </w:tc>
      </w:tr>
      <w:tr w:rsidR="00BD77D8" w:rsidRPr="00BD77D8" w14:paraId="2CD61160" w14:textId="77777777" w:rsidTr="003057FB">
        <w:trPr>
          <w:trHeight w:val="240"/>
        </w:trPr>
        <w:tc>
          <w:tcPr>
            <w:tcW w:w="3655" w:type="dxa"/>
            <w:tcBorders>
              <w:top w:val="nil"/>
              <w:left w:val="nil"/>
              <w:bottom w:val="nil"/>
              <w:right w:val="nil"/>
            </w:tcBorders>
            <w:shd w:val="clear" w:color="000000" w:fill="FFFFFF"/>
            <w:noWrap/>
            <w:vAlign w:val="bottom"/>
            <w:hideMark/>
          </w:tcPr>
          <w:p w14:paraId="226E9877" w14:textId="77777777" w:rsidR="00B9311E" w:rsidRPr="00BD77D8" w:rsidRDefault="00B9311E" w:rsidP="00B9311E">
            <w:pPr>
              <w:spacing w:after="0" w:line="240" w:lineRule="auto"/>
              <w:ind w:firstLineChars="100" w:firstLine="170"/>
              <w:rPr>
                <w:sz w:val="17"/>
                <w:szCs w:val="17"/>
              </w:rPr>
            </w:pPr>
            <w:r w:rsidRPr="00BD77D8">
              <w:rPr>
                <w:sz w:val="17"/>
                <w:szCs w:val="17"/>
              </w:rPr>
              <w:t xml:space="preserve"> Intangible assets </w:t>
            </w:r>
          </w:p>
        </w:tc>
        <w:tc>
          <w:tcPr>
            <w:tcW w:w="913" w:type="dxa"/>
            <w:tcBorders>
              <w:top w:val="nil"/>
              <w:left w:val="nil"/>
              <w:bottom w:val="nil"/>
              <w:right w:val="nil"/>
            </w:tcBorders>
            <w:shd w:val="clear" w:color="auto" w:fill="auto"/>
            <w:vAlign w:val="center"/>
            <w:hideMark/>
          </w:tcPr>
          <w:p w14:paraId="07DBCA13" w14:textId="77777777" w:rsidR="00B9311E" w:rsidRPr="00BD77D8" w:rsidRDefault="00B9311E" w:rsidP="00B9311E">
            <w:pPr>
              <w:spacing w:after="0" w:line="240" w:lineRule="auto"/>
              <w:jc w:val="right"/>
              <w:rPr>
                <w:b/>
                <w:bCs/>
                <w:sz w:val="17"/>
                <w:szCs w:val="17"/>
              </w:rPr>
            </w:pPr>
            <w:r w:rsidRPr="00BD77D8">
              <w:rPr>
                <w:b/>
                <w:bCs/>
                <w:sz w:val="17"/>
                <w:szCs w:val="17"/>
              </w:rPr>
              <w:t xml:space="preserve">            438 </w:t>
            </w:r>
          </w:p>
        </w:tc>
        <w:tc>
          <w:tcPr>
            <w:tcW w:w="982" w:type="dxa"/>
            <w:tcBorders>
              <w:top w:val="nil"/>
              <w:left w:val="nil"/>
              <w:bottom w:val="nil"/>
              <w:right w:val="nil"/>
            </w:tcBorders>
            <w:shd w:val="clear" w:color="auto" w:fill="auto"/>
            <w:vAlign w:val="center"/>
            <w:hideMark/>
          </w:tcPr>
          <w:p w14:paraId="15E40143" w14:textId="77777777" w:rsidR="00B9311E" w:rsidRPr="00BD77D8" w:rsidRDefault="00B9311E" w:rsidP="00B9311E">
            <w:pPr>
              <w:spacing w:after="0" w:line="240" w:lineRule="auto"/>
              <w:jc w:val="right"/>
              <w:rPr>
                <w:sz w:val="17"/>
                <w:szCs w:val="17"/>
              </w:rPr>
            </w:pPr>
            <w:r w:rsidRPr="00BD77D8">
              <w:rPr>
                <w:sz w:val="17"/>
                <w:szCs w:val="17"/>
              </w:rPr>
              <w:t xml:space="preserve">            521 </w:t>
            </w:r>
          </w:p>
        </w:tc>
        <w:tc>
          <w:tcPr>
            <w:tcW w:w="993" w:type="dxa"/>
            <w:tcBorders>
              <w:top w:val="nil"/>
              <w:left w:val="nil"/>
              <w:bottom w:val="nil"/>
              <w:right w:val="nil"/>
            </w:tcBorders>
            <w:shd w:val="clear" w:color="auto" w:fill="auto"/>
            <w:vAlign w:val="center"/>
            <w:hideMark/>
          </w:tcPr>
          <w:p w14:paraId="67113051"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000" w:type="dxa"/>
            <w:tcBorders>
              <w:top w:val="nil"/>
              <w:left w:val="nil"/>
              <w:bottom w:val="nil"/>
              <w:right w:val="nil"/>
            </w:tcBorders>
            <w:shd w:val="clear" w:color="auto" w:fill="auto"/>
            <w:vAlign w:val="center"/>
            <w:hideMark/>
          </w:tcPr>
          <w:p w14:paraId="1977907C"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34" w:type="dxa"/>
            <w:tcBorders>
              <w:top w:val="nil"/>
              <w:left w:val="nil"/>
              <w:bottom w:val="nil"/>
              <w:right w:val="nil"/>
            </w:tcBorders>
            <w:shd w:val="clear" w:color="auto" w:fill="auto"/>
            <w:vAlign w:val="center"/>
            <w:hideMark/>
          </w:tcPr>
          <w:p w14:paraId="1AEE9E98"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13" w:type="dxa"/>
            <w:tcBorders>
              <w:top w:val="nil"/>
              <w:left w:val="nil"/>
              <w:bottom w:val="nil"/>
              <w:right w:val="nil"/>
            </w:tcBorders>
            <w:shd w:val="clear" w:color="auto" w:fill="auto"/>
            <w:vAlign w:val="center"/>
            <w:hideMark/>
          </w:tcPr>
          <w:p w14:paraId="4F46F3E0"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156" w:type="dxa"/>
            <w:tcBorders>
              <w:top w:val="nil"/>
              <w:left w:val="nil"/>
              <w:bottom w:val="nil"/>
              <w:right w:val="nil"/>
            </w:tcBorders>
            <w:shd w:val="clear" w:color="auto" w:fill="auto"/>
            <w:vAlign w:val="center"/>
            <w:hideMark/>
          </w:tcPr>
          <w:p w14:paraId="7006BD3A"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56" w:type="dxa"/>
            <w:tcBorders>
              <w:top w:val="nil"/>
              <w:left w:val="nil"/>
              <w:bottom w:val="nil"/>
              <w:right w:val="nil"/>
            </w:tcBorders>
            <w:shd w:val="clear" w:color="auto" w:fill="auto"/>
            <w:vAlign w:val="center"/>
            <w:hideMark/>
          </w:tcPr>
          <w:p w14:paraId="4D9646A4"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285" w:type="dxa"/>
            <w:tcBorders>
              <w:top w:val="nil"/>
              <w:left w:val="nil"/>
              <w:bottom w:val="nil"/>
              <w:right w:val="nil"/>
            </w:tcBorders>
            <w:shd w:val="clear" w:color="auto" w:fill="auto"/>
            <w:vAlign w:val="center"/>
            <w:hideMark/>
          </w:tcPr>
          <w:p w14:paraId="1920E310" w14:textId="77777777" w:rsidR="00B9311E" w:rsidRPr="00BD77D8" w:rsidRDefault="00B9311E" w:rsidP="00B9311E">
            <w:pPr>
              <w:spacing w:after="0" w:line="240" w:lineRule="auto"/>
              <w:jc w:val="right"/>
              <w:rPr>
                <w:sz w:val="17"/>
                <w:szCs w:val="17"/>
              </w:rPr>
            </w:pPr>
            <w:r w:rsidRPr="00BD77D8">
              <w:rPr>
                <w:sz w:val="17"/>
                <w:szCs w:val="17"/>
              </w:rPr>
              <w:t xml:space="preserve">                   88 </w:t>
            </w:r>
          </w:p>
        </w:tc>
        <w:tc>
          <w:tcPr>
            <w:tcW w:w="1062" w:type="dxa"/>
            <w:tcBorders>
              <w:top w:val="nil"/>
              <w:left w:val="nil"/>
              <w:bottom w:val="nil"/>
              <w:right w:val="nil"/>
            </w:tcBorders>
            <w:shd w:val="clear" w:color="auto" w:fill="auto"/>
            <w:vAlign w:val="center"/>
            <w:hideMark/>
          </w:tcPr>
          <w:p w14:paraId="1DB39C5B" w14:textId="77777777" w:rsidR="00B9311E" w:rsidRPr="00BD77D8" w:rsidRDefault="00B9311E" w:rsidP="00B9311E">
            <w:pPr>
              <w:spacing w:after="0" w:line="240" w:lineRule="auto"/>
              <w:jc w:val="right"/>
              <w:rPr>
                <w:b/>
                <w:bCs/>
                <w:sz w:val="17"/>
                <w:szCs w:val="17"/>
              </w:rPr>
            </w:pPr>
            <w:r w:rsidRPr="00BD77D8">
              <w:rPr>
                <w:b/>
                <w:bCs/>
                <w:sz w:val="17"/>
                <w:szCs w:val="17"/>
              </w:rPr>
              <w:t xml:space="preserve">          438 </w:t>
            </w:r>
          </w:p>
        </w:tc>
        <w:tc>
          <w:tcPr>
            <w:tcW w:w="915" w:type="dxa"/>
            <w:tcBorders>
              <w:top w:val="nil"/>
              <w:left w:val="nil"/>
              <w:bottom w:val="nil"/>
              <w:right w:val="nil"/>
            </w:tcBorders>
            <w:shd w:val="clear" w:color="auto" w:fill="auto"/>
            <w:vAlign w:val="center"/>
            <w:hideMark/>
          </w:tcPr>
          <w:p w14:paraId="0E8203BD" w14:textId="77777777" w:rsidR="00B9311E" w:rsidRPr="00BD77D8" w:rsidRDefault="00B9311E" w:rsidP="00B9311E">
            <w:pPr>
              <w:spacing w:after="0" w:line="240" w:lineRule="auto"/>
              <w:jc w:val="right"/>
              <w:rPr>
                <w:sz w:val="17"/>
                <w:szCs w:val="17"/>
              </w:rPr>
            </w:pPr>
            <w:r w:rsidRPr="00BD77D8">
              <w:rPr>
                <w:sz w:val="17"/>
                <w:szCs w:val="17"/>
              </w:rPr>
              <w:t xml:space="preserve">          609 </w:t>
            </w:r>
          </w:p>
        </w:tc>
      </w:tr>
      <w:tr w:rsidR="00BD77D8" w:rsidRPr="00BD77D8" w14:paraId="5ADB8EC2" w14:textId="77777777" w:rsidTr="003057FB">
        <w:trPr>
          <w:trHeight w:val="240"/>
        </w:trPr>
        <w:tc>
          <w:tcPr>
            <w:tcW w:w="3655" w:type="dxa"/>
            <w:tcBorders>
              <w:top w:val="nil"/>
              <w:left w:val="nil"/>
              <w:bottom w:val="nil"/>
              <w:right w:val="nil"/>
            </w:tcBorders>
            <w:shd w:val="clear" w:color="000000" w:fill="FFFFFF"/>
            <w:noWrap/>
            <w:vAlign w:val="bottom"/>
            <w:hideMark/>
          </w:tcPr>
          <w:p w14:paraId="2B654DB1" w14:textId="77777777" w:rsidR="00B9311E" w:rsidRPr="00BD77D8" w:rsidRDefault="00B9311E" w:rsidP="00B9311E">
            <w:pPr>
              <w:spacing w:after="0" w:line="240" w:lineRule="auto"/>
              <w:rPr>
                <w:b/>
                <w:bCs/>
                <w:sz w:val="17"/>
                <w:szCs w:val="17"/>
              </w:rPr>
            </w:pPr>
            <w:r w:rsidRPr="00BD77D8">
              <w:rPr>
                <w:b/>
                <w:bCs/>
                <w:sz w:val="17"/>
                <w:szCs w:val="17"/>
              </w:rPr>
              <w:t xml:space="preserve"> Total Non-Current Assets </w:t>
            </w:r>
          </w:p>
        </w:tc>
        <w:tc>
          <w:tcPr>
            <w:tcW w:w="913" w:type="dxa"/>
            <w:tcBorders>
              <w:top w:val="single" w:sz="4" w:space="0" w:color="auto"/>
              <w:left w:val="nil"/>
              <w:bottom w:val="single" w:sz="4" w:space="0" w:color="auto"/>
              <w:right w:val="nil"/>
            </w:tcBorders>
            <w:shd w:val="clear" w:color="auto" w:fill="auto"/>
            <w:vAlign w:val="center"/>
            <w:hideMark/>
          </w:tcPr>
          <w:p w14:paraId="68625385" w14:textId="77777777" w:rsidR="00B9311E" w:rsidRPr="00BD77D8" w:rsidRDefault="00B9311E" w:rsidP="00B9311E">
            <w:pPr>
              <w:spacing w:after="0" w:line="240" w:lineRule="auto"/>
              <w:jc w:val="right"/>
              <w:rPr>
                <w:b/>
                <w:bCs/>
                <w:sz w:val="17"/>
                <w:szCs w:val="17"/>
              </w:rPr>
            </w:pPr>
            <w:r w:rsidRPr="00BD77D8">
              <w:rPr>
                <w:b/>
                <w:bCs/>
                <w:sz w:val="17"/>
                <w:szCs w:val="17"/>
              </w:rPr>
              <w:t xml:space="preserve">    187,477 </w:t>
            </w:r>
          </w:p>
        </w:tc>
        <w:tc>
          <w:tcPr>
            <w:tcW w:w="982" w:type="dxa"/>
            <w:tcBorders>
              <w:top w:val="single" w:sz="4" w:space="0" w:color="auto"/>
              <w:left w:val="nil"/>
              <w:bottom w:val="single" w:sz="4" w:space="0" w:color="auto"/>
              <w:right w:val="nil"/>
            </w:tcBorders>
            <w:shd w:val="clear" w:color="auto" w:fill="auto"/>
            <w:vAlign w:val="center"/>
            <w:hideMark/>
          </w:tcPr>
          <w:p w14:paraId="1F2AF574" w14:textId="77777777" w:rsidR="00B9311E" w:rsidRPr="00BD77D8" w:rsidRDefault="00B9311E" w:rsidP="00B9311E">
            <w:pPr>
              <w:spacing w:after="0" w:line="240" w:lineRule="auto"/>
              <w:jc w:val="right"/>
              <w:rPr>
                <w:b/>
                <w:bCs/>
                <w:sz w:val="17"/>
                <w:szCs w:val="17"/>
              </w:rPr>
            </w:pPr>
            <w:r w:rsidRPr="00BD77D8">
              <w:rPr>
                <w:b/>
                <w:bCs/>
                <w:sz w:val="17"/>
                <w:szCs w:val="17"/>
              </w:rPr>
              <w:t xml:space="preserve">    166,066 </w:t>
            </w:r>
          </w:p>
        </w:tc>
        <w:tc>
          <w:tcPr>
            <w:tcW w:w="993" w:type="dxa"/>
            <w:tcBorders>
              <w:top w:val="single" w:sz="4" w:space="0" w:color="auto"/>
              <w:left w:val="nil"/>
              <w:bottom w:val="single" w:sz="4" w:space="0" w:color="auto"/>
              <w:right w:val="nil"/>
            </w:tcBorders>
            <w:shd w:val="clear" w:color="auto" w:fill="auto"/>
            <w:vAlign w:val="center"/>
            <w:hideMark/>
          </w:tcPr>
          <w:p w14:paraId="4E171857" w14:textId="77777777" w:rsidR="00B9311E" w:rsidRPr="00BD77D8" w:rsidRDefault="00B9311E" w:rsidP="00B9311E">
            <w:pPr>
              <w:spacing w:after="0" w:line="240" w:lineRule="auto"/>
              <w:jc w:val="right"/>
              <w:rPr>
                <w:b/>
                <w:bCs/>
                <w:sz w:val="17"/>
                <w:szCs w:val="17"/>
              </w:rPr>
            </w:pPr>
            <w:r w:rsidRPr="00BD77D8">
              <w:rPr>
                <w:b/>
                <w:bCs/>
                <w:sz w:val="17"/>
                <w:szCs w:val="17"/>
              </w:rPr>
              <w:t xml:space="preserve">         2,208 </w:t>
            </w:r>
          </w:p>
        </w:tc>
        <w:tc>
          <w:tcPr>
            <w:tcW w:w="1000" w:type="dxa"/>
            <w:tcBorders>
              <w:top w:val="single" w:sz="4" w:space="0" w:color="auto"/>
              <w:left w:val="nil"/>
              <w:bottom w:val="single" w:sz="4" w:space="0" w:color="auto"/>
              <w:right w:val="nil"/>
            </w:tcBorders>
            <w:shd w:val="clear" w:color="auto" w:fill="auto"/>
            <w:vAlign w:val="center"/>
            <w:hideMark/>
          </w:tcPr>
          <w:p w14:paraId="670D9A18"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134" w:type="dxa"/>
            <w:tcBorders>
              <w:top w:val="single" w:sz="4" w:space="0" w:color="auto"/>
              <w:left w:val="nil"/>
              <w:bottom w:val="single" w:sz="4" w:space="0" w:color="auto"/>
              <w:right w:val="nil"/>
            </w:tcBorders>
            <w:shd w:val="clear" w:color="auto" w:fill="auto"/>
            <w:vAlign w:val="center"/>
            <w:hideMark/>
          </w:tcPr>
          <w:p w14:paraId="0FDD786B"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113" w:type="dxa"/>
            <w:tcBorders>
              <w:top w:val="single" w:sz="4" w:space="0" w:color="auto"/>
              <w:left w:val="nil"/>
              <w:bottom w:val="single" w:sz="4" w:space="0" w:color="auto"/>
              <w:right w:val="nil"/>
            </w:tcBorders>
            <w:shd w:val="clear" w:color="auto" w:fill="auto"/>
            <w:vAlign w:val="center"/>
            <w:hideMark/>
          </w:tcPr>
          <w:p w14:paraId="3E61515A" w14:textId="77777777" w:rsidR="00B9311E" w:rsidRPr="00BD77D8" w:rsidRDefault="00B9311E" w:rsidP="00B9311E">
            <w:pPr>
              <w:spacing w:after="0" w:line="240" w:lineRule="auto"/>
              <w:jc w:val="right"/>
              <w:rPr>
                <w:b/>
                <w:bCs/>
                <w:sz w:val="17"/>
                <w:szCs w:val="17"/>
              </w:rPr>
            </w:pPr>
            <w:r w:rsidRPr="00BD77D8">
              <w:rPr>
                <w:b/>
                <w:bCs/>
                <w:sz w:val="17"/>
                <w:szCs w:val="17"/>
              </w:rPr>
              <w:t xml:space="preserve">             1,170 </w:t>
            </w:r>
          </w:p>
        </w:tc>
        <w:tc>
          <w:tcPr>
            <w:tcW w:w="1156" w:type="dxa"/>
            <w:tcBorders>
              <w:top w:val="single" w:sz="4" w:space="0" w:color="auto"/>
              <w:left w:val="nil"/>
              <w:bottom w:val="single" w:sz="4" w:space="0" w:color="auto"/>
              <w:right w:val="nil"/>
            </w:tcBorders>
            <w:shd w:val="clear" w:color="auto" w:fill="auto"/>
            <w:vAlign w:val="center"/>
            <w:hideMark/>
          </w:tcPr>
          <w:p w14:paraId="367AB12E" w14:textId="77777777" w:rsidR="00B9311E" w:rsidRPr="00BD77D8" w:rsidRDefault="00B9311E" w:rsidP="00B9311E">
            <w:pPr>
              <w:spacing w:after="0" w:line="240" w:lineRule="auto"/>
              <w:jc w:val="right"/>
              <w:rPr>
                <w:b/>
                <w:bCs/>
                <w:sz w:val="17"/>
                <w:szCs w:val="17"/>
              </w:rPr>
            </w:pPr>
            <w:r w:rsidRPr="00BD77D8">
              <w:rPr>
                <w:b/>
                <w:bCs/>
                <w:sz w:val="17"/>
                <w:szCs w:val="17"/>
              </w:rPr>
              <w:t xml:space="preserve">                708 </w:t>
            </w:r>
          </w:p>
        </w:tc>
        <w:tc>
          <w:tcPr>
            <w:tcW w:w="1156" w:type="dxa"/>
            <w:tcBorders>
              <w:top w:val="single" w:sz="4" w:space="0" w:color="auto"/>
              <w:left w:val="nil"/>
              <w:bottom w:val="single" w:sz="4" w:space="0" w:color="auto"/>
              <w:right w:val="nil"/>
            </w:tcBorders>
            <w:shd w:val="clear" w:color="auto" w:fill="auto"/>
            <w:vAlign w:val="center"/>
            <w:hideMark/>
          </w:tcPr>
          <w:p w14:paraId="1BEBF021" w14:textId="77777777" w:rsidR="00B9311E" w:rsidRPr="00BD77D8" w:rsidRDefault="00B9311E" w:rsidP="00B9311E">
            <w:pPr>
              <w:spacing w:after="0" w:line="240" w:lineRule="auto"/>
              <w:jc w:val="right"/>
              <w:rPr>
                <w:b/>
                <w:bCs/>
                <w:sz w:val="17"/>
                <w:szCs w:val="17"/>
              </w:rPr>
            </w:pPr>
            <w:r w:rsidRPr="00BD77D8">
              <w:rPr>
                <w:b/>
                <w:bCs/>
                <w:sz w:val="17"/>
                <w:szCs w:val="17"/>
              </w:rPr>
              <w:t xml:space="preserve">           14,756 </w:t>
            </w:r>
          </w:p>
        </w:tc>
        <w:tc>
          <w:tcPr>
            <w:tcW w:w="1285" w:type="dxa"/>
            <w:tcBorders>
              <w:top w:val="single" w:sz="4" w:space="0" w:color="auto"/>
              <w:left w:val="nil"/>
              <w:bottom w:val="single" w:sz="4" w:space="0" w:color="auto"/>
              <w:right w:val="nil"/>
            </w:tcBorders>
            <w:shd w:val="clear" w:color="auto" w:fill="auto"/>
            <w:vAlign w:val="center"/>
            <w:hideMark/>
          </w:tcPr>
          <w:p w14:paraId="4567E13A" w14:textId="77777777" w:rsidR="00B9311E" w:rsidRPr="00BD77D8" w:rsidRDefault="00B9311E" w:rsidP="00B9311E">
            <w:pPr>
              <w:spacing w:after="0" w:line="240" w:lineRule="auto"/>
              <w:jc w:val="right"/>
              <w:rPr>
                <w:b/>
                <w:bCs/>
                <w:sz w:val="17"/>
                <w:szCs w:val="17"/>
              </w:rPr>
            </w:pPr>
            <w:r w:rsidRPr="00BD77D8">
              <w:rPr>
                <w:b/>
                <w:bCs/>
                <w:sz w:val="17"/>
                <w:szCs w:val="17"/>
              </w:rPr>
              <w:t xml:space="preserve">           15,130 </w:t>
            </w:r>
          </w:p>
        </w:tc>
        <w:tc>
          <w:tcPr>
            <w:tcW w:w="1062" w:type="dxa"/>
            <w:tcBorders>
              <w:top w:val="single" w:sz="4" w:space="0" w:color="auto"/>
              <w:left w:val="nil"/>
              <w:bottom w:val="single" w:sz="4" w:space="0" w:color="auto"/>
              <w:right w:val="nil"/>
            </w:tcBorders>
            <w:shd w:val="clear" w:color="auto" w:fill="auto"/>
            <w:vAlign w:val="center"/>
            <w:hideMark/>
          </w:tcPr>
          <w:p w14:paraId="3D385399" w14:textId="77777777" w:rsidR="00B9311E" w:rsidRPr="00BD77D8" w:rsidRDefault="00B9311E" w:rsidP="00B9311E">
            <w:pPr>
              <w:spacing w:after="0" w:line="240" w:lineRule="auto"/>
              <w:jc w:val="right"/>
              <w:rPr>
                <w:b/>
                <w:bCs/>
                <w:sz w:val="17"/>
                <w:szCs w:val="17"/>
              </w:rPr>
            </w:pPr>
            <w:r w:rsidRPr="00BD77D8">
              <w:rPr>
                <w:b/>
                <w:bCs/>
                <w:sz w:val="17"/>
                <w:szCs w:val="17"/>
              </w:rPr>
              <w:t xml:space="preserve">  205,611 </w:t>
            </w:r>
          </w:p>
        </w:tc>
        <w:tc>
          <w:tcPr>
            <w:tcW w:w="915" w:type="dxa"/>
            <w:tcBorders>
              <w:top w:val="single" w:sz="4" w:space="0" w:color="auto"/>
              <w:left w:val="nil"/>
              <w:bottom w:val="single" w:sz="4" w:space="0" w:color="auto"/>
              <w:right w:val="nil"/>
            </w:tcBorders>
            <w:shd w:val="clear" w:color="auto" w:fill="auto"/>
            <w:vAlign w:val="center"/>
            <w:hideMark/>
          </w:tcPr>
          <w:p w14:paraId="34EBF324" w14:textId="77777777" w:rsidR="00B9311E" w:rsidRPr="00BD77D8" w:rsidRDefault="00B9311E" w:rsidP="00B9311E">
            <w:pPr>
              <w:spacing w:after="0" w:line="240" w:lineRule="auto"/>
              <w:jc w:val="right"/>
              <w:rPr>
                <w:b/>
                <w:bCs/>
                <w:sz w:val="17"/>
                <w:szCs w:val="17"/>
              </w:rPr>
            </w:pPr>
            <w:r w:rsidRPr="00BD77D8">
              <w:rPr>
                <w:b/>
                <w:bCs/>
                <w:sz w:val="17"/>
                <w:szCs w:val="17"/>
              </w:rPr>
              <w:t xml:space="preserve">  181,905 </w:t>
            </w:r>
          </w:p>
        </w:tc>
      </w:tr>
      <w:tr w:rsidR="00BD77D8" w:rsidRPr="00BD77D8" w14:paraId="0C92490C" w14:textId="77777777" w:rsidTr="003057FB">
        <w:trPr>
          <w:trHeight w:val="240"/>
        </w:trPr>
        <w:tc>
          <w:tcPr>
            <w:tcW w:w="3655" w:type="dxa"/>
            <w:tcBorders>
              <w:top w:val="nil"/>
              <w:left w:val="nil"/>
              <w:bottom w:val="nil"/>
              <w:right w:val="nil"/>
            </w:tcBorders>
            <w:shd w:val="clear" w:color="000000" w:fill="FFFFFF"/>
            <w:noWrap/>
            <w:vAlign w:val="bottom"/>
            <w:hideMark/>
          </w:tcPr>
          <w:p w14:paraId="34008AC9" w14:textId="77777777" w:rsidR="00B9311E" w:rsidRPr="00BD77D8" w:rsidRDefault="00B9311E" w:rsidP="00B9311E">
            <w:pPr>
              <w:spacing w:after="0" w:line="240" w:lineRule="auto"/>
              <w:rPr>
                <w:b/>
                <w:bCs/>
                <w:sz w:val="17"/>
                <w:szCs w:val="17"/>
              </w:rPr>
            </w:pPr>
            <w:r w:rsidRPr="00BD77D8">
              <w:rPr>
                <w:b/>
                <w:bCs/>
                <w:sz w:val="17"/>
                <w:szCs w:val="17"/>
              </w:rPr>
              <w:t xml:space="preserve"> Total Assets </w:t>
            </w:r>
          </w:p>
        </w:tc>
        <w:tc>
          <w:tcPr>
            <w:tcW w:w="913" w:type="dxa"/>
            <w:tcBorders>
              <w:top w:val="nil"/>
              <w:left w:val="nil"/>
              <w:bottom w:val="single" w:sz="4" w:space="0" w:color="auto"/>
              <w:right w:val="nil"/>
            </w:tcBorders>
            <w:shd w:val="clear" w:color="auto" w:fill="auto"/>
            <w:vAlign w:val="center"/>
            <w:hideMark/>
          </w:tcPr>
          <w:p w14:paraId="13D9007D" w14:textId="77777777" w:rsidR="00B9311E" w:rsidRPr="00BD77D8" w:rsidRDefault="00B9311E" w:rsidP="00B9311E">
            <w:pPr>
              <w:spacing w:after="0" w:line="240" w:lineRule="auto"/>
              <w:jc w:val="right"/>
              <w:rPr>
                <w:b/>
                <w:bCs/>
                <w:sz w:val="17"/>
                <w:szCs w:val="17"/>
              </w:rPr>
            </w:pPr>
            <w:r w:rsidRPr="00BD77D8">
              <w:rPr>
                <w:b/>
                <w:bCs/>
                <w:sz w:val="17"/>
                <w:szCs w:val="17"/>
              </w:rPr>
              <w:t xml:space="preserve">    224,467 </w:t>
            </w:r>
          </w:p>
        </w:tc>
        <w:tc>
          <w:tcPr>
            <w:tcW w:w="982" w:type="dxa"/>
            <w:tcBorders>
              <w:top w:val="nil"/>
              <w:left w:val="nil"/>
              <w:bottom w:val="single" w:sz="4" w:space="0" w:color="auto"/>
              <w:right w:val="nil"/>
            </w:tcBorders>
            <w:shd w:val="clear" w:color="auto" w:fill="auto"/>
            <w:vAlign w:val="center"/>
            <w:hideMark/>
          </w:tcPr>
          <w:p w14:paraId="06F4691F" w14:textId="77777777" w:rsidR="00B9311E" w:rsidRPr="00BD77D8" w:rsidRDefault="00B9311E" w:rsidP="00B9311E">
            <w:pPr>
              <w:spacing w:after="0" w:line="240" w:lineRule="auto"/>
              <w:jc w:val="right"/>
              <w:rPr>
                <w:b/>
                <w:bCs/>
                <w:sz w:val="17"/>
                <w:szCs w:val="17"/>
              </w:rPr>
            </w:pPr>
            <w:r w:rsidRPr="00BD77D8">
              <w:rPr>
                <w:b/>
                <w:bCs/>
                <w:sz w:val="17"/>
                <w:szCs w:val="17"/>
              </w:rPr>
              <w:t xml:space="preserve">    202,244 </w:t>
            </w:r>
          </w:p>
        </w:tc>
        <w:tc>
          <w:tcPr>
            <w:tcW w:w="993" w:type="dxa"/>
            <w:tcBorders>
              <w:top w:val="nil"/>
              <w:left w:val="nil"/>
              <w:bottom w:val="single" w:sz="4" w:space="0" w:color="auto"/>
              <w:right w:val="nil"/>
            </w:tcBorders>
            <w:shd w:val="clear" w:color="auto" w:fill="auto"/>
            <w:vAlign w:val="center"/>
            <w:hideMark/>
          </w:tcPr>
          <w:p w14:paraId="69717618" w14:textId="77777777" w:rsidR="00B9311E" w:rsidRPr="00BD77D8" w:rsidRDefault="00B9311E" w:rsidP="00B9311E">
            <w:pPr>
              <w:spacing w:after="0" w:line="240" w:lineRule="auto"/>
              <w:jc w:val="right"/>
              <w:rPr>
                <w:b/>
                <w:bCs/>
                <w:sz w:val="17"/>
                <w:szCs w:val="17"/>
              </w:rPr>
            </w:pPr>
            <w:r w:rsidRPr="00BD77D8">
              <w:rPr>
                <w:b/>
                <w:bCs/>
                <w:sz w:val="17"/>
                <w:szCs w:val="17"/>
              </w:rPr>
              <w:t xml:space="preserve">         3,226 </w:t>
            </w:r>
          </w:p>
        </w:tc>
        <w:tc>
          <w:tcPr>
            <w:tcW w:w="1000" w:type="dxa"/>
            <w:tcBorders>
              <w:top w:val="nil"/>
              <w:left w:val="nil"/>
              <w:bottom w:val="single" w:sz="4" w:space="0" w:color="auto"/>
              <w:right w:val="nil"/>
            </w:tcBorders>
            <w:shd w:val="clear" w:color="auto" w:fill="auto"/>
            <w:vAlign w:val="center"/>
            <w:hideMark/>
          </w:tcPr>
          <w:p w14:paraId="40CC5A86" w14:textId="77777777" w:rsidR="00B9311E" w:rsidRPr="00BD77D8" w:rsidRDefault="00B9311E" w:rsidP="00B9311E">
            <w:pPr>
              <w:spacing w:after="0" w:line="240" w:lineRule="auto"/>
              <w:jc w:val="right"/>
              <w:rPr>
                <w:b/>
                <w:bCs/>
                <w:sz w:val="17"/>
                <w:szCs w:val="17"/>
              </w:rPr>
            </w:pPr>
            <w:r w:rsidRPr="00BD77D8">
              <w:rPr>
                <w:b/>
                <w:bCs/>
                <w:sz w:val="17"/>
                <w:szCs w:val="17"/>
              </w:rPr>
              <w:t xml:space="preserve">         2,403 </w:t>
            </w:r>
          </w:p>
        </w:tc>
        <w:tc>
          <w:tcPr>
            <w:tcW w:w="1134" w:type="dxa"/>
            <w:tcBorders>
              <w:top w:val="nil"/>
              <w:left w:val="nil"/>
              <w:bottom w:val="single" w:sz="4" w:space="0" w:color="auto"/>
              <w:right w:val="nil"/>
            </w:tcBorders>
            <w:shd w:val="clear" w:color="auto" w:fill="auto"/>
            <w:vAlign w:val="center"/>
            <w:hideMark/>
          </w:tcPr>
          <w:p w14:paraId="7AB99E6B"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113" w:type="dxa"/>
            <w:tcBorders>
              <w:top w:val="nil"/>
              <w:left w:val="nil"/>
              <w:bottom w:val="single" w:sz="4" w:space="0" w:color="auto"/>
              <w:right w:val="nil"/>
            </w:tcBorders>
            <w:shd w:val="clear" w:color="auto" w:fill="auto"/>
            <w:vAlign w:val="center"/>
            <w:hideMark/>
          </w:tcPr>
          <w:p w14:paraId="3DFF639C" w14:textId="77777777" w:rsidR="00B9311E" w:rsidRPr="00BD77D8" w:rsidRDefault="00B9311E" w:rsidP="00B9311E">
            <w:pPr>
              <w:spacing w:after="0" w:line="240" w:lineRule="auto"/>
              <w:jc w:val="right"/>
              <w:rPr>
                <w:b/>
                <w:bCs/>
                <w:sz w:val="17"/>
                <w:szCs w:val="17"/>
              </w:rPr>
            </w:pPr>
            <w:r w:rsidRPr="00BD77D8">
              <w:rPr>
                <w:b/>
                <w:bCs/>
                <w:sz w:val="17"/>
                <w:szCs w:val="17"/>
              </w:rPr>
              <w:t xml:space="preserve">             8,709 </w:t>
            </w:r>
          </w:p>
        </w:tc>
        <w:tc>
          <w:tcPr>
            <w:tcW w:w="1156" w:type="dxa"/>
            <w:tcBorders>
              <w:top w:val="nil"/>
              <w:left w:val="nil"/>
              <w:bottom w:val="single" w:sz="4" w:space="0" w:color="auto"/>
              <w:right w:val="nil"/>
            </w:tcBorders>
            <w:shd w:val="clear" w:color="auto" w:fill="auto"/>
            <w:vAlign w:val="center"/>
            <w:hideMark/>
          </w:tcPr>
          <w:p w14:paraId="099D3184" w14:textId="77777777" w:rsidR="00B9311E" w:rsidRPr="00BD77D8" w:rsidRDefault="00B9311E" w:rsidP="00B9311E">
            <w:pPr>
              <w:spacing w:after="0" w:line="240" w:lineRule="auto"/>
              <w:jc w:val="right"/>
              <w:rPr>
                <w:b/>
                <w:bCs/>
                <w:sz w:val="17"/>
                <w:szCs w:val="17"/>
              </w:rPr>
            </w:pPr>
            <w:r w:rsidRPr="00BD77D8">
              <w:rPr>
                <w:b/>
                <w:bCs/>
                <w:sz w:val="17"/>
                <w:szCs w:val="17"/>
              </w:rPr>
              <w:t xml:space="preserve">             8,830 </w:t>
            </w:r>
          </w:p>
        </w:tc>
        <w:tc>
          <w:tcPr>
            <w:tcW w:w="1156" w:type="dxa"/>
            <w:tcBorders>
              <w:top w:val="nil"/>
              <w:left w:val="nil"/>
              <w:bottom w:val="single" w:sz="4" w:space="0" w:color="auto"/>
              <w:right w:val="nil"/>
            </w:tcBorders>
            <w:shd w:val="clear" w:color="auto" w:fill="auto"/>
            <w:vAlign w:val="center"/>
            <w:hideMark/>
          </w:tcPr>
          <w:p w14:paraId="6E814042" w14:textId="77777777" w:rsidR="00B9311E" w:rsidRPr="00BD77D8" w:rsidRDefault="00B9311E" w:rsidP="00B9311E">
            <w:pPr>
              <w:spacing w:after="0" w:line="240" w:lineRule="auto"/>
              <w:jc w:val="right"/>
              <w:rPr>
                <w:b/>
                <w:bCs/>
                <w:sz w:val="17"/>
                <w:szCs w:val="17"/>
              </w:rPr>
            </w:pPr>
            <w:r w:rsidRPr="00BD77D8">
              <w:rPr>
                <w:b/>
                <w:bCs/>
                <w:sz w:val="17"/>
                <w:szCs w:val="17"/>
              </w:rPr>
              <w:t xml:space="preserve">           29,586 </w:t>
            </w:r>
          </w:p>
        </w:tc>
        <w:tc>
          <w:tcPr>
            <w:tcW w:w="1285" w:type="dxa"/>
            <w:tcBorders>
              <w:top w:val="nil"/>
              <w:left w:val="nil"/>
              <w:bottom w:val="single" w:sz="4" w:space="0" w:color="auto"/>
              <w:right w:val="nil"/>
            </w:tcBorders>
            <w:shd w:val="clear" w:color="auto" w:fill="auto"/>
            <w:vAlign w:val="center"/>
            <w:hideMark/>
          </w:tcPr>
          <w:p w14:paraId="6F8B23BA" w14:textId="77777777" w:rsidR="00B9311E" w:rsidRPr="00BD77D8" w:rsidRDefault="00B9311E" w:rsidP="00B9311E">
            <w:pPr>
              <w:spacing w:after="0" w:line="240" w:lineRule="auto"/>
              <w:jc w:val="right"/>
              <w:rPr>
                <w:b/>
                <w:bCs/>
                <w:sz w:val="17"/>
                <w:szCs w:val="17"/>
              </w:rPr>
            </w:pPr>
            <w:r w:rsidRPr="00BD77D8">
              <w:rPr>
                <w:b/>
                <w:bCs/>
                <w:sz w:val="17"/>
                <w:szCs w:val="17"/>
              </w:rPr>
              <w:t xml:space="preserve">           31,050 </w:t>
            </w:r>
          </w:p>
        </w:tc>
        <w:tc>
          <w:tcPr>
            <w:tcW w:w="1062" w:type="dxa"/>
            <w:tcBorders>
              <w:top w:val="nil"/>
              <w:left w:val="nil"/>
              <w:bottom w:val="single" w:sz="4" w:space="0" w:color="auto"/>
              <w:right w:val="nil"/>
            </w:tcBorders>
            <w:shd w:val="clear" w:color="auto" w:fill="auto"/>
            <w:vAlign w:val="center"/>
            <w:hideMark/>
          </w:tcPr>
          <w:p w14:paraId="47E68B3C" w14:textId="77777777" w:rsidR="00B9311E" w:rsidRPr="00BD77D8" w:rsidRDefault="00B9311E" w:rsidP="00B9311E">
            <w:pPr>
              <w:spacing w:after="0" w:line="240" w:lineRule="auto"/>
              <w:jc w:val="right"/>
              <w:rPr>
                <w:b/>
                <w:bCs/>
                <w:sz w:val="17"/>
                <w:szCs w:val="17"/>
              </w:rPr>
            </w:pPr>
            <w:r w:rsidRPr="00BD77D8">
              <w:rPr>
                <w:b/>
                <w:bCs/>
                <w:sz w:val="17"/>
                <w:szCs w:val="17"/>
              </w:rPr>
              <w:t xml:space="preserve">  265,988 </w:t>
            </w:r>
          </w:p>
        </w:tc>
        <w:tc>
          <w:tcPr>
            <w:tcW w:w="915" w:type="dxa"/>
            <w:tcBorders>
              <w:top w:val="nil"/>
              <w:left w:val="nil"/>
              <w:bottom w:val="single" w:sz="4" w:space="0" w:color="auto"/>
              <w:right w:val="nil"/>
            </w:tcBorders>
            <w:shd w:val="clear" w:color="auto" w:fill="auto"/>
            <w:vAlign w:val="center"/>
            <w:hideMark/>
          </w:tcPr>
          <w:p w14:paraId="72784F97" w14:textId="77777777" w:rsidR="00B9311E" w:rsidRPr="00BD77D8" w:rsidRDefault="00B9311E" w:rsidP="00B9311E">
            <w:pPr>
              <w:spacing w:after="0" w:line="240" w:lineRule="auto"/>
              <w:jc w:val="right"/>
              <w:rPr>
                <w:b/>
                <w:bCs/>
                <w:sz w:val="17"/>
                <w:szCs w:val="17"/>
              </w:rPr>
            </w:pPr>
            <w:r w:rsidRPr="00BD77D8">
              <w:rPr>
                <w:b/>
                <w:bCs/>
                <w:sz w:val="17"/>
                <w:szCs w:val="17"/>
              </w:rPr>
              <w:t xml:space="preserve">  244,527 </w:t>
            </w:r>
          </w:p>
        </w:tc>
      </w:tr>
      <w:tr w:rsidR="00BD77D8" w:rsidRPr="00BD77D8" w14:paraId="47737CDB" w14:textId="77777777" w:rsidTr="003057FB">
        <w:trPr>
          <w:trHeight w:val="240"/>
        </w:trPr>
        <w:tc>
          <w:tcPr>
            <w:tcW w:w="3655" w:type="dxa"/>
            <w:tcBorders>
              <w:top w:val="nil"/>
              <w:left w:val="nil"/>
              <w:bottom w:val="nil"/>
              <w:right w:val="nil"/>
            </w:tcBorders>
            <w:shd w:val="clear" w:color="000000" w:fill="FFFFFF"/>
            <w:noWrap/>
            <w:vAlign w:val="bottom"/>
            <w:hideMark/>
          </w:tcPr>
          <w:p w14:paraId="63090821" w14:textId="77777777" w:rsidR="00B9311E" w:rsidRPr="00BD77D8" w:rsidRDefault="00B9311E" w:rsidP="00B9311E">
            <w:pPr>
              <w:spacing w:after="0" w:line="240" w:lineRule="auto"/>
              <w:rPr>
                <w:b/>
                <w:bCs/>
                <w:sz w:val="17"/>
                <w:szCs w:val="17"/>
              </w:rPr>
            </w:pPr>
            <w:r w:rsidRPr="00BD77D8">
              <w:rPr>
                <w:b/>
                <w:bCs/>
                <w:sz w:val="17"/>
                <w:szCs w:val="17"/>
              </w:rPr>
              <w:t xml:space="preserve"> Current Liabilities </w:t>
            </w:r>
          </w:p>
        </w:tc>
        <w:tc>
          <w:tcPr>
            <w:tcW w:w="913" w:type="dxa"/>
            <w:tcBorders>
              <w:top w:val="nil"/>
              <w:left w:val="nil"/>
              <w:bottom w:val="nil"/>
              <w:right w:val="nil"/>
            </w:tcBorders>
            <w:shd w:val="clear" w:color="auto" w:fill="auto"/>
            <w:vAlign w:val="center"/>
            <w:hideMark/>
          </w:tcPr>
          <w:p w14:paraId="6C89D1B9" w14:textId="77777777" w:rsidR="00B9311E" w:rsidRPr="00BD77D8" w:rsidRDefault="00B9311E" w:rsidP="00B9311E">
            <w:pPr>
              <w:spacing w:after="0" w:line="240" w:lineRule="auto"/>
              <w:jc w:val="right"/>
              <w:rPr>
                <w:b/>
                <w:bCs/>
                <w:sz w:val="17"/>
                <w:szCs w:val="17"/>
              </w:rPr>
            </w:pPr>
          </w:p>
        </w:tc>
        <w:tc>
          <w:tcPr>
            <w:tcW w:w="982" w:type="dxa"/>
            <w:tcBorders>
              <w:top w:val="nil"/>
              <w:left w:val="nil"/>
              <w:bottom w:val="nil"/>
              <w:right w:val="nil"/>
            </w:tcBorders>
            <w:shd w:val="clear" w:color="auto" w:fill="auto"/>
            <w:vAlign w:val="center"/>
            <w:hideMark/>
          </w:tcPr>
          <w:p w14:paraId="7E3F8A15"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993" w:type="dxa"/>
            <w:tcBorders>
              <w:top w:val="nil"/>
              <w:left w:val="nil"/>
              <w:bottom w:val="nil"/>
              <w:right w:val="nil"/>
            </w:tcBorders>
            <w:shd w:val="clear" w:color="auto" w:fill="auto"/>
            <w:vAlign w:val="center"/>
            <w:hideMark/>
          </w:tcPr>
          <w:p w14:paraId="66A14CC6"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000" w:type="dxa"/>
            <w:tcBorders>
              <w:top w:val="nil"/>
              <w:left w:val="nil"/>
              <w:bottom w:val="nil"/>
              <w:right w:val="nil"/>
            </w:tcBorders>
            <w:shd w:val="clear" w:color="auto" w:fill="auto"/>
            <w:vAlign w:val="center"/>
            <w:hideMark/>
          </w:tcPr>
          <w:p w14:paraId="550B3F97"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134" w:type="dxa"/>
            <w:tcBorders>
              <w:top w:val="nil"/>
              <w:left w:val="nil"/>
              <w:bottom w:val="nil"/>
              <w:right w:val="nil"/>
            </w:tcBorders>
            <w:shd w:val="clear" w:color="auto" w:fill="auto"/>
            <w:vAlign w:val="center"/>
            <w:hideMark/>
          </w:tcPr>
          <w:p w14:paraId="2B9360C5"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113" w:type="dxa"/>
            <w:tcBorders>
              <w:top w:val="nil"/>
              <w:left w:val="nil"/>
              <w:bottom w:val="nil"/>
              <w:right w:val="nil"/>
            </w:tcBorders>
            <w:shd w:val="clear" w:color="auto" w:fill="auto"/>
            <w:vAlign w:val="center"/>
            <w:hideMark/>
          </w:tcPr>
          <w:p w14:paraId="4FF42208"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156" w:type="dxa"/>
            <w:tcBorders>
              <w:top w:val="nil"/>
              <w:left w:val="nil"/>
              <w:bottom w:val="nil"/>
              <w:right w:val="nil"/>
            </w:tcBorders>
            <w:shd w:val="clear" w:color="auto" w:fill="auto"/>
            <w:vAlign w:val="center"/>
            <w:hideMark/>
          </w:tcPr>
          <w:p w14:paraId="63CA7D26"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156" w:type="dxa"/>
            <w:tcBorders>
              <w:top w:val="nil"/>
              <w:left w:val="nil"/>
              <w:bottom w:val="nil"/>
              <w:right w:val="nil"/>
            </w:tcBorders>
            <w:shd w:val="clear" w:color="auto" w:fill="auto"/>
            <w:vAlign w:val="center"/>
            <w:hideMark/>
          </w:tcPr>
          <w:p w14:paraId="6A2FF863"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285" w:type="dxa"/>
            <w:tcBorders>
              <w:top w:val="nil"/>
              <w:left w:val="nil"/>
              <w:bottom w:val="nil"/>
              <w:right w:val="nil"/>
            </w:tcBorders>
            <w:shd w:val="clear" w:color="auto" w:fill="auto"/>
            <w:vAlign w:val="center"/>
            <w:hideMark/>
          </w:tcPr>
          <w:p w14:paraId="4D58E925"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1062" w:type="dxa"/>
            <w:tcBorders>
              <w:top w:val="nil"/>
              <w:left w:val="nil"/>
              <w:bottom w:val="nil"/>
              <w:right w:val="nil"/>
            </w:tcBorders>
            <w:shd w:val="clear" w:color="auto" w:fill="auto"/>
            <w:vAlign w:val="center"/>
            <w:hideMark/>
          </w:tcPr>
          <w:p w14:paraId="66F521F5" w14:textId="77777777" w:rsidR="00B9311E" w:rsidRPr="00BD77D8" w:rsidRDefault="00B9311E" w:rsidP="00B9311E">
            <w:pPr>
              <w:spacing w:after="0" w:line="240" w:lineRule="auto"/>
              <w:jc w:val="right"/>
              <w:rPr>
                <w:rFonts w:ascii="Times New Roman" w:hAnsi="Times New Roman" w:cs="Times New Roman"/>
                <w:b/>
                <w:bCs/>
                <w:sz w:val="17"/>
                <w:szCs w:val="17"/>
              </w:rPr>
            </w:pPr>
          </w:p>
        </w:tc>
        <w:tc>
          <w:tcPr>
            <w:tcW w:w="915" w:type="dxa"/>
            <w:tcBorders>
              <w:top w:val="nil"/>
              <w:left w:val="nil"/>
              <w:bottom w:val="nil"/>
              <w:right w:val="nil"/>
            </w:tcBorders>
            <w:shd w:val="clear" w:color="auto" w:fill="auto"/>
            <w:vAlign w:val="center"/>
            <w:hideMark/>
          </w:tcPr>
          <w:p w14:paraId="652494F6" w14:textId="77777777" w:rsidR="00B9311E" w:rsidRPr="00BD77D8" w:rsidRDefault="00B9311E" w:rsidP="00B9311E">
            <w:pPr>
              <w:spacing w:after="0" w:line="240" w:lineRule="auto"/>
              <w:jc w:val="right"/>
              <w:rPr>
                <w:rFonts w:ascii="Times New Roman" w:hAnsi="Times New Roman" w:cs="Times New Roman"/>
                <w:b/>
                <w:bCs/>
                <w:sz w:val="17"/>
                <w:szCs w:val="17"/>
              </w:rPr>
            </w:pPr>
          </w:p>
        </w:tc>
      </w:tr>
      <w:tr w:rsidR="00BD77D8" w:rsidRPr="00BD77D8" w14:paraId="739069DA" w14:textId="77777777" w:rsidTr="003057FB">
        <w:trPr>
          <w:trHeight w:val="240"/>
        </w:trPr>
        <w:tc>
          <w:tcPr>
            <w:tcW w:w="3655" w:type="dxa"/>
            <w:tcBorders>
              <w:top w:val="nil"/>
              <w:left w:val="nil"/>
              <w:bottom w:val="nil"/>
              <w:right w:val="nil"/>
            </w:tcBorders>
            <w:shd w:val="clear" w:color="000000" w:fill="FFFFFF"/>
            <w:noWrap/>
            <w:vAlign w:val="bottom"/>
            <w:hideMark/>
          </w:tcPr>
          <w:p w14:paraId="3489AF15" w14:textId="77777777" w:rsidR="00B9311E" w:rsidRPr="00BD77D8" w:rsidRDefault="00B9311E" w:rsidP="00B9311E">
            <w:pPr>
              <w:spacing w:after="0" w:line="240" w:lineRule="auto"/>
              <w:ind w:firstLineChars="100" w:firstLine="170"/>
              <w:rPr>
                <w:sz w:val="17"/>
                <w:szCs w:val="17"/>
              </w:rPr>
            </w:pPr>
            <w:r w:rsidRPr="00BD77D8">
              <w:rPr>
                <w:sz w:val="17"/>
                <w:szCs w:val="17"/>
              </w:rPr>
              <w:t xml:space="preserve"> Payables </w:t>
            </w:r>
          </w:p>
        </w:tc>
        <w:tc>
          <w:tcPr>
            <w:tcW w:w="913" w:type="dxa"/>
            <w:tcBorders>
              <w:top w:val="nil"/>
              <w:left w:val="nil"/>
              <w:bottom w:val="nil"/>
              <w:right w:val="nil"/>
            </w:tcBorders>
            <w:shd w:val="clear" w:color="auto" w:fill="auto"/>
            <w:vAlign w:val="center"/>
            <w:hideMark/>
          </w:tcPr>
          <w:p w14:paraId="210E8415" w14:textId="77777777" w:rsidR="00B9311E" w:rsidRPr="00BD77D8" w:rsidRDefault="00B9311E" w:rsidP="00B9311E">
            <w:pPr>
              <w:spacing w:after="0" w:line="240" w:lineRule="auto"/>
              <w:jc w:val="right"/>
              <w:rPr>
                <w:b/>
                <w:bCs/>
                <w:sz w:val="17"/>
                <w:szCs w:val="17"/>
              </w:rPr>
            </w:pPr>
            <w:r w:rsidRPr="00BD77D8">
              <w:rPr>
                <w:b/>
                <w:bCs/>
                <w:sz w:val="17"/>
                <w:szCs w:val="17"/>
              </w:rPr>
              <w:t xml:space="preserve">      13,337 </w:t>
            </w:r>
          </w:p>
        </w:tc>
        <w:tc>
          <w:tcPr>
            <w:tcW w:w="982" w:type="dxa"/>
            <w:tcBorders>
              <w:top w:val="nil"/>
              <w:left w:val="nil"/>
              <w:bottom w:val="nil"/>
              <w:right w:val="nil"/>
            </w:tcBorders>
            <w:shd w:val="clear" w:color="auto" w:fill="auto"/>
            <w:vAlign w:val="center"/>
            <w:hideMark/>
          </w:tcPr>
          <w:p w14:paraId="44EDF019" w14:textId="77777777" w:rsidR="00B9311E" w:rsidRPr="00BD77D8" w:rsidRDefault="00B9311E" w:rsidP="00B9311E">
            <w:pPr>
              <w:spacing w:after="0" w:line="240" w:lineRule="auto"/>
              <w:jc w:val="right"/>
              <w:rPr>
                <w:sz w:val="17"/>
                <w:szCs w:val="17"/>
              </w:rPr>
            </w:pPr>
            <w:r w:rsidRPr="00BD77D8">
              <w:rPr>
                <w:sz w:val="17"/>
                <w:szCs w:val="17"/>
              </w:rPr>
              <w:t>21,627</w:t>
            </w:r>
          </w:p>
        </w:tc>
        <w:tc>
          <w:tcPr>
            <w:tcW w:w="993" w:type="dxa"/>
            <w:tcBorders>
              <w:top w:val="nil"/>
              <w:left w:val="nil"/>
              <w:bottom w:val="nil"/>
              <w:right w:val="nil"/>
            </w:tcBorders>
            <w:shd w:val="clear" w:color="auto" w:fill="auto"/>
            <w:vAlign w:val="center"/>
            <w:hideMark/>
          </w:tcPr>
          <w:p w14:paraId="7720BA15" w14:textId="77777777" w:rsidR="00B9311E" w:rsidRPr="00BD77D8" w:rsidRDefault="00B9311E" w:rsidP="00B9311E">
            <w:pPr>
              <w:spacing w:after="0" w:line="240" w:lineRule="auto"/>
              <w:jc w:val="right"/>
              <w:rPr>
                <w:b/>
                <w:bCs/>
                <w:sz w:val="17"/>
                <w:szCs w:val="17"/>
              </w:rPr>
            </w:pPr>
            <w:r w:rsidRPr="00BD77D8">
              <w:rPr>
                <w:b/>
                <w:bCs/>
                <w:sz w:val="17"/>
                <w:szCs w:val="17"/>
              </w:rPr>
              <w:t xml:space="preserve">            990 </w:t>
            </w:r>
          </w:p>
        </w:tc>
        <w:tc>
          <w:tcPr>
            <w:tcW w:w="1000" w:type="dxa"/>
            <w:tcBorders>
              <w:top w:val="nil"/>
              <w:left w:val="nil"/>
              <w:bottom w:val="nil"/>
              <w:right w:val="nil"/>
            </w:tcBorders>
            <w:shd w:val="clear" w:color="auto" w:fill="auto"/>
            <w:vAlign w:val="center"/>
            <w:hideMark/>
          </w:tcPr>
          <w:p w14:paraId="3D8FB103" w14:textId="77777777" w:rsidR="00B9311E" w:rsidRPr="00BD77D8" w:rsidRDefault="00B9311E" w:rsidP="00B9311E">
            <w:pPr>
              <w:spacing w:after="0" w:line="240" w:lineRule="auto"/>
              <w:jc w:val="right"/>
              <w:rPr>
                <w:sz w:val="17"/>
                <w:szCs w:val="17"/>
              </w:rPr>
            </w:pPr>
            <w:r w:rsidRPr="00BD77D8">
              <w:rPr>
                <w:sz w:val="17"/>
                <w:szCs w:val="17"/>
              </w:rPr>
              <w:t xml:space="preserve">         2,344 </w:t>
            </w:r>
          </w:p>
        </w:tc>
        <w:tc>
          <w:tcPr>
            <w:tcW w:w="1134" w:type="dxa"/>
            <w:tcBorders>
              <w:top w:val="nil"/>
              <w:left w:val="nil"/>
              <w:bottom w:val="nil"/>
              <w:right w:val="nil"/>
            </w:tcBorders>
            <w:shd w:val="clear" w:color="auto" w:fill="auto"/>
            <w:vAlign w:val="center"/>
            <w:hideMark/>
          </w:tcPr>
          <w:p w14:paraId="4C86A3D2"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13" w:type="dxa"/>
            <w:tcBorders>
              <w:top w:val="nil"/>
              <w:left w:val="nil"/>
              <w:bottom w:val="nil"/>
              <w:right w:val="nil"/>
            </w:tcBorders>
            <w:shd w:val="clear" w:color="auto" w:fill="auto"/>
            <w:vAlign w:val="center"/>
            <w:hideMark/>
          </w:tcPr>
          <w:p w14:paraId="6447800F" w14:textId="77777777" w:rsidR="00B9311E" w:rsidRPr="00BD77D8" w:rsidRDefault="00B9311E" w:rsidP="00B9311E">
            <w:pPr>
              <w:spacing w:after="0" w:line="240" w:lineRule="auto"/>
              <w:jc w:val="right"/>
              <w:rPr>
                <w:b/>
                <w:bCs/>
                <w:sz w:val="17"/>
                <w:szCs w:val="17"/>
              </w:rPr>
            </w:pPr>
            <w:r w:rsidRPr="00BD77D8">
              <w:rPr>
                <w:b/>
                <w:bCs/>
                <w:sz w:val="17"/>
                <w:szCs w:val="17"/>
              </w:rPr>
              <w:t xml:space="preserve">             4,688 </w:t>
            </w:r>
          </w:p>
        </w:tc>
        <w:tc>
          <w:tcPr>
            <w:tcW w:w="1156" w:type="dxa"/>
            <w:tcBorders>
              <w:top w:val="nil"/>
              <w:left w:val="nil"/>
              <w:bottom w:val="nil"/>
              <w:right w:val="nil"/>
            </w:tcBorders>
            <w:shd w:val="clear" w:color="auto" w:fill="auto"/>
            <w:vAlign w:val="center"/>
            <w:hideMark/>
          </w:tcPr>
          <w:p w14:paraId="2608B84F" w14:textId="77777777" w:rsidR="00B9311E" w:rsidRPr="00BD77D8" w:rsidRDefault="00B9311E" w:rsidP="00B9311E">
            <w:pPr>
              <w:spacing w:after="0" w:line="240" w:lineRule="auto"/>
              <w:jc w:val="right"/>
              <w:rPr>
                <w:sz w:val="17"/>
                <w:szCs w:val="17"/>
              </w:rPr>
            </w:pPr>
            <w:r w:rsidRPr="00BD77D8">
              <w:rPr>
                <w:sz w:val="17"/>
                <w:szCs w:val="17"/>
              </w:rPr>
              <w:t xml:space="preserve">             5,226 </w:t>
            </w:r>
          </w:p>
        </w:tc>
        <w:tc>
          <w:tcPr>
            <w:tcW w:w="1156" w:type="dxa"/>
            <w:tcBorders>
              <w:top w:val="nil"/>
              <w:left w:val="nil"/>
              <w:bottom w:val="nil"/>
              <w:right w:val="nil"/>
            </w:tcBorders>
            <w:shd w:val="clear" w:color="auto" w:fill="auto"/>
            <w:vAlign w:val="center"/>
            <w:hideMark/>
          </w:tcPr>
          <w:p w14:paraId="37938804" w14:textId="77777777" w:rsidR="00B9311E" w:rsidRPr="00BD77D8" w:rsidRDefault="00B9311E" w:rsidP="00B9311E">
            <w:pPr>
              <w:spacing w:after="0" w:line="240" w:lineRule="auto"/>
              <w:jc w:val="right"/>
              <w:rPr>
                <w:b/>
                <w:bCs/>
                <w:sz w:val="17"/>
                <w:szCs w:val="17"/>
              </w:rPr>
            </w:pPr>
            <w:r w:rsidRPr="00BD77D8">
              <w:rPr>
                <w:b/>
                <w:bCs/>
                <w:sz w:val="17"/>
                <w:szCs w:val="17"/>
              </w:rPr>
              <w:t xml:space="preserve">             7,467 </w:t>
            </w:r>
          </w:p>
        </w:tc>
        <w:tc>
          <w:tcPr>
            <w:tcW w:w="1285" w:type="dxa"/>
            <w:tcBorders>
              <w:top w:val="nil"/>
              <w:left w:val="nil"/>
              <w:bottom w:val="nil"/>
              <w:right w:val="nil"/>
            </w:tcBorders>
            <w:shd w:val="clear" w:color="auto" w:fill="auto"/>
            <w:vAlign w:val="center"/>
            <w:hideMark/>
          </w:tcPr>
          <w:p w14:paraId="31D5C8B6" w14:textId="77777777" w:rsidR="00B9311E" w:rsidRPr="00BD77D8" w:rsidRDefault="00B9311E" w:rsidP="00B9311E">
            <w:pPr>
              <w:spacing w:after="0" w:line="240" w:lineRule="auto"/>
              <w:jc w:val="right"/>
              <w:rPr>
                <w:sz w:val="17"/>
                <w:szCs w:val="17"/>
              </w:rPr>
            </w:pPr>
            <w:r w:rsidRPr="00BD77D8">
              <w:rPr>
                <w:sz w:val="17"/>
                <w:szCs w:val="17"/>
              </w:rPr>
              <w:t xml:space="preserve">             8,729 </w:t>
            </w:r>
          </w:p>
        </w:tc>
        <w:tc>
          <w:tcPr>
            <w:tcW w:w="1062" w:type="dxa"/>
            <w:tcBorders>
              <w:top w:val="nil"/>
              <w:left w:val="nil"/>
              <w:bottom w:val="nil"/>
              <w:right w:val="nil"/>
            </w:tcBorders>
            <w:shd w:val="clear" w:color="auto" w:fill="auto"/>
            <w:vAlign w:val="center"/>
            <w:hideMark/>
          </w:tcPr>
          <w:p w14:paraId="7181BDFD" w14:textId="77777777" w:rsidR="00B9311E" w:rsidRPr="00BD77D8" w:rsidRDefault="00B9311E" w:rsidP="00B9311E">
            <w:pPr>
              <w:spacing w:after="0" w:line="240" w:lineRule="auto"/>
              <w:jc w:val="right"/>
              <w:rPr>
                <w:b/>
                <w:bCs/>
                <w:sz w:val="17"/>
                <w:szCs w:val="17"/>
              </w:rPr>
            </w:pPr>
            <w:r w:rsidRPr="00BD77D8">
              <w:rPr>
                <w:b/>
                <w:bCs/>
                <w:sz w:val="17"/>
                <w:szCs w:val="17"/>
              </w:rPr>
              <w:t xml:space="preserve">    26,482 </w:t>
            </w:r>
          </w:p>
        </w:tc>
        <w:tc>
          <w:tcPr>
            <w:tcW w:w="915" w:type="dxa"/>
            <w:tcBorders>
              <w:top w:val="nil"/>
              <w:left w:val="nil"/>
              <w:bottom w:val="nil"/>
              <w:right w:val="nil"/>
            </w:tcBorders>
            <w:shd w:val="clear" w:color="auto" w:fill="auto"/>
            <w:vAlign w:val="center"/>
            <w:hideMark/>
          </w:tcPr>
          <w:p w14:paraId="196284E1" w14:textId="77777777" w:rsidR="00B9311E" w:rsidRPr="00BD77D8" w:rsidRDefault="00B9311E" w:rsidP="00B9311E">
            <w:pPr>
              <w:spacing w:after="0" w:line="240" w:lineRule="auto"/>
              <w:jc w:val="right"/>
              <w:rPr>
                <w:sz w:val="17"/>
                <w:szCs w:val="17"/>
              </w:rPr>
            </w:pPr>
            <w:r w:rsidRPr="00BD77D8">
              <w:rPr>
                <w:sz w:val="17"/>
                <w:szCs w:val="17"/>
              </w:rPr>
              <w:t xml:space="preserve">    37,926 </w:t>
            </w:r>
          </w:p>
        </w:tc>
      </w:tr>
      <w:tr w:rsidR="00BD77D8" w:rsidRPr="00BD77D8" w14:paraId="0C05C644" w14:textId="77777777" w:rsidTr="003057FB">
        <w:trPr>
          <w:trHeight w:val="240"/>
        </w:trPr>
        <w:tc>
          <w:tcPr>
            <w:tcW w:w="3655" w:type="dxa"/>
            <w:tcBorders>
              <w:top w:val="nil"/>
              <w:left w:val="nil"/>
              <w:bottom w:val="nil"/>
              <w:right w:val="nil"/>
            </w:tcBorders>
            <w:shd w:val="clear" w:color="000000" w:fill="FFFFFF"/>
            <w:noWrap/>
            <w:vAlign w:val="bottom"/>
            <w:hideMark/>
          </w:tcPr>
          <w:p w14:paraId="0639C04B" w14:textId="77777777" w:rsidR="00B9311E" w:rsidRPr="00BD77D8" w:rsidRDefault="00B9311E" w:rsidP="00B9311E">
            <w:pPr>
              <w:spacing w:after="0" w:line="240" w:lineRule="auto"/>
              <w:ind w:firstLineChars="100" w:firstLine="170"/>
              <w:rPr>
                <w:sz w:val="17"/>
                <w:szCs w:val="17"/>
              </w:rPr>
            </w:pPr>
            <w:r w:rsidRPr="00BD77D8">
              <w:rPr>
                <w:sz w:val="17"/>
                <w:szCs w:val="17"/>
              </w:rPr>
              <w:t xml:space="preserve"> Accrued employee benefits </w:t>
            </w:r>
          </w:p>
        </w:tc>
        <w:tc>
          <w:tcPr>
            <w:tcW w:w="913" w:type="dxa"/>
            <w:tcBorders>
              <w:top w:val="nil"/>
              <w:left w:val="nil"/>
              <w:bottom w:val="nil"/>
              <w:right w:val="nil"/>
            </w:tcBorders>
            <w:shd w:val="clear" w:color="auto" w:fill="auto"/>
            <w:vAlign w:val="center"/>
            <w:hideMark/>
          </w:tcPr>
          <w:p w14:paraId="7092A687" w14:textId="77777777" w:rsidR="00B9311E" w:rsidRPr="00BD77D8" w:rsidRDefault="00B9311E" w:rsidP="00B9311E">
            <w:pPr>
              <w:spacing w:after="0" w:line="240" w:lineRule="auto"/>
              <w:jc w:val="right"/>
              <w:rPr>
                <w:b/>
                <w:bCs/>
                <w:sz w:val="17"/>
                <w:szCs w:val="17"/>
              </w:rPr>
            </w:pPr>
            <w:r w:rsidRPr="00BD77D8">
              <w:rPr>
                <w:b/>
                <w:bCs/>
                <w:sz w:val="17"/>
                <w:szCs w:val="17"/>
              </w:rPr>
              <w:t xml:space="preserve">         7,867 </w:t>
            </w:r>
          </w:p>
        </w:tc>
        <w:tc>
          <w:tcPr>
            <w:tcW w:w="982" w:type="dxa"/>
            <w:tcBorders>
              <w:top w:val="nil"/>
              <w:left w:val="nil"/>
              <w:bottom w:val="nil"/>
              <w:right w:val="nil"/>
            </w:tcBorders>
            <w:shd w:val="clear" w:color="auto" w:fill="auto"/>
            <w:vAlign w:val="center"/>
            <w:hideMark/>
          </w:tcPr>
          <w:p w14:paraId="450B8C78" w14:textId="77777777" w:rsidR="00B9311E" w:rsidRPr="00BD77D8" w:rsidRDefault="00B9311E" w:rsidP="00B9311E">
            <w:pPr>
              <w:spacing w:after="0" w:line="240" w:lineRule="auto"/>
              <w:jc w:val="right"/>
              <w:rPr>
                <w:sz w:val="17"/>
                <w:szCs w:val="17"/>
              </w:rPr>
            </w:pPr>
            <w:r w:rsidRPr="00BD77D8">
              <w:rPr>
                <w:sz w:val="17"/>
                <w:szCs w:val="17"/>
              </w:rPr>
              <w:t xml:space="preserve">         7,511 </w:t>
            </w:r>
          </w:p>
        </w:tc>
        <w:tc>
          <w:tcPr>
            <w:tcW w:w="993" w:type="dxa"/>
            <w:tcBorders>
              <w:top w:val="nil"/>
              <w:left w:val="nil"/>
              <w:bottom w:val="nil"/>
              <w:right w:val="nil"/>
            </w:tcBorders>
            <w:shd w:val="clear" w:color="auto" w:fill="auto"/>
            <w:vAlign w:val="center"/>
            <w:hideMark/>
          </w:tcPr>
          <w:p w14:paraId="6718A225" w14:textId="77777777" w:rsidR="00B9311E" w:rsidRPr="00BD77D8" w:rsidRDefault="00B9311E" w:rsidP="00B9311E">
            <w:pPr>
              <w:spacing w:after="0" w:line="240" w:lineRule="auto"/>
              <w:jc w:val="right"/>
              <w:rPr>
                <w:b/>
                <w:bCs/>
                <w:sz w:val="17"/>
                <w:szCs w:val="17"/>
              </w:rPr>
            </w:pPr>
            <w:r w:rsidRPr="00BD77D8">
              <w:rPr>
                <w:b/>
                <w:bCs/>
                <w:sz w:val="17"/>
                <w:szCs w:val="17"/>
              </w:rPr>
              <w:t xml:space="preserve">              28 </w:t>
            </w:r>
          </w:p>
        </w:tc>
        <w:tc>
          <w:tcPr>
            <w:tcW w:w="1000" w:type="dxa"/>
            <w:tcBorders>
              <w:top w:val="nil"/>
              <w:left w:val="nil"/>
              <w:bottom w:val="nil"/>
              <w:right w:val="nil"/>
            </w:tcBorders>
            <w:shd w:val="clear" w:color="auto" w:fill="auto"/>
            <w:vAlign w:val="center"/>
            <w:hideMark/>
          </w:tcPr>
          <w:p w14:paraId="37115B61" w14:textId="77777777" w:rsidR="00B9311E" w:rsidRPr="00BD77D8" w:rsidRDefault="00B9311E" w:rsidP="00B9311E">
            <w:pPr>
              <w:spacing w:after="0" w:line="240" w:lineRule="auto"/>
              <w:jc w:val="right"/>
              <w:rPr>
                <w:sz w:val="17"/>
                <w:szCs w:val="17"/>
              </w:rPr>
            </w:pPr>
            <w:r w:rsidRPr="00BD77D8">
              <w:rPr>
                <w:sz w:val="17"/>
                <w:szCs w:val="17"/>
              </w:rPr>
              <w:t xml:space="preserve">              59 </w:t>
            </w:r>
          </w:p>
        </w:tc>
        <w:tc>
          <w:tcPr>
            <w:tcW w:w="1134" w:type="dxa"/>
            <w:tcBorders>
              <w:top w:val="nil"/>
              <w:left w:val="nil"/>
              <w:bottom w:val="nil"/>
              <w:right w:val="nil"/>
            </w:tcBorders>
            <w:shd w:val="clear" w:color="auto" w:fill="auto"/>
            <w:vAlign w:val="center"/>
            <w:hideMark/>
          </w:tcPr>
          <w:p w14:paraId="2FEB6E55"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13" w:type="dxa"/>
            <w:tcBorders>
              <w:top w:val="nil"/>
              <w:left w:val="nil"/>
              <w:bottom w:val="nil"/>
              <w:right w:val="nil"/>
            </w:tcBorders>
            <w:shd w:val="clear" w:color="auto" w:fill="auto"/>
            <w:vAlign w:val="center"/>
            <w:hideMark/>
          </w:tcPr>
          <w:p w14:paraId="75F48167" w14:textId="77777777" w:rsidR="00B9311E" w:rsidRPr="00BD77D8" w:rsidRDefault="00B9311E" w:rsidP="00B9311E">
            <w:pPr>
              <w:spacing w:after="0" w:line="240" w:lineRule="auto"/>
              <w:jc w:val="right"/>
              <w:rPr>
                <w:b/>
                <w:bCs/>
                <w:sz w:val="17"/>
                <w:szCs w:val="17"/>
              </w:rPr>
            </w:pPr>
            <w:r w:rsidRPr="00BD77D8">
              <w:rPr>
                <w:b/>
                <w:bCs/>
                <w:sz w:val="17"/>
                <w:szCs w:val="17"/>
              </w:rPr>
              <w:t xml:space="preserve">                550 </w:t>
            </w:r>
          </w:p>
        </w:tc>
        <w:tc>
          <w:tcPr>
            <w:tcW w:w="1156" w:type="dxa"/>
            <w:tcBorders>
              <w:top w:val="nil"/>
              <w:left w:val="nil"/>
              <w:bottom w:val="nil"/>
              <w:right w:val="nil"/>
            </w:tcBorders>
            <w:shd w:val="clear" w:color="auto" w:fill="auto"/>
            <w:vAlign w:val="center"/>
            <w:hideMark/>
          </w:tcPr>
          <w:p w14:paraId="4015340B" w14:textId="77777777" w:rsidR="00B9311E" w:rsidRPr="00BD77D8" w:rsidRDefault="00B9311E" w:rsidP="00B9311E">
            <w:pPr>
              <w:spacing w:after="0" w:line="240" w:lineRule="auto"/>
              <w:jc w:val="right"/>
              <w:rPr>
                <w:sz w:val="17"/>
                <w:szCs w:val="17"/>
              </w:rPr>
            </w:pPr>
            <w:r w:rsidRPr="00BD77D8">
              <w:rPr>
                <w:sz w:val="17"/>
                <w:szCs w:val="17"/>
              </w:rPr>
              <w:t xml:space="preserve">                596 </w:t>
            </w:r>
          </w:p>
        </w:tc>
        <w:tc>
          <w:tcPr>
            <w:tcW w:w="1156" w:type="dxa"/>
            <w:tcBorders>
              <w:top w:val="nil"/>
              <w:left w:val="nil"/>
              <w:bottom w:val="nil"/>
              <w:right w:val="nil"/>
            </w:tcBorders>
            <w:shd w:val="clear" w:color="auto" w:fill="auto"/>
            <w:vAlign w:val="center"/>
            <w:hideMark/>
          </w:tcPr>
          <w:p w14:paraId="087A6BEE" w14:textId="77777777" w:rsidR="00B9311E" w:rsidRPr="00BD77D8" w:rsidRDefault="00B9311E" w:rsidP="00B9311E">
            <w:pPr>
              <w:spacing w:after="0" w:line="240" w:lineRule="auto"/>
              <w:jc w:val="right"/>
              <w:rPr>
                <w:b/>
                <w:bCs/>
                <w:sz w:val="17"/>
                <w:szCs w:val="17"/>
              </w:rPr>
            </w:pPr>
            <w:r w:rsidRPr="00BD77D8">
              <w:rPr>
                <w:b/>
                <w:bCs/>
                <w:sz w:val="17"/>
                <w:szCs w:val="17"/>
              </w:rPr>
              <w:t xml:space="preserve">                816 </w:t>
            </w:r>
          </w:p>
        </w:tc>
        <w:tc>
          <w:tcPr>
            <w:tcW w:w="1285" w:type="dxa"/>
            <w:tcBorders>
              <w:top w:val="nil"/>
              <w:left w:val="nil"/>
              <w:bottom w:val="nil"/>
              <w:right w:val="nil"/>
            </w:tcBorders>
            <w:shd w:val="clear" w:color="auto" w:fill="auto"/>
            <w:vAlign w:val="center"/>
            <w:hideMark/>
          </w:tcPr>
          <w:p w14:paraId="5B8B4C72" w14:textId="77777777" w:rsidR="00B9311E" w:rsidRPr="00BD77D8" w:rsidRDefault="00B9311E" w:rsidP="00B9311E">
            <w:pPr>
              <w:spacing w:after="0" w:line="240" w:lineRule="auto"/>
              <w:jc w:val="right"/>
              <w:rPr>
                <w:sz w:val="17"/>
                <w:szCs w:val="17"/>
              </w:rPr>
            </w:pPr>
            <w:r w:rsidRPr="00BD77D8">
              <w:rPr>
                <w:sz w:val="17"/>
                <w:szCs w:val="17"/>
              </w:rPr>
              <w:t xml:space="preserve">                645 </w:t>
            </w:r>
          </w:p>
        </w:tc>
        <w:tc>
          <w:tcPr>
            <w:tcW w:w="1062" w:type="dxa"/>
            <w:tcBorders>
              <w:top w:val="nil"/>
              <w:left w:val="nil"/>
              <w:bottom w:val="nil"/>
              <w:right w:val="nil"/>
            </w:tcBorders>
            <w:shd w:val="clear" w:color="auto" w:fill="auto"/>
            <w:vAlign w:val="center"/>
            <w:hideMark/>
          </w:tcPr>
          <w:p w14:paraId="0A009A18" w14:textId="77777777" w:rsidR="00B9311E" w:rsidRPr="00BD77D8" w:rsidRDefault="00B9311E" w:rsidP="00B9311E">
            <w:pPr>
              <w:spacing w:after="0" w:line="240" w:lineRule="auto"/>
              <w:jc w:val="right"/>
              <w:rPr>
                <w:b/>
                <w:bCs/>
                <w:sz w:val="17"/>
                <w:szCs w:val="17"/>
              </w:rPr>
            </w:pPr>
            <w:r w:rsidRPr="00BD77D8">
              <w:rPr>
                <w:b/>
                <w:bCs/>
                <w:sz w:val="17"/>
                <w:szCs w:val="17"/>
              </w:rPr>
              <w:t xml:space="preserve">       9,261 </w:t>
            </w:r>
          </w:p>
        </w:tc>
        <w:tc>
          <w:tcPr>
            <w:tcW w:w="915" w:type="dxa"/>
            <w:tcBorders>
              <w:top w:val="nil"/>
              <w:left w:val="nil"/>
              <w:bottom w:val="nil"/>
              <w:right w:val="nil"/>
            </w:tcBorders>
            <w:shd w:val="clear" w:color="auto" w:fill="auto"/>
            <w:vAlign w:val="center"/>
            <w:hideMark/>
          </w:tcPr>
          <w:p w14:paraId="542434AD" w14:textId="77777777" w:rsidR="00B9311E" w:rsidRPr="00BD77D8" w:rsidRDefault="00B9311E" w:rsidP="00B9311E">
            <w:pPr>
              <w:spacing w:after="0" w:line="240" w:lineRule="auto"/>
              <w:jc w:val="right"/>
              <w:rPr>
                <w:sz w:val="17"/>
                <w:szCs w:val="17"/>
              </w:rPr>
            </w:pPr>
            <w:r w:rsidRPr="00BD77D8">
              <w:rPr>
                <w:sz w:val="17"/>
                <w:szCs w:val="17"/>
              </w:rPr>
              <w:t xml:space="preserve">       8,811 </w:t>
            </w:r>
          </w:p>
        </w:tc>
      </w:tr>
      <w:tr w:rsidR="00BD77D8" w:rsidRPr="00BD77D8" w14:paraId="6FE8D06E" w14:textId="77777777" w:rsidTr="003057FB">
        <w:trPr>
          <w:trHeight w:val="240"/>
        </w:trPr>
        <w:tc>
          <w:tcPr>
            <w:tcW w:w="3655" w:type="dxa"/>
            <w:tcBorders>
              <w:top w:val="nil"/>
              <w:left w:val="nil"/>
              <w:bottom w:val="nil"/>
              <w:right w:val="nil"/>
            </w:tcBorders>
            <w:shd w:val="clear" w:color="000000" w:fill="FFFFFF"/>
            <w:noWrap/>
            <w:vAlign w:val="bottom"/>
            <w:hideMark/>
          </w:tcPr>
          <w:p w14:paraId="5493C404" w14:textId="77777777" w:rsidR="00B9311E" w:rsidRPr="00BD77D8" w:rsidRDefault="00B9311E" w:rsidP="00B9311E">
            <w:pPr>
              <w:spacing w:after="0" w:line="240" w:lineRule="auto"/>
              <w:ind w:firstLineChars="100" w:firstLine="170"/>
              <w:rPr>
                <w:sz w:val="17"/>
                <w:szCs w:val="17"/>
              </w:rPr>
            </w:pPr>
            <w:r w:rsidRPr="00BD77D8">
              <w:rPr>
                <w:sz w:val="17"/>
                <w:szCs w:val="17"/>
              </w:rPr>
              <w:t xml:space="preserve"> Provisions </w:t>
            </w:r>
          </w:p>
        </w:tc>
        <w:tc>
          <w:tcPr>
            <w:tcW w:w="913" w:type="dxa"/>
            <w:tcBorders>
              <w:top w:val="nil"/>
              <w:left w:val="nil"/>
              <w:bottom w:val="nil"/>
              <w:right w:val="nil"/>
            </w:tcBorders>
            <w:shd w:val="clear" w:color="auto" w:fill="auto"/>
            <w:vAlign w:val="center"/>
            <w:hideMark/>
          </w:tcPr>
          <w:p w14:paraId="43D3B8D3"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982" w:type="dxa"/>
            <w:tcBorders>
              <w:top w:val="nil"/>
              <w:left w:val="nil"/>
              <w:bottom w:val="nil"/>
              <w:right w:val="nil"/>
            </w:tcBorders>
            <w:shd w:val="clear" w:color="auto" w:fill="auto"/>
            <w:vAlign w:val="center"/>
            <w:hideMark/>
          </w:tcPr>
          <w:p w14:paraId="2C665BA8" w14:textId="77777777" w:rsidR="00B9311E" w:rsidRPr="00BD77D8" w:rsidRDefault="00B9311E" w:rsidP="00B9311E">
            <w:pPr>
              <w:spacing w:after="0" w:line="240" w:lineRule="auto"/>
              <w:jc w:val="right"/>
              <w:rPr>
                <w:sz w:val="17"/>
                <w:szCs w:val="17"/>
              </w:rPr>
            </w:pPr>
            <w:r w:rsidRPr="00BD77D8">
              <w:rPr>
                <w:sz w:val="17"/>
                <w:szCs w:val="17"/>
              </w:rPr>
              <w:t xml:space="preserve">            104 </w:t>
            </w:r>
          </w:p>
        </w:tc>
        <w:tc>
          <w:tcPr>
            <w:tcW w:w="993" w:type="dxa"/>
            <w:tcBorders>
              <w:top w:val="nil"/>
              <w:left w:val="nil"/>
              <w:bottom w:val="nil"/>
              <w:right w:val="nil"/>
            </w:tcBorders>
            <w:shd w:val="clear" w:color="auto" w:fill="auto"/>
            <w:vAlign w:val="center"/>
            <w:hideMark/>
          </w:tcPr>
          <w:p w14:paraId="6DD7102C"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000" w:type="dxa"/>
            <w:tcBorders>
              <w:top w:val="nil"/>
              <w:left w:val="nil"/>
              <w:bottom w:val="nil"/>
              <w:right w:val="nil"/>
            </w:tcBorders>
            <w:shd w:val="clear" w:color="auto" w:fill="auto"/>
            <w:vAlign w:val="center"/>
            <w:hideMark/>
          </w:tcPr>
          <w:p w14:paraId="6E946783"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34" w:type="dxa"/>
            <w:tcBorders>
              <w:top w:val="nil"/>
              <w:left w:val="nil"/>
              <w:bottom w:val="nil"/>
              <w:right w:val="nil"/>
            </w:tcBorders>
            <w:shd w:val="clear" w:color="auto" w:fill="auto"/>
            <w:vAlign w:val="center"/>
            <w:hideMark/>
          </w:tcPr>
          <w:p w14:paraId="4E53EC6C"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13" w:type="dxa"/>
            <w:tcBorders>
              <w:top w:val="nil"/>
              <w:left w:val="nil"/>
              <w:bottom w:val="nil"/>
              <w:right w:val="nil"/>
            </w:tcBorders>
            <w:shd w:val="clear" w:color="auto" w:fill="auto"/>
            <w:vAlign w:val="center"/>
            <w:hideMark/>
          </w:tcPr>
          <w:p w14:paraId="04A1D15E"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156" w:type="dxa"/>
            <w:tcBorders>
              <w:top w:val="nil"/>
              <w:left w:val="nil"/>
              <w:bottom w:val="nil"/>
              <w:right w:val="nil"/>
            </w:tcBorders>
            <w:shd w:val="clear" w:color="auto" w:fill="auto"/>
            <w:vAlign w:val="center"/>
            <w:hideMark/>
          </w:tcPr>
          <w:p w14:paraId="4EE9A65D" w14:textId="77777777" w:rsidR="00B9311E" w:rsidRPr="00BD77D8" w:rsidRDefault="00B9311E" w:rsidP="00B9311E">
            <w:pPr>
              <w:spacing w:after="0" w:line="240" w:lineRule="auto"/>
              <w:jc w:val="right"/>
              <w:rPr>
                <w:sz w:val="17"/>
                <w:szCs w:val="17"/>
              </w:rPr>
            </w:pPr>
            <w:r w:rsidRPr="00BD77D8">
              <w:rPr>
                <w:sz w:val="17"/>
                <w:szCs w:val="17"/>
              </w:rPr>
              <w:t xml:space="preserve">                     7 </w:t>
            </w:r>
          </w:p>
        </w:tc>
        <w:tc>
          <w:tcPr>
            <w:tcW w:w="1156" w:type="dxa"/>
            <w:tcBorders>
              <w:top w:val="nil"/>
              <w:left w:val="nil"/>
              <w:bottom w:val="nil"/>
              <w:right w:val="nil"/>
            </w:tcBorders>
            <w:shd w:val="clear" w:color="auto" w:fill="auto"/>
            <w:vAlign w:val="center"/>
            <w:hideMark/>
          </w:tcPr>
          <w:p w14:paraId="74A025DC"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285" w:type="dxa"/>
            <w:tcBorders>
              <w:top w:val="nil"/>
              <w:left w:val="nil"/>
              <w:bottom w:val="nil"/>
              <w:right w:val="nil"/>
            </w:tcBorders>
            <w:shd w:val="clear" w:color="auto" w:fill="auto"/>
            <w:vAlign w:val="center"/>
            <w:hideMark/>
          </w:tcPr>
          <w:p w14:paraId="3ED94E3A" w14:textId="77777777" w:rsidR="00B9311E" w:rsidRPr="00BD77D8" w:rsidRDefault="00B9311E" w:rsidP="00B9311E">
            <w:pPr>
              <w:spacing w:after="0" w:line="240" w:lineRule="auto"/>
              <w:jc w:val="right"/>
              <w:rPr>
                <w:sz w:val="17"/>
                <w:szCs w:val="17"/>
              </w:rPr>
            </w:pPr>
            <w:r w:rsidRPr="00BD77D8">
              <w:rPr>
                <w:sz w:val="17"/>
                <w:szCs w:val="17"/>
              </w:rPr>
              <w:t xml:space="preserve">                     7 </w:t>
            </w:r>
          </w:p>
        </w:tc>
        <w:tc>
          <w:tcPr>
            <w:tcW w:w="1062" w:type="dxa"/>
            <w:tcBorders>
              <w:top w:val="nil"/>
              <w:left w:val="nil"/>
              <w:bottom w:val="nil"/>
              <w:right w:val="nil"/>
            </w:tcBorders>
            <w:shd w:val="clear" w:color="auto" w:fill="auto"/>
            <w:vAlign w:val="center"/>
            <w:hideMark/>
          </w:tcPr>
          <w:p w14:paraId="319AD0BA"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915" w:type="dxa"/>
            <w:tcBorders>
              <w:top w:val="nil"/>
              <w:left w:val="nil"/>
              <w:bottom w:val="nil"/>
              <w:right w:val="nil"/>
            </w:tcBorders>
            <w:shd w:val="clear" w:color="auto" w:fill="auto"/>
            <w:vAlign w:val="center"/>
            <w:hideMark/>
          </w:tcPr>
          <w:p w14:paraId="1B463841" w14:textId="77777777" w:rsidR="00B9311E" w:rsidRPr="00BD77D8" w:rsidRDefault="00B9311E" w:rsidP="00B9311E">
            <w:pPr>
              <w:spacing w:after="0" w:line="240" w:lineRule="auto"/>
              <w:jc w:val="right"/>
              <w:rPr>
                <w:sz w:val="17"/>
                <w:szCs w:val="17"/>
              </w:rPr>
            </w:pPr>
            <w:r w:rsidRPr="00BD77D8">
              <w:rPr>
                <w:sz w:val="17"/>
                <w:szCs w:val="17"/>
              </w:rPr>
              <w:t xml:space="preserve">          119 </w:t>
            </w:r>
          </w:p>
        </w:tc>
      </w:tr>
      <w:tr w:rsidR="00BD77D8" w:rsidRPr="00BD77D8" w14:paraId="67A508D3" w14:textId="77777777" w:rsidTr="003057FB">
        <w:trPr>
          <w:trHeight w:val="240"/>
        </w:trPr>
        <w:tc>
          <w:tcPr>
            <w:tcW w:w="3655" w:type="dxa"/>
            <w:tcBorders>
              <w:top w:val="nil"/>
              <w:left w:val="nil"/>
              <w:bottom w:val="nil"/>
              <w:right w:val="nil"/>
            </w:tcBorders>
            <w:shd w:val="clear" w:color="000000" w:fill="FFFFFF"/>
            <w:noWrap/>
            <w:vAlign w:val="bottom"/>
            <w:hideMark/>
          </w:tcPr>
          <w:p w14:paraId="5190FC5A" w14:textId="77777777" w:rsidR="00B9311E" w:rsidRPr="00BD77D8" w:rsidRDefault="00B9311E" w:rsidP="00B9311E">
            <w:pPr>
              <w:spacing w:after="0" w:line="240" w:lineRule="auto"/>
              <w:ind w:firstLineChars="100" w:firstLine="170"/>
              <w:rPr>
                <w:sz w:val="17"/>
                <w:szCs w:val="17"/>
              </w:rPr>
            </w:pPr>
            <w:r w:rsidRPr="00BD77D8">
              <w:rPr>
                <w:sz w:val="17"/>
                <w:szCs w:val="17"/>
              </w:rPr>
              <w:t xml:space="preserve"> Other current liabilities </w:t>
            </w:r>
          </w:p>
        </w:tc>
        <w:tc>
          <w:tcPr>
            <w:tcW w:w="913" w:type="dxa"/>
            <w:tcBorders>
              <w:top w:val="nil"/>
              <w:left w:val="nil"/>
              <w:bottom w:val="nil"/>
              <w:right w:val="nil"/>
            </w:tcBorders>
            <w:shd w:val="clear" w:color="auto" w:fill="auto"/>
            <w:vAlign w:val="center"/>
            <w:hideMark/>
          </w:tcPr>
          <w:p w14:paraId="422DF438" w14:textId="77777777" w:rsidR="00B9311E" w:rsidRPr="00BD77D8" w:rsidRDefault="00B9311E" w:rsidP="00B9311E">
            <w:pPr>
              <w:spacing w:after="0" w:line="240" w:lineRule="auto"/>
              <w:jc w:val="right"/>
              <w:rPr>
                <w:b/>
                <w:bCs/>
                <w:sz w:val="17"/>
                <w:szCs w:val="17"/>
              </w:rPr>
            </w:pPr>
            <w:r w:rsidRPr="00BD77D8">
              <w:rPr>
                <w:b/>
                <w:bCs/>
                <w:sz w:val="17"/>
                <w:szCs w:val="17"/>
              </w:rPr>
              <w:t xml:space="preserve">         1,062 </w:t>
            </w:r>
          </w:p>
        </w:tc>
        <w:tc>
          <w:tcPr>
            <w:tcW w:w="982" w:type="dxa"/>
            <w:tcBorders>
              <w:top w:val="nil"/>
              <w:left w:val="nil"/>
              <w:bottom w:val="nil"/>
              <w:right w:val="nil"/>
            </w:tcBorders>
            <w:shd w:val="clear" w:color="auto" w:fill="auto"/>
            <w:vAlign w:val="center"/>
            <w:hideMark/>
          </w:tcPr>
          <w:p w14:paraId="77FED4EB" w14:textId="77777777" w:rsidR="00B9311E" w:rsidRPr="00BD77D8" w:rsidRDefault="00B9311E" w:rsidP="00B9311E">
            <w:pPr>
              <w:spacing w:after="0" w:line="240" w:lineRule="auto"/>
              <w:jc w:val="right"/>
              <w:rPr>
                <w:sz w:val="17"/>
                <w:szCs w:val="17"/>
              </w:rPr>
            </w:pPr>
            <w:r w:rsidRPr="00BD77D8">
              <w:rPr>
                <w:sz w:val="17"/>
                <w:szCs w:val="17"/>
              </w:rPr>
              <w:t xml:space="preserve">            571 </w:t>
            </w:r>
          </w:p>
        </w:tc>
        <w:tc>
          <w:tcPr>
            <w:tcW w:w="993" w:type="dxa"/>
            <w:tcBorders>
              <w:top w:val="nil"/>
              <w:left w:val="nil"/>
              <w:bottom w:val="nil"/>
              <w:right w:val="nil"/>
            </w:tcBorders>
            <w:shd w:val="clear" w:color="auto" w:fill="auto"/>
            <w:vAlign w:val="center"/>
            <w:hideMark/>
          </w:tcPr>
          <w:p w14:paraId="063B2DA4"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000" w:type="dxa"/>
            <w:tcBorders>
              <w:top w:val="nil"/>
              <w:left w:val="nil"/>
              <w:bottom w:val="nil"/>
              <w:right w:val="nil"/>
            </w:tcBorders>
            <w:shd w:val="clear" w:color="auto" w:fill="auto"/>
            <w:vAlign w:val="center"/>
            <w:hideMark/>
          </w:tcPr>
          <w:p w14:paraId="2752A035"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34" w:type="dxa"/>
            <w:tcBorders>
              <w:top w:val="nil"/>
              <w:left w:val="nil"/>
              <w:bottom w:val="nil"/>
              <w:right w:val="nil"/>
            </w:tcBorders>
            <w:shd w:val="clear" w:color="auto" w:fill="auto"/>
            <w:vAlign w:val="center"/>
            <w:hideMark/>
          </w:tcPr>
          <w:p w14:paraId="27D8CA80"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13" w:type="dxa"/>
            <w:tcBorders>
              <w:top w:val="nil"/>
              <w:left w:val="nil"/>
              <w:bottom w:val="nil"/>
              <w:right w:val="nil"/>
            </w:tcBorders>
            <w:shd w:val="clear" w:color="auto" w:fill="auto"/>
            <w:vAlign w:val="center"/>
            <w:hideMark/>
          </w:tcPr>
          <w:p w14:paraId="42DD61A6"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156" w:type="dxa"/>
            <w:tcBorders>
              <w:top w:val="nil"/>
              <w:left w:val="nil"/>
              <w:bottom w:val="nil"/>
              <w:right w:val="nil"/>
            </w:tcBorders>
            <w:shd w:val="clear" w:color="auto" w:fill="auto"/>
            <w:vAlign w:val="center"/>
            <w:hideMark/>
          </w:tcPr>
          <w:p w14:paraId="41F7EC48"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156" w:type="dxa"/>
            <w:tcBorders>
              <w:top w:val="nil"/>
              <w:left w:val="nil"/>
              <w:bottom w:val="nil"/>
              <w:right w:val="nil"/>
            </w:tcBorders>
            <w:shd w:val="clear" w:color="auto" w:fill="auto"/>
            <w:vAlign w:val="center"/>
            <w:hideMark/>
          </w:tcPr>
          <w:p w14:paraId="5F304ADD"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285" w:type="dxa"/>
            <w:tcBorders>
              <w:top w:val="nil"/>
              <w:left w:val="nil"/>
              <w:bottom w:val="nil"/>
              <w:right w:val="nil"/>
            </w:tcBorders>
            <w:shd w:val="clear" w:color="auto" w:fill="auto"/>
            <w:vAlign w:val="center"/>
            <w:hideMark/>
          </w:tcPr>
          <w:p w14:paraId="5AB4EFC7" w14:textId="77777777" w:rsidR="00B9311E" w:rsidRPr="00BD77D8" w:rsidRDefault="00B9311E" w:rsidP="00B9311E">
            <w:pPr>
              <w:spacing w:after="0" w:line="240" w:lineRule="auto"/>
              <w:jc w:val="right"/>
              <w:rPr>
                <w:sz w:val="17"/>
                <w:szCs w:val="17"/>
              </w:rPr>
            </w:pPr>
            <w:r w:rsidRPr="00BD77D8">
              <w:rPr>
                <w:sz w:val="17"/>
                <w:szCs w:val="17"/>
              </w:rPr>
              <w:t xml:space="preserve">                      - </w:t>
            </w:r>
          </w:p>
        </w:tc>
        <w:tc>
          <w:tcPr>
            <w:tcW w:w="1062" w:type="dxa"/>
            <w:tcBorders>
              <w:top w:val="nil"/>
              <w:left w:val="nil"/>
              <w:bottom w:val="nil"/>
              <w:right w:val="nil"/>
            </w:tcBorders>
            <w:shd w:val="clear" w:color="auto" w:fill="auto"/>
            <w:vAlign w:val="center"/>
            <w:hideMark/>
          </w:tcPr>
          <w:p w14:paraId="6A5F89EB" w14:textId="77777777" w:rsidR="00B9311E" w:rsidRPr="00BD77D8" w:rsidRDefault="00B9311E" w:rsidP="00B9311E">
            <w:pPr>
              <w:spacing w:after="0" w:line="240" w:lineRule="auto"/>
              <w:jc w:val="right"/>
              <w:rPr>
                <w:b/>
                <w:bCs/>
                <w:sz w:val="17"/>
                <w:szCs w:val="17"/>
              </w:rPr>
            </w:pPr>
            <w:r w:rsidRPr="00BD77D8">
              <w:rPr>
                <w:b/>
                <w:bCs/>
                <w:sz w:val="17"/>
                <w:szCs w:val="17"/>
              </w:rPr>
              <w:t xml:space="preserve">       1,062 </w:t>
            </w:r>
          </w:p>
        </w:tc>
        <w:tc>
          <w:tcPr>
            <w:tcW w:w="915" w:type="dxa"/>
            <w:tcBorders>
              <w:top w:val="nil"/>
              <w:left w:val="nil"/>
              <w:bottom w:val="nil"/>
              <w:right w:val="nil"/>
            </w:tcBorders>
            <w:shd w:val="clear" w:color="auto" w:fill="auto"/>
            <w:vAlign w:val="center"/>
            <w:hideMark/>
          </w:tcPr>
          <w:p w14:paraId="6E3AFA66" w14:textId="77777777" w:rsidR="00B9311E" w:rsidRPr="00BD77D8" w:rsidRDefault="00B9311E" w:rsidP="00B9311E">
            <w:pPr>
              <w:spacing w:after="0" w:line="240" w:lineRule="auto"/>
              <w:jc w:val="right"/>
              <w:rPr>
                <w:sz w:val="17"/>
                <w:szCs w:val="17"/>
              </w:rPr>
            </w:pPr>
            <w:r w:rsidRPr="00BD77D8">
              <w:rPr>
                <w:sz w:val="17"/>
                <w:szCs w:val="17"/>
              </w:rPr>
              <w:t xml:space="preserve">          571 </w:t>
            </w:r>
          </w:p>
        </w:tc>
      </w:tr>
      <w:tr w:rsidR="00BD77D8" w:rsidRPr="00BD77D8" w14:paraId="75ABE888" w14:textId="77777777" w:rsidTr="003057FB">
        <w:trPr>
          <w:trHeight w:val="240"/>
        </w:trPr>
        <w:tc>
          <w:tcPr>
            <w:tcW w:w="3655" w:type="dxa"/>
            <w:tcBorders>
              <w:top w:val="nil"/>
              <w:left w:val="nil"/>
              <w:bottom w:val="nil"/>
              <w:right w:val="nil"/>
            </w:tcBorders>
            <w:shd w:val="clear" w:color="000000" w:fill="FFFFFF"/>
            <w:noWrap/>
            <w:vAlign w:val="bottom"/>
            <w:hideMark/>
          </w:tcPr>
          <w:p w14:paraId="4150648A" w14:textId="77777777" w:rsidR="00B9311E" w:rsidRPr="00BD77D8" w:rsidRDefault="00B9311E" w:rsidP="00B9311E">
            <w:pPr>
              <w:spacing w:after="0" w:line="240" w:lineRule="auto"/>
              <w:rPr>
                <w:b/>
                <w:bCs/>
                <w:sz w:val="17"/>
                <w:szCs w:val="17"/>
              </w:rPr>
            </w:pPr>
            <w:r w:rsidRPr="00BD77D8">
              <w:rPr>
                <w:b/>
                <w:bCs/>
                <w:sz w:val="17"/>
                <w:szCs w:val="17"/>
              </w:rPr>
              <w:t xml:space="preserve"> Total Current Liabilities </w:t>
            </w:r>
          </w:p>
        </w:tc>
        <w:tc>
          <w:tcPr>
            <w:tcW w:w="913" w:type="dxa"/>
            <w:tcBorders>
              <w:top w:val="single" w:sz="4" w:space="0" w:color="auto"/>
              <w:left w:val="nil"/>
              <w:bottom w:val="single" w:sz="4" w:space="0" w:color="auto"/>
              <w:right w:val="nil"/>
            </w:tcBorders>
            <w:shd w:val="clear" w:color="auto" w:fill="auto"/>
            <w:vAlign w:val="center"/>
            <w:hideMark/>
          </w:tcPr>
          <w:p w14:paraId="442DCC76" w14:textId="77777777" w:rsidR="00B9311E" w:rsidRPr="00BD77D8" w:rsidRDefault="00B9311E" w:rsidP="00B9311E">
            <w:pPr>
              <w:spacing w:after="0" w:line="240" w:lineRule="auto"/>
              <w:jc w:val="right"/>
              <w:rPr>
                <w:b/>
                <w:bCs/>
                <w:sz w:val="17"/>
                <w:szCs w:val="17"/>
              </w:rPr>
            </w:pPr>
            <w:r w:rsidRPr="00BD77D8">
              <w:rPr>
                <w:b/>
                <w:bCs/>
                <w:sz w:val="17"/>
                <w:szCs w:val="17"/>
              </w:rPr>
              <w:t xml:space="preserve">      22,266 </w:t>
            </w:r>
          </w:p>
        </w:tc>
        <w:tc>
          <w:tcPr>
            <w:tcW w:w="982" w:type="dxa"/>
            <w:tcBorders>
              <w:top w:val="single" w:sz="4" w:space="0" w:color="auto"/>
              <w:left w:val="nil"/>
              <w:bottom w:val="single" w:sz="4" w:space="0" w:color="auto"/>
              <w:right w:val="nil"/>
            </w:tcBorders>
            <w:shd w:val="clear" w:color="auto" w:fill="auto"/>
            <w:vAlign w:val="center"/>
            <w:hideMark/>
          </w:tcPr>
          <w:p w14:paraId="2C09ABE7" w14:textId="77777777" w:rsidR="00B9311E" w:rsidRPr="00BD77D8" w:rsidRDefault="00B9311E" w:rsidP="00B9311E">
            <w:pPr>
              <w:spacing w:after="0" w:line="240" w:lineRule="auto"/>
              <w:jc w:val="right"/>
              <w:rPr>
                <w:b/>
                <w:bCs/>
                <w:sz w:val="17"/>
                <w:szCs w:val="17"/>
              </w:rPr>
            </w:pPr>
            <w:r w:rsidRPr="00BD77D8">
              <w:rPr>
                <w:b/>
                <w:bCs/>
                <w:sz w:val="17"/>
                <w:szCs w:val="17"/>
              </w:rPr>
              <w:t xml:space="preserve">      29,814 </w:t>
            </w:r>
          </w:p>
        </w:tc>
        <w:tc>
          <w:tcPr>
            <w:tcW w:w="993" w:type="dxa"/>
            <w:tcBorders>
              <w:top w:val="single" w:sz="4" w:space="0" w:color="auto"/>
              <w:left w:val="nil"/>
              <w:bottom w:val="single" w:sz="4" w:space="0" w:color="auto"/>
              <w:right w:val="nil"/>
            </w:tcBorders>
            <w:shd w:val="clear" w:color="auto" w:fill="auto"/>
            <w:vAlign w:val="center"/>
            <w:hideMark/>
          </w:tcPr>
          <w:p w14:paraId="0A147904" w14:textId="77777777" w:rsidR="00B9311E" w:rsidRPr="00BD77D8" w:rsidRDefault="00B9311E" w:rsidP="00B9311E">
            <w:pPr>
              <w:spacing w:after="0" w:line="240" w:lineRule="auto"/>
              <w:jc w:val="right"/>
              <w:rPr>
                <w:b/>
                <w:bCs/>
                <w:sz w:val="17"/>
                <w:szCs w:val="17"/>
              </w:rPr>
            </w:pPr>
            <w:r w:rsidRPr="00BD77D8">
              <w:rPr>
                <w:b/>
                <w:bCs/>
                <w:sz w:val="17"/>
                <w:szCs w:val="17"/>
              </w:rPr>
              <w:t xml:space="preserve">         1,018 </w:t>
            </w:r>
          </w:p>
        </w:tc>
        <w:tc>
          <w:tcPr>
            <w:tcW w:w="1000" w:type="dxa"/>
            <w:tcBorders>
              <w:top w:val="single" w:sz="4" w:space="0" w:color="auto"/>
              <w:left w:val="nil"/>
              <w:bottom w:val="single" w:sz="4" w:space="0" w:color="auto"/>
              <w:right w:val="nil"/>
            </w:tcBorders>
            <w:shd w:val="clear" w:color="auto" w:fill="auto"/>
            <w:vAlign w:val="center"/>
            <w:hideMark/>
          </w:tcPr>
          <w:p w14:paraId="4E73357D" w14:textId="77777777" w:rsidR="00B9311E" w:rsidRPr="00BD77D8" w:rsidRDefault="00B9311E" w:rsidP="00B9311E">
            <w:pPr>
              <w:spacing w:after="0" w:line="240" w:lineRule="auto"/>
              <w:jc w:val="right"/>
              <w:rPr>
                <w:b/>
                <w:bCs/>
                <w:sz w:val="17"/>
                <w:szCs w:val="17"/>
              </w:rPr>
            </w:pPr>
            <w:r w:rsidRPr="00BD77D8">
              <w:rPr>
                <w:b/>
                <w:bCs/>
                <w:sz w:val="17"/>
                <w:szCs w:val="17"/>
              </w:rPr>
              <w:t xml:space="preserve">         2,403 </w:t>
            </w:r>
          </w:p>
        </w:tc>
        <w:tc>
          <w:tcPr>
            <w:tcW w:w="1134" w:type="dxa"/>
            <w:tcBorders>
              <w:top w:val="single" w:sz="4" w:space="0" w:color="auto"/>
              <w:left w:val="nil"/>
              <w:bottom w:val="single" w:sz="4" w:space="0" w:color="auto"/>
              <w:right w:val="nil"/>
            </w:tcBorders>
            <w:shd w:val="clear" w:color="auto" w:fill="auto"/>
            <w:vAlign w:val="center"/>
            <w:hideMark/>
          </w:tcPr>
          <w:p w14:paraId="34D7EE9A"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113" w:type="dxa"/>
            <w:tcBorders>
              <w:top w:val="single" w:sz="4" w:space="0" w:color="auto"/>
              <w:left w:val="nil"/>
              <w:bottom w:val="single" w:sz="4" w:space="0" w:color="auto"/>
              <w:right w:val="nil"/>
            </w:tcBorders>
            <w:shd w:val="clear" w:color="auto" w:fill="auto"/>
            <w:vAlign w:val="center"/>
            <w:hideMark/>
          </w:tcPr>
          <w:p w14:paraId="5AE95CE4" w14:textId="77777777" w:rsidR="00B9311E" w:rsidRPr="00BD77D8" w:rsidRDefault="00B9311E" w:rsidP="00B9311E">
            <w:pPr>
              <w:spacing w:after="0" w:line="240" w:lineRule="auto"/>
              <w:jc w:val="right"/>
              <w:rPr>
                <w:b/>
                <w:bCs/>
                <w:sz w:val="17"/>
                <w:szCs w:val="17"/>
              </w:rPr>
            </w:pPr>
            <w:r w:rsidRPr="00BD77D8">
              <w:rPr>
                <w:b/>
                <w:bCs/>
                <w:sz w:val="17"/>
                <w:szCs w:val="17"/>
              </w:rPr>
              <w:t xml:space="preserve">             5,238 </w:t>
            </w:r>
          </w:p>
        </w:tc>
        <w:tc>
          <w:tcPr>
            <w:tcW w:w="1156" w:type="dxa"/>
            <w:tcBorders>
              <w:top w:val="single" w:sz="4" w:space="0" w:color="auto"/>
              <w:left w:val="nil"/>
              <w:bottom w:val="single" w:sz="4" w:space="0" w:color="auto"/>
              <w:right w:val="nil"/>
            </w:tcBorders>
            <w:shd w:val="clear" w:color="auto" w:fill="auto"/>
            <w:vAlign w:val="center"/>
            <w:hideMark/>
          </w:tcPr>
          <w:p w14:paraId="459D7397" w14:textId="77777777" w:rsidR="00B9311E" w:rsidRPr="00BD77D8" w:rsidRDefault="00B9311E" w:rsidP="00B9311E">
            <w:pPr>
              <w:spacing w:after="0" w:line="240" w:lineRule="auto"/>
              <w:jc w:val="right"/>
              <w:rPr>
                <w:b/>
                <w:bCs/>
                <w:sz w:val="17"/>
                <w:szCs w:val="17"/>
              </w:rPr>
            </w:pPr>
            <w:r w:rsidRPr="00BD77D8">
              <w:rPr>
                <w:b/>
                <w:bCs/>
                <w:sz w:val="17"/>
                <w:szCs w:val="17"/>
              </w:rPr>
              <w:t xml:space="preserve">             5,829 </w:t>
            </w:r>
          </w:p>
        </w:tc>
        <w:tc>
          <w:tcPr>
            <w:tcW w:w="1156" w:type="dxa"/>
            <w:tcBorders>
              <w:top w:val="single" w:sz="4" w:space="0" w:color="auto"/>
              <w:left w:val="nil"/>
              <w:bottom w:val="single" w:sz="4" w:space="0" w:color="auto"/>
              <w:right w:val="nil"/>
            </w:tcBorders>
            <w:shd w:val="clear" w:color="auto" w:fill="auto"/>
            <w:vAlign w:val="center"/>
            <w:hideMark/>
          </w:tcPr>
          <w:p w14:paraId="44683CC0" w14:textId="77777777" w:rsidR="00B9311E" w:rsidRPr="00BD77D8" w:rsidRDefault="00B9311E" w:rsidP="00B9311E">
            <w:pPr>
              <w:spacing w:after="0" w:line="240" w:lineRule="auto"/>
              <w:jc w:val="right"/>
              <w:rPr>
                <w:b/>
                <w:bCs/>
                <w:sz w:val="17"/>
                <w:szCs w:val="17"/>
              </w:rPr>
            </w:pPr>
            <w:r w:rsidRPr="00BD77D8">
              <w:rPr>
                <w:b/>
                <w:bCs/>
                <w:sz w:val="17"/>
                <w:szCs w:val="17"/>
              </w:rPr>
              <w:t xml:space="preserve">             8,283 </w:t>
            </w:r>
          </w:p>
        </w:tc>
        <w:tc>
          <w:tcPr>
            <w:tcW w:w="1285" w:type="dxa"/>
            <w:tcBorders>
              <w:top w:val="single" w:sz="4" w:space="0" w:color="auto"/>
              <w:left w:val="nil"/>
              <w:bottom w:val="single" w:sz="4" w:space="0" w:color="auto"/>
              <w:right w:val="nil"/>
            </w:tcBorders>
            <w:shd w:val="clear" w:color="auto" w:fill="auto"/>
            <w:vAlign w:val="center"/>
            <w:hideMark/>
          </w:tcPr>
          <w:p w14:paraId="6DEF63DE" w14:textId="77777777" w:rsidR="00B9311E" w:rsidRPr="00BD77D8" w:rsidRDefault="00B9311E" w:rsidP="00B9311E">
            <w:pPr>
              <w:spacing w:after="0" w:line="240" w:lineRule="auto"/>
              <w:jc w:val="right"/>
              <w:rPr>
                <w:b/>
                <w:bCs/>
                <w:sz w:val="17"/>
                <w:szCs w:val="17"/>
              </w:rPr>
            </w:pPr>
            <w:r w:rsidRPr="00BD77D8">
              <w:rPr>
                <w:b/>
                <w:bCs/>
                <w:sz w:val="17"/>
                <w:szCs w:val="17"/>
              </w:rPr>
              <w:t xml:space="preserve">             9,381 </w:t>
            </w:r>
          </w:p>
        </w:tc>
        <w:tc>
          <w:tcPr>
            <w:tcW w:w="1062" w:type="dxa"/>
            <w:tcBorders>
              <w:top w:val="single" w:sz="4" w:space="0" w:color="auto"/>
              <w:left w:val="nil"/>
              <w:bottom w:val="single" w:sz="4" w:space="0" w:color="auto"/>
              <w:right w:val="nil"/>
            </w:tcBorders>
            <w:shd w:val="clear" w:color="auto" w:fill="auto"/>
            <w:vAlign w:val="center"/>
            <w:hideMark/>
          </w:tcPr>
          <w:p w14:paraId="13D73EDA" w14:textId="77777777" w:rsidR="00B9311E" w:rsidRPr="00BD77D8" w:rsidRDefault="00B9311E" w:rsidP="00B9311E">
            <w:pPr>
              <w:spacing w:after="0" w:line="240" w:lineRule="auto"/>
              <w:jc w:val="right"/>
              <w:rPr>
                <w:b/>
                <w:bCs/>
                <w:sz w:val="17"/>
                <w:szCs w:val="17"/>
              </w:rPr>
            </w:pPr>
            <w:r w:rsidRPr="00BD77D8">
              <w:rPr>
                <w:b/>
                <w:bCs/>
                <w:sz w:val="17"/>
                <w:szCs w:val="17"/>
              </w:rPr>
              <w:t xml:space="preserve">    36,805 </w:t>
            </w:r>
          </w:p>
        </w:tc>
        <w:tc>
          <w:tcPr>
            <w:tcW w:w="915" w:type="dxa"/>
            <w:tcBorders>
              <w:top w:val="single" w:sz="4" w:space="0" w:color="auto"/>
              <w:left w:val="nil"/>
              <w:bottom w:val="single" w:sz="4" w:space="0" w:color="auto"/>
              <w:right w:val="nil"/>
            </w:tcBorders>
            <w:shd w:val="clear" w:color="auto" w:fill="auto"/>
            <w:vAlign w:val="center"/>
            <w:hideMark/>
          </w:tcPr>
          <w:p w14:paraId="4392E6C5" w14:textId="77777777" w:rsidR="00B9311E" w:rsidRPr="00BD77D8" w:rsidRDefault="00B9311E" w:rsidP="00B9311E">
            <w:pPr>
              <w:spacing w:after="0" w:line="240" w:lineRule="auto"/>
              <w:jc w:val="right"/>
              <w:rPr>
                <w:b/>
                <w:bCs/>
                <w:sz w:val="17"/>
                <w:szCs w:val="17"/>
              </w:rPr>
            </w:pPr>
            <w:r w:rsidRPr="00BD77D8">
              <w:rPr>
                <w:b/>
                <w:bCs/>
                <w:sz w:val="17"/>
                <w:szCs w:val="17"/>
              </w:rPr>
              <w:t xml:space="preserve">    47,428 </w:t>
            </w:r>
          </w:p>
        </w:tc>
      </w:tr>
      <w:tr w:rsidR="00BD77D8" w:rsidRPr="00BD77D8" w14:paraId="1FC6B374" w14:textId="77777777" w:rsidTr="003057FB">
        <w:trPr>
          <w:trHeight w:val="240"/>
        </w:trPr>
        <w:tc>
          <w:tcPr>
            <w:tcW w:w="3655" w:type="dxa"/>
            <w:tcBorders>
              <w:top w:val="nil"/>
              <w:left w:val="nil"/>
              <w:bottom w:val="nil"/>
              <w:right w:val="nil"/>
            </w:tcBorders>
            <w:shd w:val="clear" w:color="000000" w:fill="FFFFFF"/>
            <w:noWrap/>
            <w:vAlign w:val="bottom"/>
            <w:hideMark/>
          </w:tcPr>
          <w:p w14:paraId="5F04A8DC" w14:textId="77777777" w:rsidR="00B9311E" w:rsidRPr="00BD77D8" w:rsidRDefault="00B9311E" w:rsidP="00B9311E">
            <w:pPr>
              <w:spacing w:after="0" w:line="240" w:lineRule="auto"/>
              <w:rPr>
                <w:b/>
                <w:bCs/>
                <w:sz w:val="17"/>
                <w:szCs w:val="17"/>
              </w:rPr>
            </w:pPr>
            <w:r w:rsidRPr="00BD77D8">
              <w:rPr>
                <w:b/>
                <w:bCs/>
                <w:sz w:val="17"/>
                <w:szCs w:val="17"/>
              </w:rPr>
              <w:t xml:space="preserve"> Total Liabilities </w:t>
            </w:r>
          </w:p>
        </w:tc>
        <w:tc>
          <w:tcPr>
            <w:tcW w:w="913" w:type="dxa"/>
            <w:tcBorders>
              <w:top w:val="nil"/>
              <w:left w:val="nil"/>
              <w:bottom w:val="single" w:sz="4" w:space="0" w:color="auto"/>
              <w:right w:val="nil"/>
            </w:tcBorders>
            <w:shd w:val="clear" w:color="auto" w:fill="auto"/>
            <w:vAlign w:val="center"/>
            <w:hideMark/>
          </w:tcPr>
          <w:p w14:paraId="50CED8B6" w14:textId="77777777" w:rsidR="00B9311E" w:rsidRPr="00BD77D8" w:rsidRDefault="00B9311E" w:rsidP="00B9311E">
            <w:pPr>
              <w:spacing w:after="0" w:line="240" w:lineRule="auto"/>
              <w:jc w:val="right"/>
              <w:rPr>
                <w:b/>
                <w:bCs/>
                <w:sz w:val="17"/>
                <w:szCs w:val="17"/>
              </w:rPr>
            </w:pPr>
            <w:r w:rsidRPr="00BD77D8">
              <w:rPr>
                <w:b/>
                <w:bCs/>
                <w:sz w:val="17"/>
                <w:szCs w:val="17"/>
              </w:rPr>
              <w:t xml:space="preserve">      22,266 </w:t>
            </w:r>
          </w:p>
        </w:tc>
        <w:tc>
          <w:tcPr>
            <w:tcW w:w="982" w:type="dxa"/>
            <w:tcBorders>
              <w:top w:val="nil"/>
              <w:left w:val="nil"/>
              <w:bottom w:val="single" w:sz="4" w:space="0" w:color="auto"/>
              <w:right w:val="nil"/>
            </w:tcBorders>
            <w:shd w:val="clear" w:color="auto" w:fill="auto"/>
            <w:vAlign w:val="center"/>
            <w:hideMark/>
          </w:tcPr>
          <w:p w14:paraId="2A5CA153" w14:textId="77777777" w:rsidR="00B9311E" w:rsidRPr="00BD77D8" w:rsidRDefault="00B9311E" w:rsidP="00B9311E">
            <w:pPr>
              <w:spacing w:after="0" w:line="240" w:lineRule="auto"/>
              <w:jc w:val="right"/>
              <w:rPr>
                <w:b/>
                <w:bCs/>
                <w:sz w:val="17"/>
                <w:szCs w:val="17"/>
              </w:rPr>
            </w:pPr>
            <w:r w:rsidRPr="00BD77D8">
              <w:rPr>
                <w:b/>
                <w:bCs/>
                <w:sz w:val="17"/>
                <w:szCs w:val="17"/>
              </w:rPr>
              <w:t xml:space="preserve">      29,814 </w:t>
            </w:r>
          </w:p>
        </w:tc>
        <w:tc>
          <w:tcPr>
            <w:tcW w:w="993" w:type="dxa"/>
            <w:tcBorders>
              <w:top w:val="nil"/>
              <w:left w:val="nil"/>
              <w:bottom w:val="single" w:sz="4" w:space="0" w:color="auto"/>
              <w:right w:val="nil"/>
            </w:tcBorders>
            <w:shd w:val="clear" w:color="auto" w:fill="auto"/>
            <w:vAlign w:val="center"/>
            <w:hideMark/>
          </w:tcPr>
          <w:p w14:paraId="3EA5B383" w14:textId="77777777" w:rsidR="00B9311E" w:rsidRPr="00BD77D8" w:rsidRDefault="00B9311E" w:rsidP="00B9311E">
            <w:pPr>
              <w:spacing w:after="0" w:line="240" w:lineRule="auto"/>
              <w:jc w:val="right"/>
              <w:rPr>
                <w:b/>
                <w:bCs/>
                <w:sz w:val="17"/>
                <w:szCs w:val="17"/>
              </w:rPr>
            </w:pPr>
            <w:r w:rsidRPr="00BD77D8">
              <w:rPr>
                <w:b/>
                <w:bCs/>
                <w:sz w:val="17"/>
                <w:szCs w:val="17"/>
              </w:rPr>
              <w:t xml:space="preserve">         1,018 </w:t>
            </w:r>
          </w:p>
        </w:tc>
        <w:tc>
          <w:tcPr>
            <w:tcW w:w="1000" w:type="dxa"/>
            <w:tcBorders>
              <w:top w:val="nil"/>
              <w:left w:val="nil"/>
              <w:bottom w:val="single" w:sz="4" w:space="0" w:color="auto"/>
              <w:right w:val="nil"/>
            </w:tcBorders>
            <w:shd w:val="clear" w:color="auto" w:fill="auto"/>
            <w:vAlign w:val="center"/>
            <w:hideMark/>
          </w:tcPr>
          <w:p w14:paraId="75E47191" w14:textId="77777777" w:rsidR="00B9311E" w:rsidRPr="00BD77D8" w:rsidRDefault="00B9311E" w:rsidP="00B9311E">
            <w:pPr>
              <w:spacing w:after="0" w:line="240" w:lineRule="auto"/>
              <w:jc w:val="right"/>
              <w:rPr>
                <w:b/>
                <w:bCs/>
                <w:sz w:val="17"/>
                <w:szCs w:val="17"/>
              </w:rPr>
            </w:pPr>
            <w:r w:rsidRPr="00BD77D8">
              <w:rPr>
                <w:b/>
                <w:bCs/>
                <w:sz w:val="17"/>
                <w:szCs w:val="17"/>
              </w:rPr>
              <w:t xml:space="preserve">         2,403 </w:t>
            </w:r>
          </w:p>
        </w:tc>
        <w:tc>
          <w:tcPr>
            <w:tcW w:w="1134" w:type="dxa"/>
            <w:tcBorders>
              <w:top w:val="nil"/>
              <w:left w:val="nil"/>
              <w:bottom w:val="single" w:sz="4" w:space="0" w:color="auto"/>
              <w:right w:val="nil"/>
            </w:tcBorders>
            <w:shd w:val="clear" w:color="auto" w:fill="auto"/>
            <w:vAlign w:val="center"/>
            <w:hideMark/>
          </w:tcPr>
          <w:p w14:paraId="57E5C4BB" w14:textId="77777777" w:rsidR="00B9311E" w:rsidRPr="00BD77D8" w:rsidRDefault="00B9311E" w:rsidP="00B9311E">
            <w:pPr>
              <w:spacing w:after="0" w:line="240" w:lineRule="auto"/>
              <w:jc w:val="right"/>
              <w:rPr>
                <w:b/>
                <w:bCs/>
                <w:sz w:val="17"/>
                <w:szCs w:val="17"/>
              </w:rPr>
            </w:pPr>
            <w:r w:rsidRPr="00BD77D8">
              <w:rPr>
                <w:b/>
                <w:bCs/>
                <w:sz w:val="17"/>
                <w:szCs w:val="17"/>
              </w:rPr>
              <w:t xml:space="preserve">                    - </w:t>
            </w:r>
          </w:p>
        </w:tc>
        <w:tc>
          <w:tcPr>
            <w:tcW w:w="1113" w:type="dxa"/>
            <w:tcBorders>
              <w:top w:val="nil"/>
              <w:left w:val="nil"/>
              <w:bottom w:val="single" w:sz="4" w:space="0" w:color="auto"/>
              <w:right w:val="nil"/>
            </w:tcBorders>
            <w:shd w:val="clear" w:color="auto" w:fill="auto"/>
            <w:vAlign w:val="center"/>
            <w:hideMark/>
          </w:tcPr>
          <w:p w14:paraId="24B919EB" w14:textId="77777777" w:rsidR="00B9311E" w:rsidRPr="00BD77D8" w:rsidRDefault="00B9311E" w:rsidP="00B9311E">
            <w:pPr>
              <w:spacing w:after="0" w:line="240" w:lineRule="auto"/>
              <w:jc w:val="right"/>
              <w:rPr>
                <w:b/>
                <w:bCs/>
                <w:sz w:val="17"/>
                <w:szCs w:val="17"/>
              </w:rPr>
            </w:pPr>
            <w:r w:rsidRPr="00BD77D8">
              <w:rPr>
                <w:b/>
                <w:bCs/>
                <w:sz w:val="17"/>
                <w:szCs w:val="17"/>
              </w:rPr>
              <w:t xml:space="preserve">             5,238 </w:t>
            </w:r>
          </w:p>
        </w:tc>
        <w:tc>
          <w:tcPr>
            <w:tcW w:w="1156" w:type="dxa"/>
            <w:tcBorders>
              <w:top w:val="nil"/>
              <w:left w:val="nil"/>
              <w:bottom w:val="single" w:sz="4" w:space="0" w:color="auto"/>
              <w:right w:val="nil"/>
            </w:tcBorders>
            <w:shd w:val="clear" w:color="auto" w:fill="auto"/>
            <w:vAlign w:val="center"/>
            <w:hideMark/>
          </w:tcPr>
          <w:p w14:paraId="6C2419FF" w14:textId="77777777" w:rsidR="00B9311E" w:rsidRPr="00BD77D8" w:rsidRDefault="00B9311E" w:rsidP="00B9311E">
            <w:pPr>
              <w:spacing w:after="0" w:line="240" w:lineRule="auto"/>
              <w:jc w:val="right"/>
              <w:rPr>
                <w:b/>
                <w:bCs/>
                <w:sz w:val="17"/>
                <w:szCs w:val="17"/>
              </w:rPr>
            </w:pPr>
            <w:r w:rsidRPr="00BD77D8">
              <w:rPr>
                <w:b/>
                <w:bCs/>
                <w:sz w:val="17"/>
                <w:szCs w:val="17"/>
              </w:rPr>
              <w:t xml:space="preserve">             5,829 </w:t>
            </w:r>
          </w:p>
        </w:tc>
        <w:tc>
          <w:tcPr>
            <w:tcW w:w="1156" w:type="dxa"/>
            <w:tcBorders>
              <w:top w:val="nil"/>
              <w:left w:val="nil"/>
              <w:bottom w:val="single" w:sz="4" w:space="0" w:color="auto"/>
              <w:right w:val="nil"/>
            </w:tcBorders>
            <w:shd w:val="clear" w:color="auto" w:fill="auto"/>
            <w:vAlign w:val="center"/>
            <w:hideMark/>
          </w:tcPr>
          <w:p w14:paraId="40062C5F" w14:textId="77777777" w:rsidR="00B9311E" w:rsidRPr="00BD77D8" w:rsidRDefault="00B9311E" w:rsidP="00B9311E">
            <w:pPr>
              <w:spacing w:after="0" w:line="240" w:lineRule="auto"/>
              <w:jc w:val="right"/>
              <w:rPr>
                <w:b/>
                <w:bCs/>
                <w:sz w:val="17"/>
                <w:szCs w:val="17"/>
              </w:rPr>
            </w:pPr>
            <w:r w:rsidRPr="00BD77D8">
              <w:rPr>
                <w:b/>
                <w:bCs/>
                <w:sz w:val="17"/>
                <w:szCs w:val="17"/>
              </w:rPr>
              <w:t xml:space="preserve">             8,283 </w:t>
            </w:r>
          </w:p>
        </w:tc>
        <w:tc>
          <w:tcPr>
            <w:tcW w:w="1285" w:type="dxa"/>
            <w:tcBorders>
              <w:top w:val="nil"/>
              <w:left w:val="nil"/>
              <w:bottom w:val="single" w:sz="4" w:space="0" w:color="auto"/>
              <w:right w:val="nil"/>
            </w:tcBorders>
            <w:shd w:val="clear" w:color="auto" w:fill="auto"/>
            <w:vAlign w:val="center"/>
            <w:hideMark/>
          </w:tcPr>
          <w:p w14:paraId="47E0FF2B" w14:textId="77777777" w:rsidR="00B9311E" w:rsidRPr="00BD77D8" w:rsidRDefault="00B9311E" w:rsidP="00B9311E">
            <w:pPr>
              <w:spacing w:after="0" w:line="240" w:lineRule="auto"/>
              <w:jc w:val="right"/>
              <w:rPr>
                <w:b/>
                <w:bCs/>
                <w:sz w:val="17"/>
                <w:szCs w:val="17"/>
              </w:rPr>
            </w:pPr>
            <w:r w:rsidRPr="00BD77D8">
              <w:rPr>
                <w:b/>
                <w:bCs/>
                <w:sz w:val="17"/>
                <w:szCs w:val="17"/>
              </w:rPr>
              <w:t xml:space="preserve">             9,381 </w:t>
            </w:r>
          </w:p>
        </w:tc>
        <w:tc>
          <w:tcPr>
            <w:tcW w:w="1062" w:type="dxa"/>
            <w:tcBorders>
              <w:top w:val="nil"/>
              <w:left w:val="nil"/>
              <w:bottom w:val="single" w:sz="4" w:space="0" w:color="auto"/>
              <w:right w:val="nil"/>
            </w:tcBorders>
            <w:shd w:val="clear" w:color="auto" w:fill="auto"/>
            <w:vAlign w:val="center"/>
            <w:hideMark/>
          </w:tcPr>
          <w:p w14:paraId="1DA9F97A" w14:textId="77777777" w:rsidR="00B9311E" w:rsidRPr="00BD77D8" w:rsidRDefault="00B9311E" w:rsidP="00B9311E">
            <w:pPr>
              <w:spacing w:after="0" w:line="240" w:lineRule="auto"/>
              <w:jc w:val="right"/>
              <w:rPr>
                <w:b/>
                <w:bCs/>
                <w:sz w:val="17"/>
                <w:szCs w:val="17"/>
              </w:rPr>
            </w:pPr>
            <w:r w:rsidRPr="00BD77D8">
              <w:rPr>
                <w:b/>
                <w:bCs/>
                <w:sz w:val="17"/>
                <w:szCs w:val="17"/>
              </w:rPr>
              <w:t xml:space="preserve">    36,805 </w:t>
            </w:r>
          </w:p>
        </w:tc>
        <w:tc>
          <w:tcPr>
            <w:tcW w:w="915" w:type="dxa"/>
            <w:tcBorders>
              <w:top w:val="nil"/>
              <w:left w:val="nil"/>
              <w:bottom w:val="single" w:sz="4" w:space="0" w:color="auto"/>
              <w:right w:val="nil"/>
            </w:tcBorders>
            <w:shd w:val="clear" w:color="auto" w:fill="auto"/>
            <w:vAlign w:val="center"/>
            <w:hideMark/>
          </w:tcPr>
          <w:p w14:paraId="1CD48388" w14:textId="77777777" w:rsidR="00B9311E" w:rsidRPr="00BD77D8" w:rsidRDefault="00B9311E" w:rsidP="00B9311E">
            <w:pPr>
              <w:spacing w:after="0" w:line="240" w:lineRule="auto"/>
              <w:jc w:val="right"/>
              <w:rPr>
                <w:b/>
                <w:bCs/>
                <w:sz w:val="17"/>
                <w:szCs w:val="17"/>
              </w:rPr>
            </w:pPr>
            <w:r w:rsidRPr="00BD77D8">
              <w:rPr>
                <w:b/>
                <w:bCs/>
                <w:sz w:val="17"/>
                <w:szCs w:val="17"/>
              </w:rPr>
              <w:t xml:space="preserve">    47,428 </w:t>
            </w:r>
          </w:p>
        </w:tc>
      </w:tr>
    </w:tbl>
    <w:p w14:paraId="1F1D2247" w14:textId="77777777" w:rsidR="00B9311E" w:rsidRPr="00BD77D8" w:rsidRDefault="00B9311E" w:rsidP="009B462F">
      <w:pPr>
        <w:spacing w:before="360" w:after="0" w:line="205" w:lineRule="exact"/>
        <w:textAlignment w:val="baseline"/>
        <w:rPr>
          <w:rFonts w:eastAsia="Arial"/>
          <w:b/>
          <w:bCs/>
          <w:sz w:val="16"/>
          <w:szCs w:val="16"/>
          <w:lang w:eastAsia="en-US"/>
        </w:rPr>
      </w:pPr>
      <w:r w:rsidRPr="00BD77D8">
        <w:rPr>
          <w:rFonts w:eastAsia="Arial"/>
          <w:sz w:val="16"/>
          <w:szCs w:val="16"/>
          <w:lang w:eastAsia="en-US"/>
        </w:rPr>
        <w:t>* Economic and Community Participation Services comparative amounts are from 13 November 2020 to 30 June 2021 due to the 2020 Machinery-of-Government changes.</w:t>
      </w:r>
    </w:p>
    <w:p w14:paraId="3BB8CB7F" w14:textId="77777777" w:rsidR="00B9311E" w:rsidRPr="00BD77D8" w:rsidRDefault="00B9311E" w:rsidP="00B9311E">
      <w:pPr>
        <w:tabs>
          <w:tab w:val="left" w:pos="288"/>
        </w:tabs>
        <w:spacing w:after="0" w:line="209" w:lineRule="exact"/>
        <w:textAlignment w:val="baseline"/>
        <w:rPr>
          <w:rFonts w:eastAsia="Arial"/>
          <w:b/>
          <w:bCs/>
          <w:sz w:val="16"/>
          <w:szCs w:val="16"/>
          <w:lang w:eastAsia="en-US"/>
        </w:rPr>
      </w:pPr>
      <w:r w:rsidRPr="00BD77D8">
        <w:rPr>
          <w:rFonts w:eastAsia="Arial"/>
          <w:sz w:val="16"/>
          <w:szCs w:val="16"/>
          <w:lang w:eastAsia="en-US"/>
        </w:rPr>
        <w:t xml:space="preserve">^ Comparative amounts for Community Services are from 1 July 2020 to 30 November 2020. Community Services were transferred to Department of Communities, Housing and Digital Economy due to the 2020 Machinery-of-Government changes. </w:t>
      </w:r>
    </w:p>
    <w:p w14:paraId="3B63887A" w14:textId="552C75BD" w:rsidR="00702AE3" w:rsidRPr="00BD77D8" w:rsidRDefault="00702AE3" w:rsidP="009B462F">
      <w:pPr>
        <w:tabs>
          <w:tab w:val="left" w:pos="288"/>
        </w:tabs>
        <w:spacing w:before="1200" w:after="0" w:line="212" w:lineRule="exact"/>
        <w:textAlignment w:val="baseline"/>
        <w:rPr>
          <w:rFonts w:eastAsia="PMingLiU"/>
          <w:sz w:val="16"/>
          <w:szCs w:val="16"/>
          <w:lang w:eastAsia="en-US"/>
        </w:rPr>
        <w:sectPr w:rsidR="00702AE3" w:rsidRPr="00BD77D8" w:rsidSect="009D3530">
          <w:pgSz w:w="16838" w:h="11909" w:orient="landscape"/>
          <w:pgMar w:top="680" w:right="794" w:bottom="794" w:left="680" w:header="720" w:footer="720" w:gutter="0"/>
          <w:cols w:space="720"/>
          <w:docGrid w:linePitch="245"/>
        </w:sectPr>
      </w:pP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r>
      <w:r w:rsidRPr="00BD77D8">
        <w:rPr>
          <w:rFonts w:eastAsia="PMingLiU"/>
          <w:sz w:val="16"/>
          <w:szCs w:val="16"/>
          <w:lang w:eastAsia="en-US"/>
        </w:rPr>
        <w:tab/>
        <w:t>Page 7 of 45</w:t>
      </w:r>
    </w:p>
    <w:p w14:paraId="747772C7" w14:textId="77777777" w:rsidR="00B9311E" w:rsidRPr="00BD77D8" w:rsidRDefault="00B9311E" w:rsidP="00B9311E">
      <w:pPr>
        <w:spacing w:after="0" w:line="205"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257B40EB" w14:textId="77777777" w:rsidR="00B9311E" w:rsidRPr="00BD77D8" w:rsidRDefault="00B9311E" w:rsidP="00F70507">
      <w:pPr>
        <w:spacing w:after="0" w:line="205" w:lineRule="exact"/>
        <w:textAlignment w:val="baseline"/>
        <w:rPr>
          <w:rFonts w:eastAsia="Arial"/>
          <w:b/>
          <w:bCs/>
          <w:sz w:val="18"/>
          <w:szCs w:val="18"/>
          <w:lang w:eastAsia="en-US"/>
        </w:rPr>
      </w:pPr>
      <w:bookmarkStart w:id="35" w:name="_Toc111494796"/>
      <w:bookmarkStart w:id="36" w:name="_Toc111540668"/>
      <w:bookmarkStart w:id="37" w:name="_Toc111559231"/>
      <w:bookmarkStart w:id="38" w:name="_Toc113196503"/>
      <w:bookmarkStart w:id="39" w:name="_Toc113196851"/>
      <w:bookmarkStart w:id="40" w:name="_Toc113261981"/>
      <w:r w:rsidRPr="00BD77D8">
        <w:rPr>
          <w:rFonts w:eastAsia="Arial"/>
          <w:b/>
          <w:bCs/>
          <w:sz w:val="18"/>
          <w:szCs w:val="18"/>
          <w:lang w:eastAsia="en-US"/>
        </w:rPr>
        <w:t>Statement of Changes in Equity - Controlled</w:t>
      </w:r>
      <w:bookmarkEnd w:id="35"/>
      <w:bookmarkEnd w:id="36"/>
      <w:bookmarkEnd w:id="37"/>
      <w:bookmarkEnd w:id="38"/>
      <w:bookmarkEnd w:id="39"/>
      <w:bookmarkEnd w:id="40"/>
    </w:p>
    <w:p w14:paraId="04763E55" w14:textId="77777777" w:rsidR="00B9311E" w:rsidRPr="00BD77D8" w:rsidRDefault="00B9311E" w:rsidP="00B9311E">
      <w:pPr>
        <w:spacing w:after="0" w:line="205"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4741F6E1" w14:textId="77777777" w:rsidR="00B9311E" w:rsidRPr="00BD77D8" w:rsidRDefault="00B9311E" w:rsidP="00B9311E">
      <w:pPr>
        <w:pBdr>
          <w:bottom w:val="single" w:sz="4" w:space="1" w:color="auto"/>
        </w:pBdr>
        <w:spacing w:after="0" w:line="205" w:lineRule="exact"/>
        <w:textAlignment w:val="baseline"/>
        <w:rPr>
          <w:rFonts w:eastAsia="Arial"/>
          <w:bCs/>
          <w:sz w:val="18"/>
          <w:szCs w:val="18"/>
          <w:lang w:eastAsia="en-US"/>
        </w:rPr>
      </w:pPr>
    </w:p>
    <w:p w14:paraId="48A8F1D3" w14:textId="77777777" w:rsidR="00B9311E" w:rsidRPr="00BD77D8" w:rsidRDefault="00B9311E" w:rsidP="00B9311E">
      <w:pPr>
        <w:spacing w:after="0" w:line="205" w:lineRule="exact"/>
        <w:textAlignment w:val="baseline"/>
        <w:rPr>
          <w:rFonts w:eastAsia="PMingLiU"/>
          <w:sz w:val="18"/>
          <w:szCs w:val="22"/>
          <w:lang w:val="en-US" w:eastAsia="en-US"/>
        </w:rPr>
      </w:pPr>
    </w:p>
    <w:tbl>
      <w:tblPr>
        <w:tblW w:w="0" w:type="auto"/>
        <w:tblCellMar>
          <w:left w:w="0" w:type="dxa"/>
          <w:right w:w="0" w:type="dxa"/>
        </w:tblCellMar>
        <w:tblLook w:val="04A0" w:firstRow="1" w:lastRow="0" w:firstColumn="1" w:lastColumn="0" w:noHBand="0" w:noVBand="1"/>
      </w:tblPr>
      <w:tblGrid>
        <w:gridCol w:w="5838"/>
        <w:gridCol w:w="1003"/>
        <w:gridCol w:w="1155"/>
        <w:gridCol w:w="1304"/>
        <w:gridCol w:w="1021"/>
      </w:tblGrid>
      <w:tr w:rsidR="00BD77D8" w:rsidRPr="00BD77D8" w14:paraId="5B4D3255" w14:textId="77777777" w:rsidTr="003057FB">
        <w:trPr>
          <w:trHeight w:val="480"/>
        </w:trPr>
        <w:tc>
          <w:tcPr>
            <w:tcW w:w="5867" w:type="dxa"/>
            <w:tcBorders>
              <w:top w:val="nil"/>
              <w:left w:val="nil"/>
              <w:bottom w:val="nil"/>
              <w:right w:val="nil"/>
            </w:tcBorders>
            <w:shd w:val="clear" w:color="auto" w:fill="auto"/>
            <w:noWrap/>
            <w:vAlign w:val="bottom"/>
            <w:hideMark/>
          </w:tcPr>
          <w:p w14:paraId="14520E90" w14:textId="77777777" w:rsidR="00B9311E" w:rsidRPr="00BD77D8" w:rsidRDefault="00B9311E" w:rsidP="00B9311E">
            <w:pPr>
              <w:spacing w:after="0" w:line="240" w:lineRule="auto"/>
              <w:rPr>
                <w:rFonts w:ascii="Times New Roman" w:hAnsi="Times New Roman" w:cs="Times New Roman"/>
                <w:sz w:val="24"/>
                <w:szCs w:val="24"/>
              </w:rPr>
            </w:pPr>
          </w:p>
        </w:tc>
        <w:tc>
          <w:tcPr>
            <w:tcW w:w="995" w:type="dxa"/>
            <w:tcBorders>
              <w:top w:val="nil"/>
              <w:left w:val="nil"/>
              <w:bottom w:val="nil"/>
              <w:right w:val="nil"/>
            </w:tcBorders>
            <w:shd w:val="clear" w:color="auto" w:fill="auto"/>
            <w:noWrap/>
            <w:vAlign w:val="bottom"/>
            <w:hideMark/>
          </w:tcPr>
          <w:p w14:paraId="2B0554CC" w14:textId="77777777" w:rsidR="00B9311E" w:rsidRPr="00BD77D8" w:rsidRDefault="00B9311E" w:rsidP="00B9311E">
            <w:pPr>
              <w:spacing w:after="0" w:line="240" w:lineRule="auto"/>
              <w:rPr>
                <w:rFonts w:ascii="Times New Roman" w:hAnsi="Times New Roman" w:cs="Times New Roman"/>
                <w:b/>
                <w:bCs/>
                <w:sz w:val="20"/>
                <w:szCs w:val="20"/>
              </w:rPr>
            </w:pPr>
          </w:p>
        </w:tc>
        <w:tc>
          <w:tcPr>
            <w:tcW w:w="1148" w:type="dxa"/>
            <w:tcBorders>
              <w:top w:val="nil"/>
              <w:left w:val="nil"/>
              <w:bottom w:val="nil"/>
              <w:right w:val="nil"/>
            </w:tcBorders>
            <w:shd w:val="clear" w:color="auto" w:fill="auto"/>
            <w:vAlign w:val="center"/>
            <w:hideMark/>
          </w:tcPr>
          <w:p w14:paraId="0692EF94" w14:textId="77777777" w:rsidR="00B9311E" w:rsidRPr="00BD77D8" w:rsidRDefault="00B9311E" w:rsidP="00B9311E">
            <w:pPr>
              <w:spacing w:after="0" w:line="240" w:lineRule="auto"/>
              <w:jc w:val="right"/>
              <w:rPr>
                <w:b/>
                <w:bCs/>
                <w:sz w:val="18"/>
                <w:szCs w:val="18"/>
              </w:rPr>
            </w:pPr>
            <w:r w:rsidRPr="00BD77D8">
              <w:rPr>
                <w:b/>
                <w:bCs/>
                <w:sz w:val="18"/>
                <w:szCs w:val="18"/>
              </w:rPr>
              <w:t xml:space="preserve"> Contributed Equity </w:t>
            </w:r>
          </w:p>
        </w:tc>
        <w:tc>
          <w:tcPr>
            <w:tcW w:w="1298" w:type="dxa"/>
            <w:tcBorders>
              <w:top w:val="nil"/>
              <w:left w:val="nil"/>
              <w:bottom w:val="nil"/>
              <w:right w:val="nil"/>
            </w:tcBorders>
            <w:shd w:val="clear" w:color="auto" w:fill="auto"/>
            <w:vAlign w:val="center"/>
            <w:hideMark/>
          </w:tcPr>
          <w:p w14:paraId="4DFDAF98" w14:textId="77777777" w:rsidR="00B9311E" w:rsidRPr="00BD77D8" w:rsidRDefault="00B9311E" w:rsidP="00B9311E">
            <w:pPr>
              <w:spacing w:after="0" w:line="240" w:lineRule="auto"/>
              <w:jc w:val="right"/>
              <w:rPr>
                <w:b/>
                <w:bCs/>
                <w:sz w:val="18"/>
                <w:szCs w:val="18"/>
              </w:rPr>
            </w:pPr>
            <w:r w:rsidRPr="00BD77D8">
              <w:rPr>
                <w:b/>
                <w:bCs/>
                <w:sz w:val="18"/>
                <w:szCs w:val="18"/>
              </w:rPr>
              <w:t xml:space="preserve"> Accumulated Surplus </w:t>
            </w:r>
          </w:p>
        </w:tc>
        <w:tc>
          <w:tcPr>
            <w:tcW w:w="1013" w:type="dxa"/>
            <w:tcBorders>
              <w:top w:val="nil"/>
              <w:left w:val="nil"/>
              <w:bottom w:val="nil"/>
              <w:right w:val="nil"/>
            </w:tcBorders>
            <w:shd w:val="clear" w:color="auto" w:fill="auto"/>
            <w:vAlign w:val="center"/>
            <w:hideMark/>
          </w:tcPr>
          <w:p w14:paraId="18464837" w14:textId="77777777" w:rsidR="00B9311E" w:rsidRPr="00BD77D8" w:rsidRDefault="00B9311E" w:rsidP="00B9311E">
            <w:pPr>
              <w:spacing w:after="0" w:line="240" w:lineRule="auto"/>
              <w:jc w:val="right"/>
              <w:rPr>
                <w:b/>
                <w:bCs/>
                <w:sz w:val="18"/>
                <w:szCs w:val="18"/>
              </w:rPr>
            </w:pPr>
            <w:r w:rsidRPr="00BD77D8">
              <w:rPr>
                <w:b/>
                <w:bCs/>
                <w:sz w:val="18"/>
                <w:szCs w:val="18"/>
              </w:rPr>
              <w:t xml:space="preserve"> Total </w:t>
            </w:r>
          </w:p>
        </w:tc>
      </w:tr>
      <w:tr w:rsidR="00BD77D8" w:rsidRPr="00BD77D8" w14:paraId="4FBBC7F3" w14:textId="77777777" w:rsidTr="003057FB">
        <w:trPr>
          <w:trHeight w:val="285"/>
        </w:trPr>
        <w:tc>
          <w:tcPr>
            <w:tcW w:w="5867" w:type="dxa"/>
            <w:tcBorders>
              <w:top w:val="nil"/>
              <w:left w:val="nil"/>
              <w:bottom w:val="single" w:sz="4" w:space="0" w:color="auto"/>
              <w:right w:val="nil"/>
            </w:tcBorders>
            <w:shd w:val="clear" w:color="auto" w:fill="auto"/>
            <w:noWrap/>
            <w:vAlign w:val="bottom"/>
            <w:hideMark/>
          </w:tcPr>
          <w:p w14:paraId="3B90C43D" w14:textId="77777777" w:rsidR="00B9311E" w:rsidRPr="00BD77D8" w:rsidRDefault="00B9311E" w:rsidP="00B9311E">
            <w:pPr>
              <w:spacing w:after="0" w:line="240" w:lineRule="auto"/>
              <w:rPr>
                <w:sz w:val="18"/>
                <w:szCs w:val="18"/>
              </w:rPr>
            </w:pPr>
            <w:r w:rsidRPr="00BD77D8">
              <w:rPr>
                <w:sz w:val="18"/>
                <w:szCs w:val="18"/>
              </w:rPr>
              <w:t> </w:t>
            </w:r>
          </w:p>
        </w:tc>
        <w:tc>
          <w:tcPr>
            <w:tcW w:w="995" w:type="dxa"/>
            <w:tcBorders>
              <w:top w:val="nil"/>
              <w:left w:val="nil"/>
              <w:bottom w:val="single" w:sz="4" w:space="0" w:color="auto"/>
              <w:right w:val="nil"/>
            </w:tcBorders>
            <w:shd w:val="clear" w:color="auto" w:fill="auto"/>
            <w:noWrap/>
            <w:vAlign w:val="bottom"/>
            <w:hideMark/>
          </w:tcPr>
          <w:p w14:paraId="3BC53E70" w14:textId="77777777" w:rsidR="00B9311E" w:rsidRPr="00BD77D8" w:rsidRDefault="00B9311E" w:rsidP="00B9311E">
            <w:pPr>
              <w:spacing w:after="0" w:line="240" w:lineRule="auto"/>
              <w:jc w:val="center"/>
              <w:rPr>
                <w:b/>
                <w:bCs/>
                <w:sz w:val="18"/>
                <w:szCs w:val="18"/>
              </w:rPr>
            </w:pPr>
            <w:r w:rsidRPr="00BD77D8">
              <w:rPr>
                <w:b/>
                <w:bCs/>
                <w:sz w:val="18"/>
                <w:szCs w:val="18"/>
              </w:rPr>
              <w:t xml:space="preserve"> Note </w:t>
            </w:r>
          </w:p>
        </w:tc>
        <w:tc>
          <w:tcPr>
            <w:tcW w:w="1148" w:type="dxa"/>
            <w:tcBorders>
              <w:top w:val="nil"/>
              <w:left w:val="nil"/>
              <w:bottom w:val="single" w:sz="4" w:space="0" w:color="auto"/>
              <w:right w:val="nil"/>
            </w:tcBorders>
            <w:shd w:val="clear" w:color="auto" w:fill="auto"/>
            <w:noWrap/>
            <w:vAlign w:val="bottom"/>
            <w:hideMark/>
          </w:tcPr>
          <w:p w14:paraId="18F92635"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298" w:type="dxa"/>
            <w:tcBorders>
              <w:top w:val="nil"/>
              <w:left w:val="nil"/>
              <w:bottom w:val="single" w:sz="4" w:space="0" w:color="auto"/>
              <w:right w:val="nil"/>
            </w:tcBorders>
            <w:shd w:val="clear" w:color="auto" w:fill="auto"/>
            <w:noWrap/>
            <w:vAlign w:val="bottom"/>
            <w:hideMark/>
          </w:tcPr>
          <w:p w14:paraId="293B78BA"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013" w:type="dxa"/>
            <w:tcBorders>
              <w:top w:val="nil"/>
              <w:left w:val="nil"/>
              <w:bottom w:val="single" w:sz="4" w:space="0" w:color="auto"/>
              <w:right w:val="nil"/>
            </w:tcBorders>
            <w:shd w:val="clear" w:color="auto" w:fill="auto"/>
            <w:noWrap/>
            <w:vAlign w:val="bottom"/>
            <w:hideMark/>
          </w:tcPr>
          <w:p w14:paraId="69933742"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2D92D40F" w14:textId="77777777" w:rsidTr="003057FB">
        <w:trPr>
          <w:trHeight w:val="285"/>
        </w:trPr>
        <w:tc>
          <w:tcPr>
            <w:tcW w:w="5867" w:type="dxa"/>
            <w:tcBorders>
              <w:top w:val="nil"/>
              <w:left w:val="nil"/>
              <w:bottom w:val="nil"/>
              <w:right w:val="nil"/>
            </w:tcBorders>
            <w:shd w:val="clear" w:color="auto" w:fill="auto"/>
            <w:noWrap/>
            <w:vAlign w:val="bottom"/>
            <w:hideMark/>
          </w:tcPr>
          <w:p w14:paraId="71F2A179" w14:textId="77777777" w:rsidR="00B9311E" w:rsidRPr="00BD77D8" w:rsidRDefault="00B9311E" w:rsidP="00B9311E">
            <w:pPr>
              <w:spacing w:after="0" w:line="240" w:lineRule="auto"/>
              <w:rPr>
                <w:b/>
                <w:bCs/>
                <w:sz w:val="18"/>
                <w:szCs w:val="18"/>
              </w:rPr>
            </w:pPr>
            <w:r w:rsidRPr="00BD77D8">
              <w:rPr>
                <w:b/>
                <w:bCs/>
                <w:sz w:val="18"/>
                <w:szCs w:val="18"/>
              </w:rPr>
              <w:t xml:space="preserve"> Balance as at 1 July 2020 </w:t>
            </w:r>
          </w:p>
        </w:tc>
        <w:tc>
          <w:tcPr>
            <w:tcW w:w="995" w:type="dxa"/>
            <w:tcBorders>
              <w:top w:val="nil"/>
              <w:left w:val="nil"/>
              <w:bottom w:val="nil"/>
              <w:right w:val="nil"/>
            </w:tcBorders>
            <w:shd w:val="clear" w:color="auto" w:fill="auto"/>
            <w:noWrap/>
            <w:vAlign w:val="bottom"/>
            <w:hideMark/>
          </w:tcPr>
          <w:p w14:paraId="042983E4" w14:textId="77777777" w:rsidR="00B9311E" w:rsidRPr="00BD77D8" w:rsidRDefault="00B9311E" w:rsidP="00B9311E">
            <w:pPr>
              <w:spacing w:after="0" w:line="240" w:lineRule="auto"/>
              <w:rPr>
                <w:b/>
                <w:bCs/>
                <w:sz w:val="18"/>
                <w:szCs w:val="18"/>
              </w:rPr>
            </w:pPr>
          </w:p>
        </w:tc>
        <w:tc>
          <w:tcPr>
            <w:tcW w:w="1148" w:type="dxa"/>
            <w:tcBorders>
              <w:top w:val="nil"/>
              <w:left w:val="nil"/>
              <w:bottom w:val="single" w:sz="4" w:space="0" w:color="auto"/>
              <w:right w:val="nil"/>
            </w:tcBorders>
            <w:shd w:val="clear" w:color="auto" w:fill="auto"/>
            <w:vAlign w:val="bottom"/>
            <w:hideMark/>
          </w:tcPr>
          <w:p w14:paraId="47B568B7" w14:textId="77777777" w:rsidR="00B9311E" w:rsidRPr="00BD77D8" w:rsidRDefault="00B9311E" w:rsidP="00B9311E">
            <w:pPr>
              <w:spacing w:after="0" w:line="240" w:lineRule="auto"/>
              <w:jc w:val="right"/>
              <w:rPr>
                <w:b/>
                <w:bCs/>
                <w:sz w:val="18"/>
                <w:szCs w:val="18"/>
              </w:rPr>
            </w:pPr>
            <w:r w:rsidRPr="00BD77D8">
              <w:rPr>
                <w:b/>
                <w:bCs/>
                <w:sz w:val="18"/>
                <w:szCs w:val="18"/>
              </w:rPr>
              <w:t xml:space="preserve">       303,051 </w:t>
            </w:r>
          </w:p>
        </w:tc>
        <w:tc>
          <w:tcPr>
            <w:tcW w:w="1298" w:type="dxa"/>
            <w:tcBorders>
              <w:top w:val="nil"/>
              <w:left w:val="nil"/>
              <w:bottom w:val="single" w:sz="4" w:space="0" w:color="auto"/>
              <w:right w:val="nil"/>
            </w:tcBorders>
            <w:shd w:val="clear" w:color="auto" w:fill="auto"/>
            <w:vAlign w:val="bottom"/>
            <w:hideMark/>
          </w:tcPr>
          <w:p w14:paraId="157F18BD" w14:textId="77777777" w:rsidR="00B9311E" w:rsidRPr="00BD77D8" w:rsidRDefault="00B9311E" w:rsidP="00B9311E">
            <w:pPr>
              <w:spacing w:after="0" w:line="240" w:lineRule="auto"/>
              <w:jc w:val="right"/>
              <w:rPr>
                <w:b/>
                <w:bCs/>
                <w:sz w:val="18"/>
                <w:szCs w:val="18"/>
              </w:rPr>
            </w:pPr>
            <w:r w:rsidRPr="00BD77D8">
              <w:rPr>
                <w:b/>
                <w:bCs/>
                <w:sz w:val="18"/>
                <w:szCs w:val="18"/>
              </w:rPr>
              <w:t xml:space="preserve">             20,133 </w:t>
            </w:r>
          </w:p>
        </w:tc>
        <w:tc>
          <w:tcPr>
            <w:tcW w:w="1013" w:type="dxa"/>
            <w:tcBorders>
              <w:top w:val="nil"/>
              <w:left w:val="nil"/>
              <w:bottom w:val="single" w:sz="4" w:space="0" w:color="auto"/>
              <w:right w:val="nil"/>
            </w:tcBorders>
            <w:shd w:val="clear" w:color="auto" w:fill="auto"/>
            <w:vAlign w:val="bottom"/>
            <w:hideMark/>
          </w:tcPr>
          <w:p w14:paraId="47E4BF7C" w14:textId="77777777" w:rsidR="00B9311E" w:rsidRPr="00BD77D8" w:rsidRDefault="00B9311E" w:rsidP="00B9311E">
            <w:pPr>
              <w:spacing w:after="0" w:line="240" w:lineRule="auto"/>
              <w:jc w:val="right"/>
              <w:rPr>
                <w:b/>
                <w:bCs/>
                <w:sz w:val="18"/>
                <w:szCs w:val="18"/>
              </w:rPr>
            </w:pPr>
            <w:r w:rsidRPr="00BD77D8">
              <w:rPr>
                <w:b/>
                <w:bCs/>
                <w:sz w:val="18"/>
                <w:szCs w:val="18"/>
              </w:rPr>
              <w:t xml:space="preserve">   323,184 </w:t>
            </w:r>
          </w:p>
        </w:tc>
      </w:tr>
      <w:tr w:rsidR="00BD77D8" w:rsidRPr="00BD77D8" w14:paraId="50991C0A" w14:textId="77777777" w:rsidTr="003057FB">
        <w:trPr>
          <w:trHeight w:val="285"/>
        </w:trPr>
        <w:tc>
          <w:tcPr>
            <w:tcW w:w="5867" w:type="dxa"/>
            <w:tcBorders>
              <w:top w:val="nil"/>
              <w:left w:val="nil"/>
              <w:bottom w:val="nil"/>
              <w:right w:val="nil"/>
            </w:tcBorders>
            <w:shd w:val="clear" w:color="auto" w:fill="auto"/>
            <w:noWrap/>
            <w:vAlign w:val="bottom"/>
            <w:hideMark/>
          </w:tcPr>
          <w:p w14:paraId="74DE1F62" w14:textId="77777777" w:rsidR="00B9311E" w:rsidRPr="00BD77D8" w:rsidRDefault="00B9311E" w:rsidP="00B9311E">
            <w:pPr>
              <w:spacing w:after="0" w:line="240" w:lineRule="auto"/>
              <w:rPr>
                <w:b/>
                <w:bCs/>
                <w:sz w:val="18"/>
                <w:szCs w:val="18"/>
              </w:rPr>
            </w:pPr>
            <w:r w:rsidRPr="00BD77D8">
              <w:rPr>
                <w:b/>
                <w:bCs/>
                <w:sz w:val="18"/>
                <w:szCs w:val="18"/>
              </w:rPr>
              <w:t xml:space="preserve"> Operating Result </w:t>
            </w:r>
          </w:p>
        </w:tc>
        <w:tc>
          <w:tcPr>
            <w:tcW w:w="995" w:type="dxa"/>
            <w:tcBorders>
              <w:top w:val="nil"/>
              <w:left w:val="nil"/>
              <w:bottom w:val="nil"/>
              <w:right w:val="nil"/>
            </w:tcBorders>
            <w:shd w:val="clear" w:color="auto" w:fill="auto"/>
            <w:noWrap/>
            <w:vAlign w:val="bottom"/>
            <w:hideMark/>
          </w:tcPr>
          <w:p w14:paraId="0866EDF0" w14:textId="77777777" w:rsidR="00B9311E" w:rsidRPr="00BD77D8" w:rsidRDefault="00B9311E" w:rsidP="00B9311E">
            <w:pPr>
              <w:spacing w:after="0" w:line="240" w:lineRule="auto"/>
              <w:rPr>
                <w:b/>
                <w:bCs/>
                <w:sz w:val="18"/>
                <w:szCs w:val="18"/>
              </w:rPr>
            </w:pPr>
          </w:p>
        </w:tc>
        <w:tc>
          <w:tcPr>
            <w:tcW w:w="1148" w:type="dxa"/>
            <w:tcBorders>
              <w:top w:val="nil"/>
              <w:left w:val="nil"/>
              <w:bottom w:val="nil"/>
              <w:right w:val="nil"/>
            </w:tcBorders>
            <w:shd w:val="clear" w:color="auto" w:fill="auto"/>
            <w:vAlign w:val="bottom"/>
            <w:hideMark/>
          </w:tcPr>
          <w:p w14:paraId="6FC2C310"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8" w:type="dxa"/>
            <w:tcBorders>
              <w:top w:val="nil"/>
              <w:left w:val="nil"/>
              <w:bottom w:val="nil"/>
              <w:right w:val="nil"/>
            </w:tcBorders>
            <w:shd w:val="clear" w:color="auto" w:fill="auto"/>
            <w:vAlign w:val="bottom"/>
            <w:hideMark/>
          </w:tcPr>
          <w:p w14:paraId="1DC22377"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013" w:type="dxa"/>
            <w:tcBorders>
              <w:top w:val="nil"/>
              <w:left w:val="nil"/>
              <w:bottom w:val="nil"/>
              <w:right w:val="nil"/>
            </w:tcBorders>
            <w:shd w:val="clear" w:color="auto" w:fill="auto"/>
            <w:vAlign w:val="bottom"/>
            <w:hideMark/>
          </w:tcPr>
          <w:p w14:paraId="3BD76060"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5D73C4BA" w14:textId="77777777" w:rsidTr="003057FB">
        <w:trPr>
          <w:trHeight w:val="285"/>
        </w:trPr>
        <w:tc>
          <w:tcPr>
            <w:tcW w:w="5867" w:type="dxa"/>
            <w:tcBorders>
              <w:top w:val="nil"/>
              <w:left w:val="nil"/>
              <w:bottom w:val="nil"/>
              <w:right w:val="nil"/>
            </w:tcBorders>
            <w:shd w:val="clear" w:color="auto" w:fill="auto"/>
            <w:noWrap/>
            <w:vAlign w:val="bottom"/>
            <w:hideMark/>
          </w:tcPr>
          <w:p w14:paraId="1CD58B52" w14:textId="77777777" w:rsidR="00B9311E" w:rsidRPr="00BD77D8" w:rsidRDefault="00B9311E" w:rsidP="00B9311E">
            <w:pPr>
              <w:spacing w:after="0" w:line="240" w:lineRule="auto"/>
              <w:rPr>
                <w:sz w:val="18"/>
                <w:szCs w:val="18"/>
              </w:rPr>
            </w:pPr>
            <w:r w:rsidRPr="00BD77D8">
              <w:rPr>
                <w:sz w:val="18"/>
                <w:szCs w:val="18"/>
              </w:rPr>
              <w:t xml:space="preserve"> Operating result from continuing operations </w:t>
            </w:r>
          </w:p>
        </w:tc>
        <w:tc>
          <w:tcPr>
            <w:tcW w:w="995" w:type="dxa"/>
            <w:tcBorders>
              <w:top w:val="nil"/>
              <w:left w:val="nil"/>
              <w:bottom w:val="nil"/>
              <w:right w:val="nil"/>
            </w:tcBorders>
            <w:shd w:val="clear" w:color="auto" w:fill="auto"/>
            <w:noWrap/>
            <w:vAlign w:val="bottom"/>
            <w:hideMark/>
          </w:tcPr>
          <w:p w14:paraId="474E7A8B" w14:textId="77777777" w:rsidR="00B9311E" w:rsidRPr="00BD77D8" w:rsidRDefault="00B9311E" w:rsidP="00B9311E">
            <w:pPr>
              <w:spacing w:after="0" w:line="240" w:lineRule="auto"/>
              <w:rPr>
                <w:sz w:val="18"/>
                <w:szCs w:val="18"/>
              </w:rPr>
            </w:pPr>
          </w:p>
        </w:tc>
        <w:tc>
          <w:tcPr>
            <w:tcW w:w="1148" w:type="dxa"/>
            <w:tcBorders>
              <w:top w:val="nil"/>
              <w:left w:val="nil"/>
              <w:bottom w:val="nil"/>
              <w:right w:val="nil"/>
            </w:tcBorders>
            <w:shd w:val="clear" w:color="auto" w:fill="auto"/>
            <w:vAlign w:val="bottom"/>
            <w:hideMark/>
          </w:tcPr>
          <w:p w14:paraId="28BFF15A"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298" w:type="dxa"/>
            <w:tcBorders>
              <w:top w:val="nil"/>
              <w:left w:val="nil"/>
              <w:bottom w:val="nil"/>
              <w:right w:val="nil"/>
            </w:tcBorders>
            <w:shd w:val="clear" w:color="auto" w:fill="auto"/>
            <w:vAlign w:val="bottom"/>
            <w:hideMark/>
          </w:tcPr>
          <w:p w14:paraId="669ACEC7" w14:textId="77777777" w:rsidR="00B9311E" w:rsidRPr="00BD77D8" w:rsidRDefault="00B9311E" w:rsidP="00B9311E">
            <w:pPr>
              <w:spacing w:after="0" w:line="240" w:lineRule="auto"/>
              <w:jc w:val="right"/>
              <w:rPr>
                <w:sz w:val="18"/>
                <w:szCs w:val="18"/>
              </w:rPr>
            </w:pPr>
            <w:r w:rsidRPr="00BD77D8">
              <w:rPr>
                <w:sz w:val="18"/>
                <w:szCs w:val="18"/>
              </w:rPr>
              <w:t xml:space="preserve">               2,783 </w:t>
            </w:r>
          </w:p>
        </w:tc>
        <w:tc>
          <w:tcPr>
            <w:tcW w:w="1013" w:type="dxa"/>
            <w:tcBorders>
              <w:top w:val="nil"/>
              <w:left w:val="nil"/>
              <w:bottom w:val="nil"/>
              <w:right w:val="nil"/>
            </w:tcBorders>
            <w:shd w:val="clear" w:color="auto" w:fill="auto"/>
            <w:vAlign w:val="bottom"/>
            <w:hideMark/>
          </w:tcPr>
          <w:p w14:paraId="5BFB9443" w14:textId="77777777" w:rsidR="00B9311E" w:rsidRPr="00BD77D8" w:rsidRDefault="00B9311E" w:rsidP="00B9311E">
            <w:pPr>
              <w:spacing w:after="0" w:line="240" w:lineRule="auto"/>
              <w:jc w:val="right"/>
              <w:rPr>
                <w:sz w:val="18"/>
                <w:szCs w:val="18"/>
              </w:rPr>
            </w:pPr>
            <w:r w:rsidRPr="00BD77D8">
              <w:rPr>
                <w:sz w:val="18"/>
                <w:szCs w:val="18"/>
              </w:rPr>
              <w:t xml:space="preserve">        2,783 </w:t>
            </w:r>
          </w:p>
        </w:tc>
      </w:tr>
      <w:tr w:rsidR="00BD77D8" w:rsidRPr="00BD77D8" w14:paraId="7A8BCF95" w14:textId="77777777" w:rsidTr="003057FB">
        <w:trPr>
          <w:trHeight w:val="285"/>
        </w:trPr>
        <w:tc>
          <w:tcPr>
            <w:tcW w:w="5867" w:type="dxa"/>
            <w:tcBorders>
              <w:top w:val="nil"/>
              <w:left w:val="nil"/>
              <w:bottom w:val="nil"/>
              <w:right w:val="nil"/>
            </w:tcBorders>
            <w:shd w:val="clear" w:color="auto" w:fill="auto"/>
            <w:noWrap/>
            <w:vAlign w:val="bottom"/>
            <w:hideMark/>
          </w:tcPr>
          <w:p w14:paraId="3D4EED1C" w14:textId="77777777" w:rsidR="00B9311E" w:rsidRPr="00BD77D8" w:rsidRDefault="00B9311E" w:rsidP="00B9311E">
            <w:pPr>
              <w:spacing w:after="0" w:line="240" w:lineRule="auto"/>
              <w:rPr>
                <w:b/>
                <w:bCs/>
                <w:sz w:val="18"/>
                <w:szCs w:val="18"/>
              </w:rPr>
            </w:pPr>
            <w:r w:rsidRPr="00BD77D8">
              <w:rPr>
                <w:b/>
                <w:bCs/>
                <w:sz w:val="18"/>
                <w:szCs w:val="18"/>
              </w:rPr>
              <w:t xml:space="preserve"> Total Comprehensive Income for the Year </w:t>
            </w:r>
          </w:p>
        </w:tc>
        <w:tc>
          <w:tcPr>
            <w:tcW w:w="995" w:type="dxa"/>
            <w:tcBorders>
              <w:top w:val="nil"/>
              <w:left w:val="nil"/>
              <w:bottom w:val="nil"/>
              <w:right w:val="nil"/>
            </w:tcBorders>
            <w:shd w:val="clear" w:color="auto" w:fill="auto"/>
            <w:noWrap/>
            <w:vAlign w:val="bottom"/>
            <w:hideMark/>
          </w:tcPr>
          <w:p w14:paraId="17EB2756" w14:textId="77777777" w:rsidR="00B9311E" w:rsidRPr="00BD77D8" w:rsidRDefault="00B9311E" w:rsidP="00B9311E">
            <w:pPr>
              <w:spacing w:after="0" w:line="240" w:lineRule="auto"/>
              <w:rPr>
                <w:b/>
                <w:bCs/>
                <w:sz w:val="18"/>
                <w:szCs w:val="18"/>
              </w:rPr>
            </w:pPr>
          </w:p>
        </w:tc>
        <w:tc>
          <w:tcPr>
            <w:tcW w:w="1148" w:type="dxa"/>
            <w:tcBorders>
              <w:top w:val="single" w:sz="4" w:space="0" w:color="auto"/>
              <w:left w:val="nil"/>
              <w:bottom w:val="single" w:sz="4" w:space="0" w:color="auto"/>
              <w:right w:val="nil"/>
            </w:tcBorders>
            <w:shd w:val="clear" w:color="auto" w:fill="auto"/>
            <w:vAlign w:val="bottom"/>
            <w:hideMark/>
          </w:tcPr>
          <w:p w14:paraId="3350D1C1"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298" w:type="dxa"/>
            <w:tcBorders>
              <w:top w:val="single" w:sz="4" w:space="0" w:color="auto"/>
              <w:left w:val="nil"/>
              <w:bottom w:val="single" w:sz="4" w:space="0" w:color="auto"/>
              <w:right w:val="nil"/>
            </w:tcBorders>
            <w:shd w:val="clear" w:color="auto" w:fill="auto"/>
            <w:vAlign w:val="bottom"/>
            <w:hideMark/>
          </w:tcPr>
          <w:p w14:paraId="3E8BA5D7" w14:textId="77777777" w:rsidR="00B9311E" w:rsidRPr="00BD77D8" w:rsidRDefault="00B9311E" w:rsidP="00B9311E">
            <w:pPr>
              <w:spacing w:after="0" w:line="240" w:lineRule="auto"/>
              <w:jc w:val="right"/>
              <w:rPr>
                <w:b/>
                <w:bCs/>
                <w:sz w:val="18"/>
                <w:szCs w:val="18"/>
              </w:rPr>
            </w:pPr>
            <w:r w:rsidRPr="00BD77D8">
              <w:rPr>
                <w:b/>
                <w:bCs/>
                <w:sz w:val="18"/>
                <w:szCs w:val="18"/>
              </w:rPr>
              <w:t xml:space="preserve">               2,783 </w:t>
            </w:r>
          </w:p>
        </w:tc>
        <w:tc>
          <w:tcPr>
            <w:tcW w:w="1013" w:type="dxa"/>
            <w:tcBorders>
              <w:top w:val="single" w:sz="4" w:space="0" w:color="auto"/>
              <w:left w:val="nil"/>
              <w:bottom w:val="single" w:sz="4" w:space="0" w:color="auto"/>
              <w:right w:val="nil"/>
            </w:tcBorders>
            <w:shd w:val="clear" w:color="auto" w:fill="auto"/>
            <w:vAlign w:val="bottom"/>
            <w:hideMark/>
          </w:tcPr>
          <w:p w14:paraId="0E6602F3" w14:textId="77777777" w:rsidR="00B9311E" w:rsidRPr="00BD77D8" w:rsidRDefault="00B9311E" w:rsidP="00B9311E">
            <w:pPr>
              <w:spacing w:after="0" w:line="240" w:lineRule="auto"/>
              <w:jc w:val="right"/>
              <w:rPr>
                <w:b/>
                <w:bCs/>
                <w:sz w:val="18"/>
                <w:szCs w:val="18"/>
              </w:rPr>
            </w:pPr>
            <w:r w:rsidRPr="00BD77D8">
              <w:rPr>
                <w:b/>
                <w:bCs/>
                <w:sz w:val="18"/>
                <w:szCs w:val="18"/>
              </w:rPr>
              <w:t xml:space="preserve">        2,783 </w:t>
            </w:r>
          </w:p>
        </w:tc>
      </w:tr>
      <w:tr w:rsidR="00BD77D8" w:rsidRPr="00BD77D8" w14:paraId="44DAD092" w14:textId="77777777" w:rsidTr="003057FB">
        <w:trPr>
          <w:trHeight w:val="285"/>
        </w:trPr>
        <w:tc>
          <w:tcPr>
            <w:tcW w:w="5867" w:type="dxa"/>
            <w:tcBorders>
              <w:top w:val="nil"/>
              <w:left w:val="nil"/>
              <w:bottom w:val="nil"/>
              <w:right w:val="nil"/>
            </w:tcBorders>
            <w:shd w:val="clear" w:color="auto" w:fill="auto"/>
            <w:noWrap/>
            <w:vAlign w:val="bottom"/>
            <w:hideMark/>
          </w:tcPr>
          <w:p w14:paraId="60A786E1" w14:textId="77777777" w:rsidR="00B9311E" w:rsidRPr="00BD77D8" w:rsidRDefault="00B9311E" w:rsidP="00B9311E">
            <w:pPr>
              <w:spacing w:after="0" w:line="240" w:lineRule="auto"/>
              <w:rPr>
                <w:b/>
                <w:bCs/>
                <w:sz w:val="18"/>
                <w:szCs w:val="18"/>
              </w:rPr>
            </w:pPr>
            <w:r w:rsidRPr="00BD77D8">
              <w:rPr>
                <w:b/>
                <w:bCs/>
                <w:sz w:val="18"/>
                <w:szCs w:val="18"/>
              </w:rPr>
              <w:t xml:space="preserve"> Transactions with Owners as Owners </w:t>
            </w:r>
          </w:p>
        </w:tc>
        <w:tc>
          <w:tcPr>
            <w:tcW w:w="995" w:type="dxa"/>
            <w:tcBorders>
              <w:top w:val="nil"/>
              <w:left w:val="nil"/>
              <w:bottom w:val="nil"/>
              <w:right w:val="nil"/>
            </w:tcBorders>
            <w:shd w:val="clear" w:color="auto" w:fill="auto"/>
            <w:noWrap/>
            <w:vAlign w:val="bottom"/>
            <w:hideMark/>
          </w:tcPr>
          <w:p w14:paraId="15EE5A68" w14:textId="77777777" w:rsidR="00B9311E" w:rsidRPr="00BD77D8" w:rsidRDefault="00B9311E" w:rsidP="00B9311E">
            <w:pPr>
              <w:spacing w:after="0" w:line="240" w:lineRule="auto"/>
              <w:rPr>
                <w:b/>
                <w:bCs/>
                <w:sz w:val="18"/>
                <w:szCs w:val="18"/>
              </w:rPr>
            </w:pPr>
          </w:p>
        </w:tc>
        <w:tc>
          <w:tcPr>
            <w:tcW w:w="1148" w:type="dxa"/>
            <w:tcBorders>
              <w:top w:val="nil"/>
              <w:left w:val="nil"/>
              <w:bottom w:val="nil"/>
              <w:right w:val="nil"/>
            </w:tcBorders>
            <w:shd w:val="clear" w:color="auto" w:fill="auto"/>
            <w:vAlign w:val="bottom"/>
            <w:hideMark/>
          </w:tcPr>
          <w:p w14:paraId="740EF423"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8" w:type="dxa"/>
            <w:tcBorders>
              <w:top w:val="nil"/>
              <w:left w:val="nil"/>
              <w:bottom w:val="nil"/>
              <w:right w:val="nil"/>
            </w:tcBorders>
            <w:shd w:val="clear" w:color="auto" w:fill="auto"/>
            <w:vAlign w:val="bottom"/>
            <w:hideMark/>
          </w:tcPr>
          <w:p w14:paraId="7CB8D0EE"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013" w:type="dxa"/>
            <w:tcBorders>
              <w:top w:val="nil"/>
              <w:left w:val="nil"/>
              <w:bottom w:val="nil"/>
              <w:right w:val="nil"/>
            </w:tcBorders>
            <w:shd w:val="clear" w:color="auto" w:fill="auto"/>
            <w:vAlign w:val="bottom"/>
            <w:hideMark/>
          </w:tcPr>
          <w:p w14:paraId="59344228"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2587BFD1" w14:textId="77777777" w:rsidTr="003057FB">
        <w:trPr>
          <w:trHeight w:val="285"/>
        </w:trPr>
        <w:tc>
          <w:tcPr>
            <w:tcW w:w="5867" w:type="dxa"/>
            <w:tcBorders>
              <w:top w:val="nil"/>
              <w:left w:val="nil"/>
              <w:bottom w:val="nil"/>
              <w:right w:val="nil"/>
            </w:tcBorders>
            <w:shd w:val="clear" w:color="auto" w:fill="auto"/>
            <w:noWrap/>
            <w:vAlign w:val="bottom"/>
            <w:hideMark/>
          </w:tcPr>
          <w:p w14:paraId="19805B4A"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Net equity adjustments </w:t>
            </w:r>
          </w:p>
        </w:tc>
        <w:tc>
          <w:tcPr>
            <w:tcW w:w="995" w:type="dxa"/>
            <w:tcBorders>
              <w:top w:val="nil"/>
              <w:left w:val="nil"/>
              <w:bottom w:val="nil"/>
              <w:right w:val="nil"/>
            </w:tcBorders>
            <w:shd w:val="clear" w:color="auto" w:fill="auto"/>
            <w:noWrap/>
            <w:vAlign w:val="bottom"/>
            <w:hideMark/>
          </w:tcPr>
          <w:p w14:paraId="6C3AEF16" w14:textId="77777777" w:rsidR="00B9311E" w:rsidRPr="00BD77D8" w:rsidRDefault="00B9311E" w:rsidP="00B9311E">
            <w:pPr>
              <w:spacing w:after="0" w:line="240" w:lineRule="auto"/>
              <w:jc w:val="center"/>
              <w:rPr>
                <w:b/>
                <w:bCs/>
                <w:sz w:val="18"/>
                <w:szCs w:val="18"/>
              </w:rPr>
            </w:pPr>
            <w:r w:rsidRPr="00BD77D8">
              <w:rPr>
                <w:b/>
                <w:bCs/>
                <w:sz w:val="18"/>
                <w:szCs w:val="18"/>
              </w:rPr>
              <w:t xml:space="preserve"> C8 </w:t>
            </w:r>
          </w:p>
        </w:tc>
        <w:tc>
          <w:tcPr>
            <w:tcW w:w="1148" w:type="dxa"/>
            <w:tcBorders>
              <w:top w:val="nil"/>
              <w:left w:val="nil"/>
              <w:bottom w:val="nil"/>
              <w:right w:val="nil"/>
            </w:tcBorders>
            <w:shd w:val="clear" w:color="auto" w:fill="auto"/>
            <w:vAlign w:val="bottom"/>
            <w:hideMark/>
          </w:tcPr>
          <w:p w14:paraId="2BF30A97" w14:textId="77777777" w:rsidR="00B9311E" w:rsidRPr="00BD77D8" w:rsidRDefault="00B9311E" w:rsidP="00B9311E">
            <w:pPr>
              <w:spacing w:after="0" w:line="240" w:lineRule="auto"/>
              <w:jc w:val="right"/>
              <w:rPr>
                <w:sz w:val="18"/>
                <w:szCs w:val="18"/>
              </w:rPr>
            </w:pPr>
            <w:r w:rsidRPr="00BD77D8">
              <w:rPr>
                <w:sz w:val="18"/>
                <w:szCs w:val="18"/>
              </w:rPr>
              <w:t xml:space="preserve">            4,501 </w:t>
            </w:r>
          </w:p>
        </w:tc>
        <w:tc>
          <w:tcPr>
            <w:tcW w:w="1298" w:type="dxa"/>
            <w:tcBorders>
              <w:top w:val="nil"/>
              <w:left w:val="nil"/>
              <w:bottom w:val="nil"/>
              <w:right w:val="nil"/>
            </w:tcBorders>
            <w:shd w:val="clear" w:color="auto" w:fill="auto"/>
            <w:vAlign w:val="bottom"/>
            <w:hideMark/>
          </w:tcPr>
          <w:p w14:paraId="25EA1667"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013" w:type="dxa"/>
            <w:tcBorders>
              <w:top w:val="nil"/>
              <w:left w:val="nil"/>
              <w:bottom w:val="nil"/>
              <w:right w:val="nil"/>
            </w:tcBorders>
            <w:shd w:val="clear" w:color="auto" w:fill="auto"/>
            <w:vAlign w:val="bottom"/>
            <w:hideMark/>
          </w:tcPr>
          <w:p w14:paraId="206A3534" w14:textId="77777777" w:rsidR="00B9311E" w:rsidRPr="00BD77D8" w:rsidRDefault="00B9311E" w:rsidP="00B9311E">
            <w:pPr>
              <w:spacing w:after="0" w:line="240" w:lineRule="auto"/>
              <w:jc w:val="right"/>
              <w:rPr>
                <w:sz w:val="18"/>
                <w:szCs w:val="18"/>
              </w:rPr>
            </w:pPr>
            <w:r w:rsidRPr="00BD77D8">
              <w:rPr>
                <w:sz w:val="18"/>
                <w:szCs w:val="18"/>
              </w:rPr>
              <w:t xml:space="preserve">        4,501 </w:t>
            </w:r>
          </w:p>
        </w:tc>
      </w:tr>
      <w:tr w:rsidR="00BD77D8" w:rsidRPr="00BD77D8" w14:paraId="57E3995A" w14:textId="77777777" w:rsidTr="003057FB">
        <w:trPr>
          <w:trHeight w:val="285"/>
        </w:trPr>
        <w:tc>
          <w:tcPr>
            <w:tcW w:w="5867" w:type="dxa"/>
            <w:tcBorders>
              <w:top w:val="nil"/>
              <w:left w:val="nil"/>
              <w:bottom w:val="nil"/>
              <w:right w:val="nil"/>
            </w:tcBorders>
            <w:shd w:val="clear" w:color="auto" w:fill="auto"/>
            <w:noWrap/>
            <w:vAlign w:val="bottom"/>
            <w:hideMark/>
          </w:tcPr>
          <w:p w14:paraId="63D68A0B"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Net transfers in/(out) - Queensland Government entities - </w:t>
            </w:r>
            <w:proofErr w:type="spellStart"/>
            <w:r w:rsidRPr="00BD77D8">
              <w:rPr>
                <w:sz w:val="18"/>
                <w:szCs w:val="18"/>
              </w:rPr>
              <w:t>MoG</w:t>
            </w:r>
            <w:proofErr w:type="spellEnd"/>
            <w:r w:rsidRPr="00BD77D8">
              <w:rPr>
                <w:sz w:val="18"/>
                <w:szCs w:val="18"/>
              </w:rPr>
              <w:t xml:space="preserve"> </w:t>
            </w:r>
          </w:p>
        </w:tc>
        <w:tc>
          <w:tcPr>
            <w:tcW w:w="995" w:type="dxa"/>
            <w:tcBorders>
              <w:top w:val="nil"/>
              <w:left w:val="nil"/>
              <w:bottom w:val="nil"/>
              <w:right w:val="nil"/>
            </w:tcBorders>
            <w:shd w:val="clear" w:color="auto" w:fill="auto"/>
            <w:noWrap/>
            <w:vAlign w:val="bottom"/>
            <w:hideMark/>
          </w:tcPr>
          <w:p w14:paraId="387AAF06" w14:textId="77777777" w:rsidR="00B9311E" w:rsidRPr="00BD77D8" w:rsidRDefault="00B9311E" w:rsidP="00B9311E">
            <w:pPr>
              <w:spacing w:after="0" w:line="240" w:lineRule="auto"/>
              <w:ind w:firstLineChars="100" w:firstLine="181"/>
              <w:rPr>
                <w:b/>
                <w:bCs/>
                <w:sz w:val="18"/>
                <w:szCs w:val="18"/>
              </w:rPr>
            </w:pPr>
          </w:p>
        </w:tc>
        <w:tc>
          <w:tcPr>
            <w:tcW w:w="1148" w:type="dxa"/>
            <w:tcBorders>
              <w:top w:val="nil"/>
              <w:left w:val="nil"/>
              <w:bottom w:val="nil"/>
              <w:right w:val="nil"/>
            </w:tcBorders>
            <w:shd w:val="clear" w:color="auto" w:fill="auto"/>
            <w:vAlign w:val="bottom"/>
            <w:hideMark/>
          </w:tcPr>
          <w:p w14:paraId="559949A7" w14:textId="77777777" w:rsidR="00B9311E" w:rsidRPr="00BD77D8" w:rsidRDefault="00B9311E" w:rsidP="00B9311E">
            <w:pPr>
              <w:spacing w:after="0" w:line="240" w:lineRule="auto"/>
              <w:jc w:val="right"/>
              <w:rPr>
                <w:sz w:val="18"/>
                <w:szCs w:val="18"/>
              </w:rPr>
            </w:pPr>
            <w:r w:rsidRPr="00BD77D8">
              <w:rPr>
                <w:sz w:val="18"/>
                <w:szCs w:val="18"/>
              </w:rPr>
              <w:t xml:space="preserve">      (133,472)</w:t>
            </w:r>
          </w:p>
        </w:tc>
        <w:tc>
          <w:tcPr>
            <w:tcW w:w="1298" w:type="dxa"/>
            <w:tcBorders>
              <w:top w:val="nil"/>
              <w:left w:val="nil"/>
              <w:bottom w:val="nil"/>
              <w:right w:val="nil"/>
            </w:tcBorders>
            <w:shd w:val="clear" w:color="auto" w:fill="auto"/>
            <w:vAlign w:val="bottom"/>
            <w:hideMark/>
          </w:tcPr>
          <w:p w14:paraId="74AB68A7" w14:textId="77777777" w:rsidR="00B9311E" w:rsidRPr="00BD77D8" w:rsidRDefault="00B9311E" w:rsidP="00B9311E">
            <w:pPr>
              <w:spacing w:after="0" w:line="240" w:lineRule="auto"/>
              <w:jc w:val="right"/>
              <w:rPr>
                <w:sz w:val="18"/>
                <w:szCs w:val="18"/>
              </w:rPr>
            </w:pPr>
            <w:r w:rsidRPr="00BD77D8">
              <w:rPr>
                <w:sz w:val="18"/>
                <w:szCs w:val="18"/>
              </w:rPr>
              <w:t xml:space="preserve">                  105 </w:t>
            </w:r>
          </w:p>
        </w:tc>
        <w:tc>
          <w:tcPr>
            <w:tcW w:w="1013" w:type="dxa"/>
            <w:tcBorders>
              <w:top w:val="nil"/>
              <w:left w:val="nil"/>
              <w:bottom w:val="nil"/>
              <w:right w:val="nil"/>
            </w:tcBorders>
            <w:shd w:val="clear" w:color="auto" w:fill="auto"/>
            <w:vAlign w:val="bottom"/>
            <w:hideMark/>
          </w:tcPr>
          <w:p w14:paraId="6EDAB877" w14:textId="77777777" w:rsidR="00B9311E" w:rsidRPr="00BD77D8" w:rsidRDefault="00B9311E" w:rsidP="00B9311E">
            <w:pPr>
              <w:spacing w:after="0" w:line="240" w:lineRule="auto"/>
              <w:jc w:val="right"/>
              <w:rPr>
                <w:sz w:val="18"/>
                <w:szCs w:val="18"/>
              </w:rPr>
            </w:pPr>
            <w:r w:rsidRPr="00BD77D8">
              <w:rPr>
                <w:sz w:val="18"/>
                <w:szCs w:val="18"/>
              </w:rPr>
              <w:t xml:space="preserve">  (133,367)</w:t>
            </w:r>
          </w:p>
        </w:tc>
      </w:tr>
      <w:tr w:rsidR="00BD77D8" w:rsidRPr="00BD77D8" w14:paraId="3B514199" w14:textId="77777777" w:rsidTr="003057FB">
        <w:trPr>
          <w:trHeight w:val="285"/>
        </w:trPr>
        <w:tc>
          <w:tcPr>
            <w:tcW w:w="5867" w:type="dxa"/>
            <w:tcBorders>
              <w:top w:val="nil"/>
              <w:left w:val="nil"/>
              <w:bottom w:val="nil"/>
              <w:right w:val="nil"/>
            </w:tcBorders>
            <w:shd w:val="clear" w:color="auto" w:fill="auto"/>
            <w:noWrap/>
            <w:vAlign w:val="bottom"/>
            <w:hideMark/>
          </w:tcPr>
          <w:p w14:paraId="517EEFBB" w14:textId="77777777" w:rsidR="00B9311E" w:rsidRPr="00BD77D8" w:rsidRDefault="00B9311E" w:rsidP="00B9311E">
            <w:pPr>
              <w:spacing w:after="0" w:line="240" w:lineRule="auto"/>
              <w:rPr>
                <w:b/>
                <w:bCs/>
                <w:sz w:val="18"/>
                <w:szCs w:val="18"/>
              </w:rPr>
            </w:pPr>
            <w:r w:rsidRPr="00BD77D8">
              <w:rPr>
                <w:b/>
                <w:bCs/>
                <w:sz w:val="18"/>
                <w:szCs w:val="18"/>
              </w:rPr>
              <w:t xml:space="preserve"> Net Transactions with Owners as Owners </w:t>
            </w:r>
          </w:p>
        </w:tc>
        <w:tc>
          <w:tcPr>
            <w:tcW w:w="995" w:type="dxa"/>
            <w:tcBorders>
              <w:top w:val="nil"/>
              <w:left w:val="nil"/>
              <w:bottom w:val="nil"/>
              <w:right w:val="nil"/>
            </w:tcBorders>
            <w:shd w:val="clear" w:color="auto" w:fill="auto"/>
            <w:noWrap/>
            <w:vAlign w:val="bottom"/>
            <w:hideMark/>
          </w:tcPr>
          <w:p w14:paraId="0DBFB134" w14:textId="77777777" w:rsidR="00B9311E" w:rsidRPr="00BD77D8" w:rsidRDefault="00B9311E" w:rsidP="00B9311E">
            <w:pPr>
              <w:spacing w:after="0" w:line="240" w:lineRule="auto"/>
              <w:rPr>
                <w:b/>
                <w:bCs/>
                <w:sz w:val="18"/>
                <w:szCs w:val="18"/>
              </w:rPr>
            </w:pPr>
          </w:p>
        </w:tc>
        <w:tc>
          <w:tcPr>
            <w:tcW w:w="1148" w:type="dxa"/>
            <w:tcBorders>
              <w:top w:val="single" w:sz="4" w:space="0" w:color="auto"/>
              <w:left w:val="nil"/>
              <w:bottom w:val="single" w:sz="4" w:space="0" w:color="auto"/>
              <w:right w:val="nil"/>
            </w:tcBorders>
            <w:shd w:val="clear" w:color="auto" w:fill="auto"/>
            <w:vAlign w:val="bottom"/>
            <w:hideMark/>
          </w:tcPr>
          <w:p w14:paraId="0DFDCA52" w14:textId="77777777" w:rsidR="00B9311E" w:rsidRPr="00BD77D8" w:rsidRDefault="00B9311E" w:rsidP="00B9311E">
            <w:pPr>
              <w:spacing w:after="0" w:line="240" w:lineRule="auto"/>
              <w:jc w:val="right"/>
              <w:rPr>
                <w:b/>
                <w:bCs/>
                <w:sz w:val="18"/>
                <w:szCs w:val="18"/>
              </w:rPr>
            </w:pPr>
            <w:r w:rsidRPr="00BD77D8">
              <w:rPr>
                <w:b/>
                <w:bCs/>
                <w:sz w:val="18"/>
                <w:szCs w:val="18"/>
              </w:rPr>
              <w:t xml:space="preserve">      (128,971)</w:t>
            </w:r>
          </w:p>
        </w:tc>
        <w:tc>
          <w:tcPr>
            <w:tcW w:w="1298" w:type="dxa"/>
            <w:tcBorders>
              <w:top w:val="single" w:sz="4" w:space="0" w:color="auto"/>
              <w:left w:val="nil"/>
              <w:bottom w:val="single" w:sz="4" w:space="0" w:color="auto"/>
              <w:right w:val="nil"/>
            </w:tcBorders>
            <w:shd w:val="clear" w:color="auto" w:fill="auto"/>
            <w:vAlign w:val="bottom"/>
            <w:hideMark/>
          </w:tcPr>
          <w:p w14:paraId="5C4768A1" w14:textId="77777777" w:rsidR="00B9311E" w:rsidRPr="00BD77D8" w:rsidRDefault="00B9311E" w:rsidP="00B9311E">
            <w:pPr>
              <w:spacing w:after="0" w:line="240" w:lineRule="auto"/>
              <w:jc w:val="right"/>
              <w:rPr>
                <w:b/>
                <w:bCs/>
                <w:sz w:val="18"/>
                <w:szCs w:val="18"/>
              </w:rPr>
            </w:pPr>
            <w:r w:rsidRPr="00BD77D8">
              <w:rPr>
                <w:b/>
                <w:bCs/>
                <w:sz w:val="18"/>
                <w:szCs w:val="18"/>
              </w:rPr>
              <w:t xml:space="preserve">                  105 </w:t>
            </w:r>
          </w:p>
        </w:tc>
        <w:tc>
          <w:tcPr>
            <w:tcW w:w="1013" w:type="dxa"/>
            <w:tcBorders>
              <w:top w:val="single" w:sz="4" w:space="0" w:color="auto"/>
              <w:left w:val="nil"/>
              <w:bottom w:val="single" w:sz="4" w:space="0" w:color="auto"/>
              <w:right w:val="nil"/>
            </w:tcBorders>
            <w:shd w:val="clear" w:color="auto" w:fill="auto"/>
            <w:vAlign w:val="bottom"/>
            <w:hideMark/>
          </w:tcPr>
          <w:p w14:paraId="3A85D536" w14:textId="77777777" w:rsidR="00B9311E" w:rsidRPr="00BD77D8" w:rsidRDefault="00B9311E" w:rsidP="00B9311E">
            <w:pPr>
              <w:spacing w:after="0" w:line="240" w:lineRule="auto"/>
              <w:jc w:val="right"/>
              <w:rPr>
                <w:b/>
                <w:bCs/>
                <w:sz w:val="18"/>
                <w:szCs w:val="18"/>
              </w:rPr>
            </w:pPr>
            <w:r w:rsidRPr="00BD77D8">
              <w:rPr>
                <w:b/>
                <w:bCs/>
                <w:sz w:val="18"/>
                <w:szCs w:val="18"/>
              </w:rPr>
              <w:t xml:space="preserve">  (128,866)</w:t>
            </w:r>
          </w:p>
        </w:tc>
      </w:tr>
      <w:tr w:rsidR="00BD77D8" w:rsidRPr="00BD77D8" w14:paraId="6F4F42FE" w14:textId="77777777" w:rsidTr="003057FB">
        <w:trPr>
          <w:trHeight w:val="300"/>
        </w:trPr>
        <w:tc>
          <w:tcPr>
            <w:tcW w:w="5867" w:type="dxa"/>
            <w:tcBorders>
              <w:top w:val="nil"/>
              <w:left w:val="nil"/>
              <w:bottom w:val="nil"/>
              <w:right w:val="nil"/>
            </w:tcBorders>
            <w:shd w:val="clear" w:color="auto" w:fill="auto"/>
            <w:noWrap/>
            <w:vAlign w:val="bottom"/>
            <w:hideMark/>
          </w:tcPr>
          <w:p w14:paraId="374E6146" w14:textId="77777777" w:rsidR="00B9311E" w:rsidRPr="00BD77D8" w:rsidRDefault="00B9311E" w:rsidP="00B9311E">
            <w:pPr>
              <w:spacing w:after="0" w:line="240" w:lineRule="auto"/>
              <w:rPr>
                <w:b/>
                <w:bCs/>
                <w:sz w:val="18"/>
                <w:szCs w:val="18"/>
              </w:rPr>
            </w:pPr>
            <w:r w:rsidRPr="00BD77D8">
              <w:rPr>
                <w:b/>
                <w:bCs/>
                <w:sz w:val="18"/>
                <w:szCs w:val="18"/>
              </w:rPr>
              <w:t xml:space="preserve"> Balance as at 30 June 2021 </w:t>
            </w:r>
          </w:p>
        </w:tc>
        <w:tc>
          <w:tcPr>
            <w:tcW w:w="995" w:type="dxa"/>
            <w:tcBorders>
              <w:top w:val="nil"/>
              <w:left w:val="nil"/>
              <w:bottom w:val="nil"/>
              <w:right w:val="nil"/>
            </w:tcBorders>
            <w:shd w:val="clear" w:color="auto" w:fill="auto"/>
            <w:noWrap/>
            <w:vAlign w:val="bottom"/>
            <w:hideMark/>
          </w:tcPr>
          <w:p w14:paraId="54F69A56" w14:textId="77777777" w:rsidR="00B9311E" w:rsidRPr="00BD77D8" w:rsidRDefault="00B9311E" w:rsidP="00B9311E">
            <w:pPr>
              <w:spacing w:after="0" w:line="240" w:lineRule="auto"/>
              <w:rPr>
                <w:b/>
                <w:bCs/>
                <w:sz w:val="18"/>
                <w:szCs w:val="18"/>
              </w:rPr>
            </w:pPr>
          </w:p>
        </w:tc>
        <w:tc>
          <w:tcPr>
            <w:tcW w:w="1148" w:type="dxa"/>
            <w:tcBorders>
              <w:top w:val="single" w:sz="4" w:space="0" w:color="auto"/>
              <w:left w:val="nil"/>
              <w:bottom w:val="single" w:sz="4" w:space="0" w:color="auto"/>
              <w:right w:val="nil"/>
            </w:tcBorders>
            <w:shd w:val="clear" w:color="auto" w:fill="auto"/>
            <w:vAlign w:val="bottom"/>
            <w:hideMark/>
          </w:tcPr>
          <w:p w14:paraId="138BC244" w14:textId="77777777" w:rsidR="00B9311E" w:rsidRPr="00BD77D8" w:rsidRDefault="00B9311E" w:rsidP="00B9311E">
            <w:pPr>
              <w:spacing w:after="0" w:line="240" w:lineRule="auto"/>
              <w:jc w:val="right"/>
              <w:rPr>
                <w:b/>
                <w:bCs/>
                <w:sz w:val="18"/>
                <w:szCs w:val="18"/>
              </w:rPr>
            </w:pPr>
            <w:r w:rsidRPr="00BD77D8">
              <w:rPr>
                <w:b/>
                <w:bCs/>
                <w:sz w:val="18"/>
                <w:szCs w:val="18"/>
              </w:rPr>
              <w:t xml:space="preserve">       174,080 </w:t>
            </w:r>
          </w:p>
        </w:tc>
        <w:tc>
          <w:tcPr>
            <w:tcW w:w="1298" w:type="dxa"/>
            <w:tcBorders>
              <w:top w:val="single" w:sz="4" w:space="0" w:color="auto"/>
              <w:left w:val="nil"/>
              <w:bottom w:val="single" w:sz="4" w:space="0" w:color="auto"/>
              <w:right w:val="nil"/>
            </w:tcBorders>
            <w:shd w:val="clear" w:color="auto" w:fill="auto"/>
            <w:vAlign w:val="bottom"/>
            <w:hideMark/>
          </w:tcPr>
          <w:p w14:paraId="73A86931" w14:textId="77777777" w:rsidR="00B9311E" w:rsidRPr="00BD77D8" w:rsidRDefault="00B9311E" w:rsidP="00B9311E">
            <w:pPr>
              <w:spacing w:after="0" w:line="240" w:lineRule="auto"/>
              <w:jc w:val="right"/>
              <w:rPr>
                <w:b/>
                <w:bCs/>
                <w:sz w:val="18"/>
                <w:szCs w:val="18"/>
              </w:rPr>
            </w:pPr>
            <w:r w:rsidRPr="00BD77D8">
              <w:rPr>
                <w:b/>
                <w:bCs/>
                <w:sz w:val="18"/>
                <w:szCs w:val="18"/>
              </w:rPr>
              <w:t xml:space="preserve">             23,021 </w:t>
            </w:r>
          </w:p>
        </w:tc>
        <w:tc>
          <w:tcPr>
            <w:tcW w:w="1013" w:type="dxa"/>
            <w:tcBorders>
              <w:top w:val="single" w:sz="4" w:space="0" w:color="auto"/>
              <w:left w:val="nil"/>
              <w:bottom w:val="single" w:sz="4" w:space="0" w:color="auto"/>
              <w:right w:val="nil"/>
            </w:tcBorders>
            <w:shd w:val="clear" w:color="auto" w:fill="auto"/>
            <w:vAlign w:val="bottom"/>
            <w:hideMark/>
          </w:tcPr>
          <w:p w14:paraId="1ED86960" w14:textId="77777777" w:rsidR="00B9311E" w:rsidRPr="00BD77D8" w:rsidRDefault="00B9311E" w:rsidP="00B9311E">
            <w:pPr>
              <w:spacing w:after="0" w:line="240" w:lineRule="auto"/>
              <w:jc w:val="right"/>
              <w:rPr>
                <w:b/>
                <w:bCs/>
                <w:sz w:val="18"/>
                <w:szCs w:val="18"/>
              </w:rPr>
            </w:pPr>
            <w:r w:rsidRPr="00BD77D8">
              <w:rPr>
                <w:b/>
                <w:bCs/>
                <w:sz w:val="18"/>
                <w:szCs w:val="18"/>
              </w:rPr>
              <w:t xml:space="preserve">   197,101 </w:t>
            </w:r>
          </w:p>
        </w:tc>
      </w:tr>
      <w:tr w:rsidR="00BD77D8" w:rsidRPr="00BD77D8" w14:paraId="02CF83CB" w14:textId="77777777" w:rsidTr="003057FB">
        <w:trPr>
          <w:trHeight w:val="285"/>
        </w:trPr>
        <w:tc>
          <w:tcPr>
            <w:tcW w:w="5867" w:type="dxa"/>
            <w:tcBorders>
              <w:top w:val="nil"/>
              <w:left w:val="nil"/>
              <w:bottom w:val="nil"/>
              <w:right w:val="nil"/>
            </w:tcBorders>
            <w:shd w:val="clear" w:color="auto" w:fill="auto"/>
            <w:noWrap/>
            <w:vAlign w:val="bottom"/>
            <w:hideMark/>
          </w:tcPr>
          <w:p w14:paraId="4EC9F02D" w14:textId="77777777" w:rsidR="00B9311E" w:rsidRPr="00BD77D8" w:rsidRDefault="00B9311E" w:rsidP="00B9311E">
            <w:pPr>
              <w:spacing w:after="0" w:line="240" w:lineRule="auto"/>
              <w:rPr>
                <w:b/>
                <w:bCs/>
                <w:sz w:val="18"/>
                <w:szCs w:val="18"/>
              </w:rPr>
            </w:pPr>
            <w:r w:rsidRPr="00BD77D8">
              <w:rPr>
                <w:b/>
                <w:bCs/>
                <w:sz w:val="18"/>
                <w:szCs w:val="18"/>
              </w:rPr>
              <w:t xml:space="preserve"> Operating Result </w:t>
            </w:r>
          </w:p>
        </w:tc>
        <w:tc>
          <w:tcPr>
            <w:tcW w:w="995" w:type="dxa"/>
            <w:tcBorders>
              <w:top w:val="nil"/>
              <w:left w:val="nil"/>
              <w:bottom w:val="nil"/>
              <w:right w:val="nil"/>
            </w:tcBorders>
            <w:shd w:val="clear" w:color="auto" w:fill="auto"/>
            <w:noWrap/>
            <w:vAlign w:val="bottom"/>
            <w:hideMark/>
          </w:tcPr>
          <w:p w14:paraId="340FC963" w14:textId="77777777" w:rsidR="00B9311E" w:rsidRPr="00BD77D8" w:rsidRDefault="00B9311E" w:rsidP="00B9311E">
            <w:pPr>
              <w:spacing w:after="0" w:line="240" w:lineRule="auto"/>
              <w:rPr>
                <w:b/>
                <w:bCs/>
                <w:sz w:val="18"/>
                <w:szCs w:val="18"/>
              </w:rPr>
            </w:pPr>
          </w:p>
        </w:tc>
        <w:tc>
          <w:tcPr>
            <w:tcW w:w="1148" w:type="dxa"/>
            <w:tcBorders>
              <w:top w:val="nil"/>
              <w:left w:val="nil"/>
              <w:bottom w:val="nil"/>
              <w:right w:val="nil"/>
            </w:tcBorders>
            <w:shd w:val="clear" w:color="auto" w:fill="auto"/>
            <w:vAlign w:val="bottom"/>
            <w:hideMark/>
          </w:tcPr>
          <w:p w14:paraId="5CADA90A"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8" w:type="dxa"/>
            <w:tcBorders>
              <w:top w:val="nil"/>
              <w:left w:val="nil"/>
              <w:bottom w:val="nil"/>
              <w:right w:val="nil"/>
            </w:tcBorders>
            <w:shd w:val="clear" w:color="auto" w:fill="auto"/>
            <w:vAlign w:val="bottom"/>
            <w:hideMark/>
          </w:tcPr>
          <w:p w14:paraId="0D3AC8D1"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013" w:type="dxa"/>
            <w:tcBorders>
              <w:top w:val="nil"/>
              <w:left w:val="nil"/>
              <w:bottom w:val="nil"/>
              <w:right w:val="nil"/>
            </w:tcBorders>
            <w:shd w:val="clear" w:color="auto" w:fill="auto"/>
            <w:vAlign w:val="bottom"/>
            <w:hideMark/>
          </w:tcPr>
          <w:p w14:paraId="2336A7C9"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466174B0" w14:textId="77777777" w:rsidTr="003057FB">
        <w:trPr>
          <w:trHeight w:val="285"/>
        </w:trPr>
        <w:tc>
          <w:tcPr>
            <w:tcW w:w="5867" w:type="dxa"/>
            <w:tcBorders>
              <w:top w:val="nil"/>
              <w:left w:val="nil"/>
              <w:bottom w:val="nil"/>
              <w:right w:val="nil"/>
            </w:tcBorders>
            <w:shd w:val="clear" w:color="auto" w:fill="auto"/>
            <w:noWrap/>
            <w:vAlign w:val="bottom"/>
            <w:hideMark/>
          </w:tcPr>
          <w:p w14:paraId="6DFFB7F1" w14:textId="77777777" w:rsidR="00B9311E" w:rsidRPr="00BD77D8" w:rsidRDefault="00B9311E" w:rsidP="00B9311E">
            <w:pPr>
              <w:spacing w:after="0" w:line="240" w:lineRule="auto"/>
              <w:rPr>
                <w:sz w:val="18"/>
                <w:szCs w:val="18"/>
              </w:rPr>
            </w:pPr>
            <w:r w:rsidRPr="00BD77D8">
              <w:rPr>
                <w:sz w:val="18"/>
                <w:szCs w:val="18"/>
              </w:rPr>
              <w:t xml:space="preserve"> Operating result from continuing operations </w:t>
            </w:r>
          </w:p>
        </w:tc>
        <w:tc>
          <w:tcPr>
            <w:tcW w:w="995" w:type="dxa"/>
            <w:tcBorders>
              <w:top w:val="nil"/>
              <w:left w:val="nil"/>
              <w:bottom w:val="nil"/>
              <w:right w:val="nil"/>
            </w:tcBorders>
            <w:shd w:val="clear" w:color="auto" w:fill="auto"/>
            <w:noWrap/>
            <w:vAlign w:val="bottom"/>
            <w:hideMark/>
          </w:tcPr>
          <w:p w14:paraId="06409769" w14:textId="77777777" w:rsidR="00B9311E" w:rsidRPr="00BD77D8" w:rsidRDefault="00B9311E" w:rsidP="00B9311E">
            <w:pPr>
              <w:spacing w:after="0" w:line="240" w:lineRule="auto"/>
              <w:rPr>
                <w:b/>
                <w:bCs/>
                <w:sz w:val="18"/>
                <w:szCs w:val="18"/>
              </w:rPr>
            </w:pPr>
          </w:p>
        </w:tc>
        <w:tc>
          <w:tcPr>
            <w:tcW w:w="1148" w:type="dxa"/>
            <w:tcBorders>
              <w:top w:val="nil"/>
              <w:left w:val="nil"/>
              <w:bottom w:val="nil"/>
              <w:right w:val="nil"/>
            </w:tcBorders>
            <w:shd w:val="clear" w:color="auto" w:fill="auto"/>
            <w:vAlign w:val="bottom"/>
            <w:hideMark/>
          </w:tcPr>
          <w:p w14:paraId="76FD4F1D"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298" w:type="dxa"/>
            <w:tcBorders>
              <w:top w:val="nil"/>
              <w:left w:val="nil"/>
              <w:bottom w:val="nil"/>
              <w:right w:val="nil"/>
            </w:tcBorders>
            <w:shd w:val="clear" w:color="auto" w:fill="auto"/>
            <w:vAlign w:val="bottom"/>
            <w:hideMark/>
          </w:tcPr>
          <w:p w14:paraId="6ED0FFAC" w14:textId="77777777" w:rsidR="00B9311E" w:rsidRPr="00BD77D8" w:rsidRDefault="00B9311E" w:rsidP="00B9311E">
            <w:pPr>
              <w:spacing w:after="0" w:line="240" w:lineRule="auto"/>
              <w:jc w:val="right"/>
              <w:rPr>
                <w:sz w:val="18"/>
                <w:szCs w:val="18"/>
              </w:rPr>
            </w:pPr>
            <w:r w:rsidRPr="00BD77D8">
              <w:rPr>
                <w:sz w:val="18"/>
                <w:szCs w:val="18"/>
              </w:rPr>
              <w:t xml:space="preserve">             31,191 </w:t>
            </w:r>
          </w:p>
        </w:tc>
        <w:tc>
          <w:tcPr>
            <w:tcW w:w="1013" w:type="dxa"/>
            <w:tcBorders>
              <w:top w:val="nil"/>
              <w:left w:val="nil"/>
              <w:bottom w:val="nil"/>
              <w:right w:val="nil"/>
            </w:tcBorders>
            <w:shd w:val="clear" w:color="auto" w:fill="auto"/>
            <w:vAlign w:val="bottom"/>
            <w:hideMark/>
          </w:tcPr>
          <w:p w14:paraId="62ED584D" w14:textId="77777777" w:rsidR="00B9311E" w:rsidRPr="00BD77D8" w:rsidRDefault="00B9311E" w:rsidP="00B9311E">
            <w:pPr>
              <w:spacing w:after="0" w:line="240" w:lineRule="auto"/>
              <w:jc w:val="right"/>
              <w:rPr>
                <w:sz w:val="18"/>
                <w:szCs w:val="18"/>
              </w:rPr>
            </w:pPr>
            <w:r w:rsidRPr="00BD77D8">
              <w:rPr>
                <w:sz w:val="18"/>
                <w:szCs w:val="18"/>
              </w:rPr>
              <w:t xml:space="preserve">      31,191 </w:t>
            </w:r>
          </w:p>
        </w:tc>
      </w:tr>
      <w:tr w:rsidR="00BD77D8" w:rsidRPr="00BD77D8" w14:paraId="37EA12B6" w14:textId="77777777" w:rsidTr="003057FB">
        <w:trPr>
          <w:trHeight w:val="285"/>
        </w:trPr>
        <w:tc>
          <w:tcPr>
            <w:tcW w:w="5867" w:type="dxa"/>
            <w:tcBorders>
              <w:top w:val="nil"/>
              <w:left w:val="nil"/>
              <w:bottom w:val="nil"/>
              <w:right w:val="nil"/>
            </w:tcBorders>
            <w:shd w:val="clear" w:color="auto" w:fill="auto"/>
            <w:noWrap/>
            <w:vAlign w:val="bottom"/>
            <w:hideMark/>
          </w:tcPr>
          <w:p w14:paraId="23C6614D" w14:textId="77777777" w:rsidR="00B9311E" w:rsidRPr="00BD77D8" w:rsidRDefault="00B9311E" w:rsidP="00B9311E">
            <w:pPr>
              <w:spacing w:after="0" w:line="240" w:lineRule="auto"/>
              <w:rPr>
                <w:b/>
                <w:bCs/>
                <w:sz w:val="18"/>
                <w:szCs w:val="18"/>
              </w:rPr>
            </w:pPr>
            <w:r w:rsidRPr="00BD77D8">
              <w:rPr>
                <w:b/>
                <w:bCs/>
                <w:sz w:val="18"/>
                <w:szCs w:val="18"/>
              </w:rPr>
              <w:t xml:space="preserve"> Total Comprehensive Income for the Year </w:t>
            </w:r>
          </w:p>
        </w:tc>
        <w:tc>
          <w:tcPr>
            <w:tcW w:w="995" w:type="dxa"/>
            <w:tcBorders>
              <w:top w:val="nil"/>
              <w:left w:val="nil"/>
              <w:bottom w:val="nil"/>
              <w:right w:val="nil"/>
            </w:tcBorders>
            <w:shd w:val="clear" w:color="auto" w:fill="auto"/>
            <w:noWrap/>
            <w:vAlign w:val="bottom"/>
            <w:hideMark/>
          </w:tcPr>
          <w:p w14:paraId="0C8F86E4" w14:textId="77777777" w:rsidR="00B9311E" w:rsidRPr="00BD77D8" w:rsidRDefault="00B9311E" w:rsidP="00B9311E">
            <w:pPr>
              <w:spacing w:after="0" w:line="240" w:lineRule="auto"/>
              <w:rPr>
                <w:b/>
                <w:bCs/>
                <w:sz w:val="18"/>
                <w:szCs w:val="18"/>
              </w:rPr>
            </w:pPr>
          </w:p>
        </w:tc>
        <w:tc>
          <w:tcPr>
            <w:tcW w:w="1148" w:type="dxa"/>
            <w:tcBorders>
              <w:top w:val="single" w:sz="4" w:space="0" w:color="auto"/>
              <w:left w:val="nil"/>
              <w:bottom w:val="single" w:sz="4" w:space="0" w:color="auto"/>
              <w:right w:val="nil"/>
            </w:tcBorders>
            <w:shd w:val="clear" w:color="auto" w:fill="auto"/>
            <w:vAlign w:val="bottom"/>
            <w:hideMark/>
          </w:tcPr>
          <w:p w14:paraId="793689FA"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298" w:type="dxa"/>
            <w:tcBorders>
              <w:top w:val="single" w:sz="4" w:space="0" w:color="auto"/>
              <w:left w:val="nil"/>
              <w:bottom w:val="single" w:sz="4" w:space="0" w:color="auto"/>
              <w:right w:val="nil"/>
            </w:tcBorders>
            <w:shd w:val="clear" w:color="auto" w:fill="auto"/>
            <w:vAlign w:val="bottom"/>
            <w:hideMark/>
          </w:tcPr>
          <w:p w14:paraId="3C584204" w14:textId="77777777" w:rsidR="00B9311E" w:rsidRPr="00BD77D8" w:rsidRDefault="00B9311E" w:rsidP="00B9311E">
            <w:pPr>
              <w:spacing w:after="0" w:line="240" w:lineRule="auto"/>
              <w:jc w:val="right"/>
              <w:rPr>
                <w:b/>
                <w:bCs/>
                <w:sz w:val="18"/>
                <w:szCs w:val="18"/>
              </w:rPr>
            </w:pPr>
            <w:r w:rsidRPr="00BD77D8">
              <w:rPr>
                <w:b/>
                <w:bCs/>
                <w:sz w:val="18"/>
                <w:szCs w:val="18"/>
              </w:rPr>
              <w:t xml:space="preserve">             31,191 </w:t>
            </w:r>
          </w:p>
        </w:tc>
        <w:tc>
          <w:tcPr>
            <w:tcW w:w="1013" w:type="dxa"/>
            <w:tcBorders>
              <w:top w:val="single" w:sz="4" w:space="0" w:color="auto"/>
              <w:left w:val="nil"/>
              <w:bottom w:val="single" w:sz="4" w:space="0" w:color="auto"/>
              <w:right w:val="nil"/>
            </w:tcBorders>
            <w:shd w:val="clear" w:color="auto" w:fill="auto"/>
            <w:vAlign w:val="bottom"/>
            <w:hideMark/>
          </w:tcPr>
          <w:p w14:paraId="20E97995" w14:textId="77777777" w:rsidR="00B9311E" w:rsidRPr="00BD77D8" w:rsidRDefault="00B9311E" w:rsidP="00B9311E">
            <w:pPr>
              <w:spacing w:after="0" w:line="240" w:lineRule="auto"/>
              <w:jc w:val="right"/>
              <w:rPr>
                <w:b/>
                <w:bCs/>
                <w:sz w:val="18"/>
                <w:szCs w:val="18"/>
              </w:rPr>
            </w:pPr>
            <w:r w:rsidRPr="00BD77D8">
              <w:rPr>
                <w:b/>
                <w:bCs/>
                <w:sz w:val="18"/>
                <w:szCs w:val="18"/>
              </w:rPr>
              <w:t xml:space="preserve">      31,191 </w:t>
            </w:r>
          </w:p>
        </w:tc>
      </w:tr>
      <w:tr w:rsidR="00BD77D8" w:rsidRPr="00BD77D8" w14:paraId="5460D0C3" w14:textId="77777777" w:rsidTr="003057FB">
        <w:trPr>
          <w:trHeight w:val="285"/>
        </w:trPr>
        <w:tc>
          <w:tcPr>
            <w:tcW w:w="5867" w:type="dxa"/>
            <w:tcBorders>
              <w:top w:val="nil"/>
              <w:left w:val="nil"/>
              <w:bottom w:val="nil"/>
              <w:right w:val="nil"/>
            </w:tcBorders>
            <w:shd w:val="clear" w:color="auto" w:fill="auto"/>
            <w:noWrap/>
            <w:vAlign w:val="bottom"/>
            <w:hideMark/>
          </w:tcPr>
          <w:p w14:paraId="29DC91D5" w14:textId="77777777" w:rsidR="00B9311E" w:rsidRPr="00BD77D8" w:rsidRDefault="00B9311E" w:rsidP="00B9311E">
            <w:pPr>
              <w:spacing w:after="0" w:line="240" w:lineRule="auto"/>
              <w:rPr>
                <w:b/>
                <w:bCs/>
                <w:sz w:val="18"/>
                <w:szCs w:val="18"/>
              </w:rPr>
            </w:pPr>
            <w:r w:rsidRPr="00BD77D8">
              <w:rPr>
                <w:b/>
                <w:bCs/>
                <w:sz w:val="18"/>
                <w:szCs w:val="18"/>
              </w:rPr>
              <w:t xml:space="preserve"> Transactions with Owners as Owners </w:t>
            </w:r>
          </w:p>
        </w:tc>
        <w:tc>
          <w:tcPr>
            <w:tcW w:w="995" w:type="dxa"/>
            <w:tcBorders>
              <w:top w:val="nil"/>
              <w:left w:val="nil"/>
              <w:bottom w:val="nil"/>
              <w:right w:val="nil"/>
            </w:tcBorders>
            <w:shd w:val="clear" w:color="auto" w:fill="auto"/>
            <w:noWrap/>
            <w:vAlign w:val="bottom"/>
            <w:hideMark/>
          </w:tcPr>
          <w:p w14:paraId="0DD35752" w14:textId="77777777" w:rsidR="00B9311E" w:rsidRPr="00BD77D8" w:rsidRDefault="00B9311E" w:rsidP="00B9311E">
            <w:pPr>
              <w:spacing w:after="0" w:line="240" w:lineRule="auto"/>
              <w:rPr>
                <w:b/>
                <w:bCs/>
                <w:sz w:val="18"/>
                <w:szCs w:val="18"/>
              </w:rPr>
            </w:pPr>
          </w:p>
        </w:tc>
        <w:tc>
          <w:tcPr>
            <w:tcW w:w="1148" w:type="dxa"/>
            <w:tcBorders>
              <w:top w:val="nil"/>
              <w:left w:val="nil"/>
              <w:bottom w:val="nil"/>
              <w:right w:val="nil"/>
            </w:tcBorders>
            <w:shd w:val="clear" w:color="auto" w:fill="auto"/>
            <w:vAlign w:val="bottom"/>
            <w:hideMark/>
          </w:tcPr>
          <w:p w14:paraId="7FC9AE71"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8" w:type="dxa"/>
            <w:tcBorders>
              <w:top w:val="nil"/>
              <w:left w:val="nil"/>
              <w:bottom w:val="nil"/>
              <w:right w:val="nil"/>
            </w:tcBorders>
            <w:shd w:val="clear" w:color="auto" w:fill="auto"/>
            <w:vAlign w:val="bottom"/>
            <w:hideMark/>
          </w:tcPr>
          <w:p w14:paraId="77361417"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013" w:type="dxa"/>
            <w:tcBorders>
              <w:top w:val="nil"/>
              <w:left w:val="nil"/>
              <w:bottom w:val="nil"/>
              <w:right w:val="nil"/>
            </w:tcBorders>
            <w:shd w:val="clear" w:color="auto" w:fill="auto"/>
            <w:vAlign w:val="bottom"/>
            <w:hideMark/>
          </w:tcPr>
          <w:p w14:paraId="70ADBE0C"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77A0D794" w14:textId="77777777" w:rsidTr="003057FB">
        <w:trPr>
          <w:trHeight w:val="285"/>
        </w:trPr>
        <w:tc>
          <w:tcPr>
            <w:tcW w:w="5867" w:type="dxa"/>
            <w:tcBorders>
              <w:top w:val="nil"/>
              <w:left w:val="nil"/>
              <w:bottom w:val="nil"/>
              <w:right w:val="nil"/>
            </w:tcBorders>
            <w:shd w:val="clear" w:color="auto" w:fill="auto"/>
            <w:noWrap/>
            <w:vAlign w:val="bottom"/>
            <w:hideMark/>
          </w:tcPr>
          <w:p w14:paraId="2135B32A"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Net equity adjustments </w:t>
            </w:r>
          </w:p>
        </w:tc>
        <w:tc>
          <w:tcPr>
            <w:tcW w:w="995" w:type="dxa"/>
            <w:tcBorders>
              <w:top w:val="nil"/>
              <w:left w:val="nil"/>
              <w:bottom w:val="nil"/>
              <w:right w:val="nil"/>
            </w:tcBorders>
            <w:shd w:val="clear" w:color="auto" w:fill="auto"/>
            <w:noWrap/>
            <w:vAlign w:val="bottom"/>
            <w:hideMark/>
          </w:tcPr>
          <w:p w14:paraId="2427226F" w14:textId="77777777" w:rsidR="00B9311E" w:rsidRPr="00BD77D8" w:rsidRDefault="00B9311E" w:rsidP="00B9311E">
            <w:pPr>
              <w:spacing w:after="0" w:line="240" w:lineRule="auto"/>
              <w:jc w:val="center"/>
              <w:rPr>
                <w:b/>
                <w:bCs/>
                <w:sz w:val="18"/>
                <w:szCs w:val="18"/>
              </w:rPr>
            </w:pPr>
            <w:r w:rsidRPr="00BD77D8">
              <w:rPr>
                <w:b/>
                <w:bCs/>
                <w:sz w:val="18"/>
                <w:szCs w:val="18"/>
              </w:rPr>
              <w:t xml:space="preserve"> C8 </w:t>
            </w:r>
          </w:p>
        </w:tc>
        <w:tc>
          <w:tcPr>
            <w:tcW w:w="1148" w:type="dxa"/>
            <w:tcBorders>
              <w:top w:val="nil"/>
              <w:left w:val="nil"/>
              <w:bottom w:val="nil"/>
              <w:right w:val="nil"/>
            </w:tcBorders>
            <w:shd w:val="clear" w:color="auto" w:fill="auto"/>
            <w:vAlign w:val="bottom"/>
            <w:hideMark/>
          </w:tcPr>
          <w:p w14:paraId="0C60BD71" w14:textId="77777777" w:rsidR="00B9311E" w:rsidRPr="00BD77D8" w:rsidRDefault="00B9311E" w:rsidP="00B9311E">
            <w:pPr>
              <w:spacing w:after="0" w:line="240" w:lineRule="auto"/>
              <w:jc w:val="right"/>
              <w:rPr>
                <w:sz w:val="18"/>
                <w:szCs w:val="18"/>
              </w:rPr>
            </w:pPr>
            <w:r w:rsidRPr="00BD77D8">
              <w:rPr>
                <w:sz w:val="18"/>
                <w:szCs w:val="18"/>
              </w:rPr>
              <w:t xml:space="preserve">            2,510 </w:t>
            </w:r>
          </w:p>
        </w:tc>
        <w:tc>
          <w:tcPr>
            <w:tcW w:w="1298" w:type="dxa"/>
            <w:tcBorders>
              <w:top w:val="nil"/>
              <w:left w:val="nil"/>
              <w:bottom w:val="nil"/>
              <w:right w:val="nil"/>
            </w:tcBorders>
            <w:shd w:val="clear" w:color="auto" w:fill="auto"/>
            <w:vAlign w:val="bottom"/>
            <w:hideMark/>
          </w:tcPr>
          <w:p w14:paraId="7650459B"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013" w:type="dxa"/>
            <w:tcBorders>
              <w:top w:val="nil"/>
              <w:left w:val="nil"/>
              <w:bottom w:val="nil"/>
              <w:right w:val="nil"/>
            </w:tcBorders>
            <w:shd w:val="clear" w:color="auto" w:fill="auto"/>
            <w:vAlign w:val="bottom"/>
            <w:hideMark/>
          </w:tcPr>
          <w:p w14:paraId="008B35F0" w14:textId="77777777" w:rsidR="00B9311E" w:rsidRPr="00BD77D8" w:rsidRDefault="00B9311E" w:rsidP="00B9311E">
            <w:pPr>
              <w:spacing w:after="0" w:line="240" w:lineRule="auto"/>
              <w:jc w:val="right"/>
              <w:rPr>
                <w:sz w:val="18"/>
                <w:szCs w:val="18"/>
              </w:rPr>
            </w:pPr>
            <w:r w:rsidRPr="00BD77D8">
              <w:rPr>
                <w:sz w:val="18"/>
                <w:szCs w:val="18"/>
              </w:rPr>
              <w:t xml:space="preserve">        2,510 </w:t>
            </w:r>
          </w:p>
        </w:tc>
      </w:tr>
      <w:tr w:rsidR="00BD77D8" w:rsidRPr="00BD77D8" w14:paraId="27AAE17C" w14:textId="77777777" w:rsidTr="003057FB">
        <w:trPr>
          <w:trHeight w:val="285"/>
        </w:trPr>
        <w:tc>
          <w:tcPr>
            <w:tcW w:w="5867" w:type="dxa"/>
            <w:tcBorders>
              <w:top w:val="nil"/>
              <w:left w:val="nil"/>
              <w:bottom w:val="nil"/>
              <w:right w:val="nil"/>
            </w:tcBorders>
            <w:shd w:val="clear" w:color="auto" w:fill="auto"/>
            <w:noWrap/>
            <w:vAlign w:val="bottom"/>
            <w:hideMark/>
          </w:tcPr>
          <w:p w14:paraId="707B4D16"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Net transfers in/(out) - Queensland Government entities - </w:t>
            </w:r>
            <w:proofErr w:type="spellStart"/>
            <w:r w:rsidRPr="00BD77D8">
              <w:rPr>
                <w:sz w:val="18"/>
                <w:szCs w:val="18"/>
              </w:rPr>
              <w:t>MoG</w:t>
            </w:r>
            <w:proofErr w:type="spellEnd"/>
            <w:r w:rsidRPr="00BD77D8">
              <w:rPr>
                <w:sz w:val="18"/>
                <w:szCs w:val="18"/>
              </w:rPr>
              <w:t xml:space="preserve"> ^ </w:t>
            </w:r>
          </w:p>
        </w:tc>
        <w:tc>
          <w:tcPr>
            <w:tcW w:w="995" w:type="dxa"/>
            <w:tcBorders>
              <w:top w:val="nil"/>
              <w:left w:val="nil"/>
              <w:bottom w:val="nil"/>
              <w:right w:val="nil"/>
            </w:tcBorders>
            <w:shd w:val="clear" w:color="auto" w:fill="auto"/>
            <w:noWrap/>
            <w:vAlign w:val="bottom"/>
            <w:hideMark/>
          </w:tcPr>
          <w:p w14:paraId="45494831" w14:textId="77777777" w:rsidR="00B9311E" w:rsidRPr="00BD77D8" w:rsidRDefault="00B9311E" w:rsidP="00B9311E">
            <w:pPr>
              <w:spacing w:after="0" w:line="240" w:lineRule="auto"/>
              <w:jc w:val="center"/>
              <w:rPr>
                <w:b/>
                <w:bCs/>
                <w:sz w:val="18"/>
                <w:szCs w:val="18"/>
              </w:rPr>
            </w:pPr>
            <w:r w:rsidRPr="00BD77D8">
              <w:rPr>
                <w:b/>
                <w:bCs/>
                <w:sz w:val="18"/>
                <w:szCs w:val="18"/>
              </w:rPr>
              <w:t xml:space="preserve"> A4 </w:t>
            </w:r>
          </w:p>
        </w:tc>
        <w:tc>
          <w:tcPr>
            <w:tcW w:w="1148" w:type="dxa"/>
            <w:tcBorders>
              <w:top w:val="nil"/>
              <w:left w:val="nil"/>
              <w:bottom w:val="nil"/>
              <w:right w:val="nil"/>
            </w:tcBorders>
            <w:shd w:val="clear" w:color="auto" w:fill="auto"/>
            <w:vAlign w:val="bottom"/>
            <w:hideMark/>
          </w:tcPr>
          <w:p w14:paraId="27635BBD" w14:textId="77777777" w:rsidR="00B9311E" w:rsidRPr="00BD77D8" w:rsidRDefault="00B9311E" w:rsidP="00B9311E">
            <w:pPr>
              <w:spacing w:after="0" w:line="240" w:lineRule="auto"/>
              <w:jc w:val="right"/>
              <w:rPr>
                <w:sz w:val="18"/>
                <w:szCs w:val="18"/>
              </w:rPr>
            </w:pPr>
            <w:r w:rsidRPr="00BD77D8">
              <w:rPr>
                <w:sz w:val="18"/>
                <w:szCs w:val="18"/>
              </w:rPr>
              <w:t xml:space="preserve">                (13)</w:t>
            </w:r>
          </w:p>
        </w:tc>
        <w:tc>
          <w:tcPr>
            <w:tcW w:w="1298" w:type="dxa"/>
            <w:tcBorders>
              <w:top w:val="nil"/>
              <w:left w:val="nil"/>
              <w:bottom w:val="nil"/>
              <w:right w:val="nil"/>
            </w:tcBorders>
            <w:shd w:val="clear" w:color="auto" w:fill="auto"/>
            <w:vAlign w:val="bottom"/>
            <w:hideMark/>
          </w:tcPr>
          <w:p w14:paraId="29C336A1"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013" w:type="dxa"/>
            <w:tcBorders>
              <w:top w:val="nil"/>
              <w:left w:val="nil"/>
              <w:bottom w:val="nil"/>
              <w:right w:val="nil"/>
            </w:tcBorders>
            <w:shd w:val="clear" w:color="auto" w:fill="auto"/>
            <w:vAlign w:val="bottom"/>
            <w:hideMark/>
          </w:tcPr>
          <w:p w14:paraId="41139794" w14:textId="77777777" w:rsidR="00B9311E" w:rsidRPr="00BD77D8" w:rsidRDefault="00B9311E" w:rsidP="00B9311E">
            <w:pPr>
              <w:spacing w:after="0" w:line="240" w:lineRule="auto"/>
              <w:jc w:val="right"/>
              <w:rPr>
                <w:sz w:val="18"/>
                <w:szCs w:val="18"/>
              </w:rPr>
            </w:pPr>
            <w:r w:rsidRPr="00BD77D8">
              <w:rPr>
                <w:sz w:val="18"/>
                <w:szCs w:val="18"/>
              </w:rPr>
              <w:t xml:space="preserve">            (13)</w:t>
            </w:r>
          </w:p>
        </w:tc>
      </w:tr>
      <w:tr w:rsidR="00BD77D8" w:rsidRPr="00BD77D8" w14:paraId="6BF0D710" w14:textId="77777777" w:rsidTr="003057FB">
        <w:trPr>
          <w:trHeight w:val="285"/>
        </w:trPr>
        <w:tc>
          <w:tcPr>
            <w:tcW w:w="5867" w:type="dxa"/>
            <w:tcBorders>
              <w:top w:val="nil"/>
              <w:left w:val="nil"/>
              <w:bottom w:val="nil"/>
              <w:right w:val="nil"/>
            </w:tcBorders>
            <w:shd w:val="clear" w:color="auto" w:fill="auto"/>
            <w:noWrap/>
            <w:vAlign w:val="bottom"/>
            <w:hideMark/>
          </w:tcPr>
          <w:p w14:paraId="619907EB"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Net transfer out to Administered * </w:t>
            </w:r>
          </w:p>
        </w:tc>
        <w:tc>
          <w:tcPr>
            <w:tcW w:w="995" w:type="dxa"/>
            <w:tcBorders>
              <w:top w:val="nil"/>
              <w:left w:val="nil"/>
              <w:bottom w:val="nil"/>
              <w:right w:val="nil"/>
            </w:tcBorders>
            <w:shd w:val="clear" w:color="auto" w:fill="auto"/>
            <w:noWrap/>
            <w:vAlign w:val="bottom"/>
            <w:hideMark/>
          </w:tcPr>
          <w:p w14:paraId="46D1B337" w14:textId="77777777" w:rsidR="00B9311E" w:rsidRPr="00BD77D8" w:rsidRDefault="00B9311E" w:rsidP="00B9311E">
            <w:pPr>
              <w:spacing w:after="0" w:line="240" w:lineRule="auto"/>
              <w:ind w:firstLineChars="100" w:firstLine="181"/>
              <w:rPr>
                <w:b/>
                <w:bCs/>
                <w:sz w:val="18"/>
                <w:szCs w:val="18"/>
              </w:rPr>
            </w:pPr>
          </w:p>
        </w:tc>
        <w:tc>
          <w:tcPr>
            <w:tcW w:w="1148" w:type="dxa"/>
            <w:tcBorders>
              <w:top w:val="nil"/>
              <w:left w:val="nil"/>
              <w:bottom w:val="nil"/>
              <w:right w:val="nil"/>
            </w:tcBorders>
            <w:shd w:val="clear" w:color="auto" w:fill="auto"/>
            <w:vAlign w:val="bottom"/>
            <w:hideMark/>
          </w:tcPr>
          <w:p w14:paraId="75D50D95" w14:textId="77777777" w:rsidR="00B9311E" w:rsidRPr="00BD77D8" w:rsidRDefault="00B9311E" w:rsidP="00B9311E">
            <w:pPr>
              <w:spacing w:after="0" w:line="240" w:lineRule="auto"/>
              <w:jc w:val="right"/>
              <w:rPr>
                <w:sz w:val="18"/>
                <w:szCs w:val="18"/>
              </w:rPr>
            </w:pPr>
            <w:r w:rsidRPr="00BD77D8">
              <w:rPr>
                <w:sz w:val="18"/>
                <w:szCs w:val="18"/>
              </w:rPr>
              <w:t xml:space="preserve">          (1,605)</w:t>
            </w:r>
          </w:p>
        </w:tc>
        <w:tc>
          <w:tcPr>
            <w:tcW w:w="1298" w:type="dxa"/>
            <w:tcBorders>
              <w:top w:val="nil"/>
              <w:left w:val="nil"/>
              <w:bottom w:val="nil"/>
              <w:right w:val="nil"/>
            </w:tcBorders>
            <w:shd w:val="clear" w:color="auto" w:fill="auto"/>
            <w:vAlign w:val="bottom"/>
            <w:hideMark/>
          </w:tcPr>
          <w:p w14:paraId="09770DB6"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013" w:type="dxa"/>
            <w:tcBorders>
              <w:top w:val="nil"/>
              <w:left w:val="nil"/>
              <w:bottom w:val="nil"/>
              <w:right w:val="nil"/>
            </w:tcBorders>
            <w:shd w:val="clear" w:color="auto" w:fill="auto"/>
            <w:vAlign w:val="bottom"/>
            <w:hideMark/>
          </w:tcPr>
          <w:p w14:paraId="3755A6E8" w14:textId="77777777" w:rsidR="00B9311E" w:rsidRPr="00BD77D8" w:rsidRDefault="00B9311E" w:rsidP="00B9311E">
            <w:pPr>
              <w:spacing w:after="0" w:line="240" w:lineRule="auto"/>
              <w:jc w:val="right"/>
              <w:rPr>
                <w:sz w:val="18"/>
                <w:szCs w:val="18"/>
              </w:rPr>
            </w:pPr>
            <w:r w:rsidRPr="00BD77D8">
              <w:rPr>
                <w:sz w:val="18"/>
                <w:szCs w:val="18"/>
              </w:rPr>
              <w:t xml:space="preserve">      (1,605)</w:t>
            </w:r>
          </w:p>
        </w:tc>
      </w:tr>
      <w:tr w:rsidR="00BD77D8" w:rsidRPr="00BD77D8" w14:paraId="4328333D" w14:textId="77777777" w:rsidTr="003057FB">
        <w:trPr>
          <w:trHeight w:val="285"/>
        </w:trPr>
        <w:tc>
          <w:tcPr>
            <w:tcW w:w="5867" w:type="dxa"/>
            <w:tcBorders>
              <w:top w:val="nil"/>
              <w:left w:val="nil"/>
              <w:bottom w:val="nil"/>
              <w:right w:val="nil"/>
            </w:tcBorders>
            <w:shd w:val="clear" w:color="auto" w:fill="auto"/>
            <w:noWrap/>
            <w:vAlign w:val="bottom"/>
            <w:hideMark/>
          </w:tcPr>
          <w:p w14:paraId="11777747" w14:textId="77777777" w:rsidR="00B9311E" w:rsidRPr="00BD77D8" w:rsidRDefault="00B9311E" w:rsidP="00B9311E">
            <w:pPr>
              <w:spacing w:after="0" w:line="240" w:lineRule="auto"/>
              <w:rPr>
                <w:b/>
                <w:bCs/>
                <w:sz w:val="18"/>
                <w:szCs w:val="18"/>
              </w:rPr>
            </w:pPr>
            <w:r w:rsidRPr="00BD77D8">
              <w:rPr>
                <w:b/>
                <w:bCs/>
                <w:sz w:val="18"/>
                <w:szCs w:val="18"/>
              </w:rPr>
              <w:t xml:space="preserve"> Net Transactions with Owners as Owners </w:t>
            </w:r>
          </w:p>
        </w:tc>
        <w:tc>
          <w:tcPr>
            <w:tcW w:w="995" w:type="dxa"/>
            <w:tcBorders>
              <w:top w:val="nil"/>
              <w:left w:val="nil"/>
              <w:bottom w:val="nil"/>
              <w:right w:val="nil"/>
            </w:tcBorders>
            <w:shd w:val="clear" w:color="auto" w:fill="auto"/>
            <w:noWrap/>
            <w:vAlign w:val="bottom"/>
            <w:hideMark/>
          </w:tcPr>
          <w:p w14:paraId="2F279903" w14:textId="77777777" w:rsidR="00B9311E" w:rsidRPr="00BD77D8" w:rsidRDefault="00B9311E" w:rsidP="00B9311E">
            <w:pPr>
              <w:spacing w:after="0" w:line="240" w:lineRule="auto"/>
              <w:rPr>
                <w:b/>
                <w:bCs/>
                <w:sz w:val="18"/>
                <w:szCs w:val="18"/>
              </w:rPr>
            </w:pPr>
          </w:p>
        </w:tc>
        <w:tc>
          <w:tcPr>
            <w:tcW w:w="1148" w:type="dxa"/>
            <w:tcBorders>
              <w:top w:val="single" w:sz="4" w:space="0" w:color="auto"/>
              <w:left w:val="nil"/>
              <w:bottom w:val="single" w:sz="4" w:space="0" w:color="auto"/>
              <w:right w:val="nil"/>
            </w:tcBorders>
            <w:shd w:val="clear" w:color="auto" w:fill="auto"/>
            <w:vAlign w:val="bottom"/>
            <w:hideMark/>
          </w:tcPr>
          <w:p w14:paraId="1D25E71A" w14:textId="77777777" w:rsidR="00B9311E" w:rsidRPr="00BD77D8" w:rsidRDefault="00B9311E" w:rsidP="00B9311E">
            <w:pPr>
              <w:spacing w:after="0" w:line="240" w:lineRule="auto"/>
              <w:jc w:val="right"/>
              <w:rPr>
                <w:b/>
                <w:bCs/>
                <w:sz w:val="18"/>
                <w:szCs w:val="18"/>
              </w:rPr>
            </w:pPr>
            <w:r w:rsidRPr="00BD77D8">
              <w:rPr>
                <w:b/>
                <w:bCs/>
                <w:sz w:val="18"/>
                <w:szCs w:val="18"/>
              </w:rPr>
              <w:t xml:space="preserve">               892 </w:t>
            </w:r>
          </w:p>
        </w:tc>
        <w:tc>
          <w:tcPr>
            <w:tcW w:w="1298" w:type="dxa"/>
            <w:tcBorders>
              <w:top w:val="single" w:sz="4" w:space="0" w:color="auto"/>
              <w:left w:val="nil"/>
              <w:bottom w:val="single" w:sz="4" w:space="0" w:color="auto"/>
              <w:right w:val="nil"/>
            </w:tcBorders>
            <w:shd w:val="clear" w:color="auto" w:fill="auto"/>
            <w:vAlign w:val="bottom"/>
            <w:hideMark/>
          </w:tcPr>
          <w:p w14:paraId="521F9035"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013" w:type="dxa"/>
            <w:tcBorders>
              <w:top w:val="single" w:sz="4" w:space="0" w:color="auto"/>
              <w:left w:val="nil"/>
              <w:bottom w:val="single" w:sz="4" w:space="0" w:color="auto"/>
              <w:right w:val="nil"/>
            </w:tcBorders>
            <w:shd w:val="clear" w:color="auto" w:fill="auto"/>
            <w:vAlign w:val="bottom"/>
            <w:hideMark/>
          </w:tcPr>
          <w:p w14:paraId="1FEC3133" w14:textId="77777777" w:rsidR="00B9311E" w:rsidRPr="00BD77D8" w:rsidRDefault="00B9311E" w:rsidP="00B9311E">
            <w:pPr>
              <w:spacing w:after="0" w:line="240" w:lineRule="auto"/>
              <w:jc w:val="right"/>
              <w:rPr>
                <w:b/>
                <w:bCs/>
                <w:sz w:val="18"/>
                <w:szCs w:val="18"/>
              </w:rPr>
            </w:pPr>
            <w:r w:rsidRPr="00BD77D8">
              <w:rPr>
                <w:b/>
                <w:bCs/>
                <w:sz w:val="18"/>
                <w:szCs w:val="18"/>
              </w:rPr>
              <w:t xml:space="preserve">           892 </w:t>
            </w:r>
          </w:p>
        </w:tc>
      </w:tr>
      <w:tr w:rsidR="00BD77D8" w:rsidRPr="00BD77D8" w14:paraId="3B076E5C" w14:textId="77777777" w:rsidTr="003057FB">
        <w:trPr>
          <w:trHeight w:val="300"/>
        </w:trPr>
        <w:tc>
          <w:tcPr>
            <w:tcW w:w="5867" w:type="dxa"/>
            <w:tcBorders>
              <w:top w:val="nil"/>
              <w:left w:val="nil"/>
              <w:bottom w:val="nil"/>
              <w:right w:val="nil"/>
            </w:tcBorders>
            <w:shd w:val="clear" w:color="auto" w:fill="auto"/>
            <w:noWrap/>
            <w:vAlign w:val="bottom"/>
            <w:hideMark/>
          </w:tcPr>
          <w:p w14:paraId="78429076" w14:textId="77777777" w:rsidR="00B9311E" w:rsidRPr="00BD77D8" w:rsidRDefault="00B9311E" w:rsidP="00B9311E">
            <w:pPr>
              <w:spacing w:after="0" w:line="240" w:lineRule="auto"/>
              <w:rPr>
                <w:b/>
                <w:bCs/>
                <w:sz w:val="18"/>
                <w:szCs w:val="18"/>
              </w:rPr>
            </w:pPr>
            <w:r w:rsidRPr="00BD77D8">
              <w:rPr>
                <w:b/>
                <w:bCs/>
                <w:sz w:val="18"/>
                <w:szCs w:val="18"/>
              </w:rPr>
              <w:t xml:space="preserve"> Balance as at 30 June 2022 </w:t>
            </w:r>
          </w:p>
        </w:tc>
        <w:tc>
          <w:tcPr>
            <w:tcW w:w="995" w:type="dxa"/>
            <w:tcBorders>
              <w:top w:val="nil"/>
              <w:left w:val="nil"/>
              <w:bottom w:val="nil"/>
              <w:right w:val="nil"/>
            </w:tcBorders>
            <w:shd w:val="clear" w:color="auto" w:fill="auto"/>
            <w:noWrap/>
            <w:vAlign w:val="bottom"/>
            <w:hideMark/>
          </w:tcPr>
          <w:p w14:paraId="2CACEEE3" w14:textId="77777777" w:rsidR="00B9311E" w:rsidRPr="00BD77D8" w:rsidRDefault="00B9311E" w:rsidP="00B9311E">
            <w:pPr>
              <w:spacing w:after="0" w:line="240" w:lineRule="auto"/>
              <w:rPr>
                <w:b/>
                <w:bCs/>
                <w:sz w:val="18"/>
                <w:szCs w:val="18"/>
              </w:rPr>
            </w:pPr>
          </w:p>
        </w:tc>
        <w:tc>
          <w:tcPr>
            <w:tcW w:w="1148" w:type="dxa"/>
            <w:tcBorders>
              <w:top w:val="single" w:sz="4" w:space="0" w:color="auto"/>
              <w:left w:val="nil"/>
              <w:bottom w:val="single" w:sz="4" w:space="0" w:color="auto"/>
              <w:right w:val="nil"/>
            </w:tcBorders>
            <w:shd w:val="clear" w:color="auto" w:fill="auto"/>
            <w:vAlign w:val="bottom"/>
            <w:hideMark/>
          </w:tcPr>
          <w:p w14:paraId="01554339" w14:textId="77777777" w:rsidR="00B9311E" w:rsidRPr="00BD77D8" w:rsidRDefault="00B9311E" w:rsidP="00B9311E">
            <w:pPr>
              <w:spacing w:after="0" w:line="240" w:lineRule="auto"/>
              <w:jc w:val="right"/>
              <w:rPr>
                <w:b/>
                <w:bCs/>
                <w:sz w:val="18"/>
                <w:szCs w:val="18"/>
              </w:rPr>
            </w:pPr>
            <w:r w:rsidRPr="00BD77D8">
              <w:rPr>
                <w:b/>
                <w:bCs/>
                <w:sz w:val="18"/>
                <w:szCs w:val="18"/>
              </w:rPr>
              <w:t xml:space="preserve">       174,972 </w:t>
            </w:r>
          </w:p>
        </w:tc>
        <w:tc>
          <w:tcPr>
            <w:tcW w:w="1298" w:type="dxa"/>
            <w:tcBorders>
              <w:top w:val="single" w:sz="4" w:space="0" w:color="auto"/>
              <w:left w:val="nil"/>
              <w:bottom w:val="single" w:sz="4" w:space="0" w:color="auto"/>
              <w:right w:val="nil"/>
            </w:tcBorders>
            <w:shd w:val="clear" w:color="auto" w:fill="auto"/>
            <w:vAlign w:val="bottom"/>
            <w:hideMark/>
          </w:tcPr>
          <w:p w14:paraId="3F00A37F" w14:textId="77777777" w:rsidR="00B9311E" w:rsidRPr="00BD77D8" w:rsidRDefault="00B9311E" w:rsidP="00B9311E">
            <w:pPr>
              <w:spacing w:after="0" w:line="240" w:lineRule="auto"/>
              <w:jc w:val="right"/>
              <w:rPr>
                <w:b/>
                <w:bCs/>
                <w:sz w:val="18"/>
                <w:szCs w:val="18"/>
              </w:rPr>
            </w:pPr>
            <w:r w:rsidRPr="00BD77D8">
              <w:rPr>
                <w:b/>
                <w:bCs/>
                <w:sz w:val="18"/>
                <w:szCs w:val="18"/>
              </w:rPr>
              <w:t xml:space="preserve">             54,211 </w:t>
            </w:r>
          </w:p>
        </w:tc>
        <w:tc>
          <w:tcPr>
            <w:tcW w:w="1013" w:type="dxa"/>
            <w:tcBorders>
              <w:top w:val="single" w:sz="4" w:space="0" w:color="auto"/>
              <w:left w:val="nil"/>
              <w:bottom w:val="single" w:sz="4" w:space="0" w:color="auto"/>
              <w:right w:val="nil"/>
            </w:tcBorders>
            <w:shd w:val="clear" w:color="auto" w:fill="auto"/>
            <w:vAlign w:val="bottom"/>
            <w:hideMark/>
          </w:tcPr>
          <w:p w14:paraId="168D050D" w14:textId="77777777" w:rsidR="00B9311E" w:rsidRPr="00BD77D8" w:rsidRDefault="00B9311E" w:rsidP="00B9311E">
            <w:pPr>
              <w:spacing w:after="0" w:line="240" w:lineRule="auto"/>
              <w:jc w:val="right"/>
              <w:rPr>
                <w:b/>
                <w:bCs/>
                <w:sz w:val="18"/>
                <w:szCs w:val="18"/>
              </w:rPr>
            </w:pPr>
            <w:r w:rsidRPr="00BD77D8">
              <w:rPr>
                <w:b/>
                <w:bCs/>
                <w:sz w:val="18"/>
                <w:szCs w:val="18"/>
              </w:rPr>
              <w:t xml:space="preserve">   229,183 </w:t>
            </w:r>
          </w:p>
        </w:tc>
      </w:tr>
    </w:tbl>
    <w:p w14:paraId="4B49FBD1" w14:textId="77777777" w:rsidR="00B9311E" w:rsidRPr="00BD77D8" w:rsidRDefault="00B9311E" w:rsidP="00587E62">
      <w:pPr>
        <w:spacing w:before="240" w:after="240" w:line="205" w:lineRule="exact"/>
        <w:textAlignment w:val="baseline"/>
        <w:rPr>
          <w:rFonts w:eastAsia="Arial"/>
          <w:b/>
          <w:bCs/>
          <w:iCs/>
          <w:spacing w:val="-3"/>
          <w:sz w:val="16"/>
          <w:szCs w:val="16"/>
          <w:lang w:eastAsia="en-US"/>
        </w:rPr>
      </w:pPr>
      <w:r w:rsidRPr="00BD77D8">
        <w:rPr>
          <w:rFonts w:eastAsia="Arial"/>
          <w:iCs/>
          <w:spacing w:val="-3"/>
          <w:sz w:val="16"/>
          <w:szCs w:val="16"/>
          <w:lang w:eastAsia="en-US"/>
        </w:rPr>
        <w:t>^ Final transfer of assets to the Department of Communities, Housing and Digital Economy. Refer to note A4 Machinery-of-Government (</w:t>
      </w:r>
      <w:proofErr w:type="spellStart"/>
      <w:r w:rsidRPr="00BD77D8">
        <w:rPr>
          <w:rFonts w:eastAsia="Arial"/>
          <w:iCs/>
          <w:spacing w:val="-3"/>
          <w:sz w:val="16"/>
          <w:szCs w:val="16"/>
          <w:lang w:eastAsia="en-US"/>
        </w:rPr>
        <w:t>MoG</w:t>
      </w:r>
      <w:proofErr w:type="spellEnd"/>
      <w:r w:rsidRPr="00BD77D8">
        <w:rPr>
          <w:rFonts w:eastAsia="Arial"/>
          <w:iCs/>
          <w:spacing w:val="-3"/>
          <w:sz w:val="16"/>
          <w:szCs w:val="16"/>
          <w:lang w:eastAsia="en-US"/>
        </w:rPr>
        <w:t>) Changes.</w:t>
      </w:r>
    </w:p>
    <w:p w14:paraId="0C1EDECC" w14:textId="77777777" w:rsidR="00B9311E" w:rsidRPr="00BD77D8" w:rsidRDefault="00B9311E" w:rsidP="00B9311E">
      <w:pPr>
        <w:spacing w:after="0" w:line="205" w:lineRule="exact"/>
        <w:textAlignment w:val="baseline"/>
        <w:rPr>
          <w:rFonts w:eastAsia="Arial"/>
          <w:b/>
          <w:bCs/>
          <w:iCs/>
          <w:spacing w:val="-3"/>
          <w:sz w:val="16"/>
          <w:szCs w:val="16"/>
          <w:lang w:eastAsia="en-US"/>
        </w:rPr>
      </w:pPr>
      <w:r w:rsidRPr="00BD77D8">
        <w:rPr>
          <w:rFonts w:eastAsia="Arial"/>
          <w:iCs/>
          <w:spacing w:val="-3"/>
          <w:sz w:val="16"/>
          <w:szCs w:val="16"/>
          <w:lang w:eastAsia="en-US"/>
        </w:rPr>
        <w:t xml:space="preserve">*On 6 September 2021, the Minister approved the transfer of </w:t>
      </w:r>
      <w:proofErr w:type="spellStart"/>
      <w:r w:rsidRPr="00BD77D8">
        <w:rPr>
          <w:rFonts w:eastAsia="Arial"/>
          <w:iCs/>
          <w:spacing w:val="-3"/>
          <w:sz w:val="16"/>
          <w:szCs w:val="16"/>
          <w:lang w:eastAsia="en-US"/>
        </w:rPr>
        <w:t>Olandi</w:t>
      </w:r>
      <w:proofErr w:type="spellEnd"/>
      <w:r w:rsidRPr="00BD77D8">
        <w:rPr>
          <w:rFonts w:eastAsia="Arial"/>
          <w:iCs/>
          <w:spacing w:val="-3"/>
          <w:sz w:val="16"/>
          <w:szCs w:val="16"/>
          <w:lang w:eastAsia="en-US"/>
        </w:rPr>
        <w:t xml:space="preserve"> Hall (land net book value of $0.495 million and building net book value of $1.109 million) </w:t>
      </w:r>
      <w:r w:rsidRPr="00BD77D8">
        <w:rPr>
          <w:rFonts w:eastAsia="PMingLiU"/>
          <w:sz w:val="16"/>
          <w:szCs w:val="20"/>
          <w:lang w:eastAsia="en-US"/>
        </w:rPr>
        <w:t>to the Torres Shire Council for nil consideration. The transfer of this asset to Council Trusteeship is consistent with Queensland Government policy. The land title transferred on 1 October 2021. As per Section 4F.5 of the Treasury Financial Reporting Requirements for Government Agencies 2021-2022, the transaction has been recognised as a reduction in Controlled Equity and recognition of the asset transfer as an Administered Grant.</w:t>
      </w:r>
    </w:p>
    <w:p w14:paraId="3DF7EF53" w14:textId="77777777" w:rsidR="00B9311E" w:rsidRPr="00BD77D8" w:rsidRDefault="00B9311E" w:rsidP="009B462F">
      <w:pPr>
        <w:spacing w:before="3360" w:after="0" w:line="205" w:lineRule="exact"/>
        <w:textAlignment w:val="baseline"/>
        <w:rPr>
          <w:rFonts w:eastAsia="Arial"/>
          <w:b/>
          <w:bCs/>
          <w:iCs/>
          <w:spacing w:val="-3"/>
          <w:sz w:val="16"/>
          <w:szCs w:val="16"/>
          <w:lang w:eastAsia="en-US"/>
        </w:rPr>
      </w:pPr>
      <w:r w:rsidRPr="00BD77D8">
        <w:rPr>
          <w:rFonts w:eastAsia="Arial"/>
          <w:iCs/>
          <w:spacing w:val="-3"/>
          <w:sz w:val="16"/>
          <w:szCs w:val="16"/>
          <w:lang w:eastAsia="en-US"/>
        </w:rPr>
        <w:t>The accompanying notes form part of these financial statements.</w:t>
      </w:r>
    </w:p>
    <w:p w14:paraId="6BA51EB6" w14:textId="7F2BB658" w:rsidR="00702AE3" w:rsidRPr="00BD77D8" w:rsidRDefault="00702AE3" w:rsidP="009B462F">
      <w:pPr>
        <w:spacing w:before="840" w:after="0" w:line="240" w:lineRule="auto"/>
        <w:rPr>
          <w:rFonts w:eastAsia="PMingLiU"/>
          <w:sz w:val="18"/>
          <w:szCs w:val="18"/>
          <w:lang w:eastAsia="en-US"/>
        </w:rPr>
        <w:sectPr w:rsidR="00702AE3" w:rsidRPr="00BD77D8" w:rsidSect="00A124D8">
          <w:pgSz w:w="11909" w:h="16838"/>
          <w:pgMar w:top="794" w:right="794" w:bottom="794" w:left="794" w:header="720" w:footer="720" w:gutter="0"/>
          <w:cols w:space="720"/>
          <w:docGrid w:linePitch="245"/>
        </w:sectPr>
      </w:pP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t>Page 8 of 45</w:t>
      </w:r>
    </w:p>
    <w:p w14:paraId="38982AF9" w14:textId="77777777" w:rsidR="00B9311E" w:rsidRPr="00BD77D8" w:rsidRDefault="00B9311E" w:rsidP="00B9311E">
      <w:pPr>
        <w:spacing w:after="0" w:line="200"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40B559DD" w14:textId="77777777" w:rsidR="00B9311E" w:rsidRPr="00BD77D8" w:rsidRDefault="00B9311E" w:rsidP="00F70507">
      <w:pPr>
        <w:spacing w:after="0" w:line="200" w:lineRule="exact"/>
        <w:textAlignment w:val="baseline"/>
        <w:rPr>
          <w:rFonts w:eastAsia="Arial"/>
          <w:b/>
          <w:bCs/>
          <w:sz w:val="18"/>
          <w:szCs w:val="18"/>
          <w:lang w:eastAsia="en-US"/>
        </w:rPr>
      </w:pPr>
      <w:bookmarkStart w:id="41" w:name="_Toc111494797"/>
      <w:bookmarkStart w:id="42" w:name="_Toc111540669"/>
      <w:bookmarkStart w:id="43" w:name="_Toc111559232"/>
      <w:bookmarkStart w:id="44" w:name="_Toc113196504"/>
      <w:bookmarkStart w:id="45" w:name="_Toc113196852"/>
      <w:bookmarkStart w:id="46" w:name="_Toc113261982"/>
      <w:r w:rsidRPr="00BD77D8">
        <w:rPr>
          <w:rFonts w:eastAsia="Arial"/>
          <w:b/>
          <w:bCs/>
          <w:sz w:val="18"/>
          <w:szCs w:val="18"/>
          <w:lang w:eastAsia="en-US"/>
        </w:rPr>
        <w:t>Statement of Cash Flows - Controlled</w:t>
      </w:r>
      <w:bookmarkEnd w:id="41"/>
      <w:bookmarkEnd w:id="42"/>
      <w:bookmarkEnd w:id="43"/>
      <w:bookmarkEnd w:id="44"/>
      <w:bookmarkEnd w:id="45"/>
      <w:bookmarkEnd w:id="46"/>
    </w:p>
    <w:p w14:paraId="08455119" w14:textId="77777777" w:rsidR="00B9311E" w:rsidRPr="00BD77D8" w:rsidRDefault="00B9311E" w:rsidP="00B9311E">
      <w:pPr>
        <w:spacing w:after="0" w:line="205"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6644EF71" w14:textId="77777777" w:rsidR="00B9311E" w:rsidRPr="00BD77D8" w:rsidRDefault="00B9311E" w:rsidP="00B9311E">
      <w:pPr>
        <w:pBdr>
          <w:bottom w:val="single" w:sz="4" w:space="1" w:color="auto"/>
        </w:pBdr>
        <w:spacing w:after="0" w:line="205" w:lineRule="exact"/>
        <w:textAlignment w:val="baseline"/>
        <w:rPr>
          <w:rFonts w:eastAsia="PMingLiU"/>
          <w:sz w:val="18"/>
          <w:szCs w:val="18"/>
          <w:lang w:eastAsia="en-US"/>
        </w:rPr>
      </w:pPr>
    </w:p>
    <w:p w14:paraId="7DA2A733" w14:textId="77777777" w:rsidR="00B9311E" w:rsidRPr="00BD77D8" w:rsidRDefault="00B9311E" w:rsidP="00B9311E">
      <w:pPr>
        <w:tabs>
          <w:tab w:val="left" w:pos="360"/>
        </w:tabs>
        <w:spacing w:after="0" w:line="191" w:lineRule="exact"/>
        <w:textAlignment w:val="baseline"/>
        <w:rPr>
          <w:rFonts w:eastAsia="PMingLiU"/>
          <w:sz w:val="18"/>
          <w:szCs w:val="22"/>
          <w:lang w:val="en-US" w:eastAsia="en-US"/>
        </w:rPr>
      </w:pPr>
    </w:p>
    <w:tbl>
      <w:tblPr>
        <w:tblW w:w="10308" w:type="dxa"/>
        <w:tblCellMar>
          <w:left w:w="0" w:type="dxa"/>
          <w:right w:w="0" w:type="dxa"/>
        </w:tblCellMar>
        <w:tblLook w:val="04A0" w:firstRow="1" w:lastRow="0" w:firstColumn="1" w:lastColumn="0" w:noHBand="0" w:noVBand="1"/>
      </w:tblPr>
      <w:tblGrid>
        <w:gridCol w:w="4427"/>
        <w:gridCol w:w="1066"/>
        <w:gridCol w:w="1106"/>
        <w:gridCol w:w="1312"/>
        <w:gridCol w:w="1360"/>
        <w:gridCol w:w="1037"/>
      </w:tblGrid>
      <w:tr w:rsidR="00BD77D8" w:rsidRPr="00BD77D8" w14:paraId="494DFF4B" w14:textId="77777777" w:rsidTr="003057FB">
        <w:trPr>
          <w:trHeight w:val="493"/>
        </w:trPr>
        <w:tc>
          <w:tcPr>
            <w:tcW w:w="0" w:type="auto"/>
            <w:tcBorders>
              <w:top w:val="nil"/>
              <w:left w:val="nil"/>
              <w:bottom w:val="nil"/>
              <w:right w:val="nil"/>
            </w:tcBorders>
            <w:shd w:val="clear" w:color="auto" w:fill="auto"/>
            <w:noWrap/>
            <w:vAlign w:val="bottom"/>
            <w:hideMark/>
          </w:tcPr>
          <w:p w14:paraId="63F557F8" w14:textId="77777777" w:rsidR="00B9311E" w:rsidRPr="00BD77D8" w:rsidRDefault="00B9311E" w:rsidP="00B9311E">
            <w:pPr>
              <w:spacing w:after="0" w:line="240" w:lineRule="auto"/>
              <w:rPr>
                <w:rFonts w:ascii="Times New Roman" w:hAnsi="Times New Roman" w:cs="Times New Roman"/>
                <w:sz w:val="24"/>
                <w:szCs w:val="24"/>
              </w:rPr>
            </w:pPr>
          </w:p>
        </w:tc>
        <w:tc>
          <w:tcPr>
            <w:tcW w:w="1050" w:type="dxa"/>
            <w:tcBorders>
              <w:top w:val="nil"/>
              <w:left w:val="nil"/>
              <w:bottom w:val="nil"/>
              <w:right w:val="nil"/>
            </w:tcBorders>
            <w:shd w:val="clear" w:color="auto" w:fill="auto"/>
            <w:noWrap/>
            <w:vAlign w:val="bottom"/>
            <w:hideMark/>
          </w:tcPr>
          <w:p w14:paraId="563CBC74" w14:textId="77777777" w:rsidR="00B9311E" w:rsidRPr="00BD77D8" w:rsidRDefault="00B9311E" w:rsidP="00B9311E">
            <w:pPr>
              <w:spacing w:after="0" w:line="240" w:lineRule="auto"/>
              <w:rPr>
                <w:rFonts w:ascii="Times New Roman" w:hAnsi="Times New Roman" w:cs="Times New Roman"/>
                <w:b/>
                <w:bCs/>
                <w:sz w:val="20"/>
                <w:szCs w:val="20"/>
              </w:rPr>
            </w:pPr>
          </w:p>
        </w:tc>
        <w:tc>
          <w:tcPr>
            <w:tcW w:w="1090" w:type="dxa"/>
            <w:tcBorders>
              <w:top w:val="nil"/>
              <w:left w:val="nil"/>
              <w:bottom w:val="nil"/>
              <w:right w:val="nil"/>
            </w:tcBorders>
            <w:shd w:val="clear" w:color="auto" w:fill="auto"/>
            <w:noWrap/>
            <w:vAlign w:val="bottom"/>
            <w:hideMark/>
          </w:tcPr>
          <w:p w14:paraId="7316958A" w14:textId="77777777" w:rsidR="00B9311E" w:rsidRPr="00BD77D8" w:rsidRDefault="00B9311E" w:rsidP="00B9311E">
            <w:pPr>
              <w:spacing w:after="0" w:line="240" w:lineRule="auto"/>
              <w:jc w:val="right"/>
              <w:rPr>
                <w:b/>
                <w:bCs/>
                <w:sz w:val="18"/>
                <w:szCs w:val="18"/>
              </w:rPr>
            </w:pPr>
            <w:r w:rsidRPr="00BD77D8">
              <w:rPr>
                <w:b/>
                <w:bCs/>
                <w:sz w:val="18"/>
                <w:szCs w:val="18"/>
              </w:rPr>
              <w:t>Actual</w:t>
            </w:r>
          </w:p>
        </w:tc>
        <w:tc>
          <w:tcPr>
            <w:tcW w:w="1296" w:type="dxa"/>
            <w:tcBorders>
              <w:top w:val="nil"/>
              <w:left w:val="nil"/>
              <w:bottom w:val="nil"/>
              <w:right w:val="nil"/>
            </w:tcBorders>
            <w:shd w:val="clear" w:color="auto" w:fill="auto"/>
            <w:vAlign w:val="bottom"/>
            <w:hideMark/>
          </w:tcPr>
          <w:p w14:paraId="4473C273" w14:textId="77777777" w:rsidR="00B9311E" w:rsidRPr="00BD77D8" w:rsidRDefault="00B9311E" w:rsidP="00B9311E">
            <w:pPr>
              <w:spacing w:after="0" w:line="240" w:lineRule="auto"/>
              <w:jc w:val="right"/>
              <w:rPr>
                <w:b/>
                <w:bCs/>
                <w:sz w:val="18"/>
                <w:szCs w:val="18"/>
              </w:rPr>
            </w:pPr>
            <w:r w:rsidRPr="00BD77D8">
              <w:rPr>
                <w:b/>
                <w:bCs/>
                <w:sz w:val="18"/>
                <w:szCs w:val="18"/>
              </w:rPr>
              <w:t>Original Budget^</w:t>
            </w:r>
          </w:p>
        </w:tc>
        <w:tc>
          <w:tcPr>
            <w:tcW w:w="1344" w:type="dxa"/>
            <w:tcBorders>
              <w:top w:val="nil"/>
              <w:left w:val="nil"/>
              <w:bottom w:val="nil"/>
              <w:right w:val="nil"/>
            </w:tcBorders>
            <w:shd w:val="clear" w:color="auto" w:fill="auto"/>
            <w:vAlign w:val="bottom"/>
            <w:hideMark/>
          </w:tcPr>
          <w:p w14:paraId="27F77E3C" w14:textId="77777777" w:rsidR="00B9311E" w:rsidRPr="00BD77D8" w:rsidRDefault="00B9311E" w:rsidP="00B9311E">
            <w:pPr>
              <w:spacing w:after="0" w:line="240" w:lineRule="auto"/>
              <w:jc w:val="right"/>
              <w:rPr>
                <w:b/>
                <w:bCs/>
                <w:sz w:val="18"/>
                <w:szCs w:val="18"/>
              </w:rPr>
            </w:pPr>
            <w:r w:rsidRPr="00BD77D8">
              <w:rPr>
                <w:b/>
                <w:bCs/>
                <w:sz w:val="18"/>
                <w:szCs w:val="18"/>
              </w:rPr>
              <w:t>Budget Variance*</w:t>
            </w:r>
          </w:p>
        </w:tc>
        <w:tc>
          <w:tcPr>
            <w:tcW w:w="0" w:type="auto"/>
            <w:tcBorders>
              <w:top w:val="nil"/>
              <w:left w:val="nil"/>
              <w:bottom w:val="nil"/>
              <w:right w:val="nil"/>
            </w:tcBorders>
            <w:shd w:val="clear" w:color="auto" w:fill="auto"/>
            <w:noWrap/>
            <w:vAlign w:val="bottom"/>
            <w:hideMark/>
          </w:tcPr>
          <w:p w14:paraId="5CB29013" w14:textId="77777777" w:rsidR="00B9311E" w:rsidRPr="00BD77D8" w:rsidRDefault="00B9311E" w:rsidP="00B9311E">
            <w:pPr>
              <w:spacing w:after="0" w:line="240" w:lineRule="auto"/>
              <w:jc w:val="right"/>
              <w:rPr>
                <w:b/>
                <w:bCs/>
                <w:sz w:val="18"/>
                <w:szCs w:val="18"/>
              </w:rPr>
            </w:pPr>
            <w:r w:rsidRPr="00BD77D8">
              <w:rPr>
                <w:b/>
                <w:bCs/>
                <w:sz w:val="18"/>
                <w:szCs w:val="18"/>
              </w:rPr>
              <w:t>Actual</w:t>
            </w:r>
          </w:p>
        </w:tc>
      </w:tr>
      <w:tr w:rsidR="00BD77D8" w:rsidRPr="00BD77D8" w14:paraId="46F696EF" w14:textId="77777777" w:rsidTr="003057FB">
        <w:trPr>
          <w:trHeight w:val="246"/>
        </w:trPr>
        <w:tc>
          <w:tcPr>
            <w:tcW w:w="0" w:type="auto"/>
            <w:tcBorders>
              <w:top w:val="nil"/>
              <w:left w:val="nil"/>
              <w:bottom w:val="nil"/>
              <w:right w:val="nil"/>
            </w:tcBorders>
            <w:shd w:val="clear" w:color="auto" w:fill="auto"/>
            <w:noWrap/>
            <w:vAlign w:val="bottom"/>
            <w:hideMark/>
          </w:tcPr>
          <w:p w14:paraId="5047CAA5" w14:textId="77777777" w:rsidR="00B9311E" w:rsidRPr="00BD77D8" w:rsidRDefault="00B9311E" w:rsidP="00B9311E">
            <w:pPr>
              <w:spacing w:after="0" w:line="240" w:lineRule="auto"/>
              <w:jc w:val="right"/>
              <w:rPr>
                <w:sz w:val="18"/>
                <w:szCs w:val="18"/>
              </w:rPr>
            </w:pPr>
          </w:p>
        </w:tc>
        <w:tc>
          <w:tcPr>
            <w:tcW w:w="1050" w:type="dxa"/>
            <w:tcBorders>
              <w:top w:val="nil"/>
              <w:left w:val="nil"/>
              <w:bottom w:val="nil"/>
              <w:right w:val="nil"/>
            </w:tcBorders>
            <w:shd w:val="clear" w:color="auto" w:fill="auto"/>
            <w:noWrap/>
            <w:vAlign w:val="bottom"/>
            <w:hideMark/>
          </w:tcPr>
          <w:p w14:paraId="6D35F315" w14:textId="77777777" w:rsidR="00B9311E" w:rsidRPr="00BD77D8" w:rsidRDefault="00B9311E" w:rsidP="00B9311E">
            <w:pPr>
              <w:spacing w:after="0" w:line="240" w:lineRule="auto"/>
              <w:jc w:val="center"/>
              <w:rPr>
                <w:b/>
                <w:bCs/>
                <w:sz w:val="18"/>
                <w:szCs w:val="18"/>
              </w:rPr>
            </w:pPr>
            <w:r w:rsidRPr="00BD77D8">
              <w:rPr>
                <w:b/>
                <w:bCs/>
                <w:sz w:val="18"/>
                <w:szCs w:val="18"/>
              </w:rPr>
              <w:t xml:space="preserve"> Note </w:t>
            </w:r>
          </w:p>
        </w:tc>
        <w:tc>
          <w:tcPr>
            <w:tcW w:w="1090" w:type="dxa"/>
            <w:tcBorders>
              <w:top w:val="nil"/>
              <w:left w:val="nil"/>
              <w:bottom w:val="nil"/>
              <w:right w:val="nil"/>
            </w:tcBorders>
            <w:shd w:val="clear" w:color="auto" w:fill="auto"/>
            <w:vAlign w:val="bottom"/>
            <w:hideMark/>
          </w:tcPr>
          <w:p w14:paraId="49BB4FFC" w14:textId="77777777" w:rsidR="00B9311E" w:rsidRPr="00BD77D8" w:rsidRDefault="00B9311E" w:rsidP="00B9311E">
            <w:pPr>
              <w:spacing w:after="0" w:line="240" w:lineRule="auto"/>
              <w:jc w:val="right"/>
              <w:rPr>
                <w:b/>
                <w:bCs/>
                <w:sz w:val="18"/>
                <w:szCs w:val="18"/>
              </w:rPr>
            </w:pPr>
            <w:r w:rsidRPr="00BD77D8">
              <w:rPr>
                <w:b/>
                <w:bCs/>
                <w:sz w:val="18"/>
                <w:szCs w:val="18"/>
              </w:rPr>
              <w:t xml:space="preserve">           2022 </w:t>
            </w:r>
          </w:p>
        </w:tc>
        <w:tc>
          <w:tcPr>
            <w:tcW w:w="1296" w:type="dxa"/>
            <w:tcBorders>
              <w:top w:val="nil"/>
              <w:left w:val="nil"/>
              <w:bottom w:val="nil"/>
              <w:right w:val="nil"/>
            </w:tcBorders>
            <w:shd w:val="clear" w:color="auto" w:fill="auto"/>
            <w:vAlign w:val="bottom"/>
            <w:hideMark/>
          </w:tcPr>
          <w:p w14:paraId="31F84AFE" w14:textId="77777777" w:rsidR="00B9311E" w:rsidRPr="00BD77D8" w:rsidRDefault="00B9311E" w:rsidP="00B9311E">
            <w:pPr>
              <w:spacing w:after="0" w:line="240" w:lineRule="auto"/>
              <w:jc w:val="right"/>
              <w:rPr>
                <w:b/>
                <w:bCs/>
                <w:sz w:val="18"/>
                <w:szCs w:val="18"/>
              </w:rPr>
            </w:pPr>
            <w:r w:rsidRPr="00BD77D8">
              <w:rPr>
                <w:b/>
                <w:bCs/>
                <w:sz w:val="18"/>
                <w:szCs w:val="18"/>
              </w:rPr>
              <w:t xml:space="preserve">           2022 </w:t>
            </w:r>
          </w:p>
        </w:tc>
        <w:tc>
          <w:tcPr>
            <w:tcW w:w="1344" w:type="dxa"/>
            <w:tcBorders>
              <w:top w:val="nil"/>
              <w:left w:val="nil"/>
              <w:bottom w:val="nil"/>
              <w:right w:val="nil"/>
            </w:tcBorders>
            <w:shd w:val="clear" w:color="auto" w:fill="auto"/>
            <w:vAlign w:val="bottom"/>
            <w:hideMark/>
          </w:tcPr>
          <w:p w14:paraId="1D61C0F3" w14:textId="77777777" w:rsidR="00B9311E" w:rsidRPr="00BD77D8" w:rsidRDefault="00B9311E" w:rsidP="00B9311E">
            <w:pPr>
              <w:spacing w:after="0" w:line="240" w:lineRule="auto"/>
              <w:jc w:val="right"/>
              <w:rPr>
                <w:b/>
                <w:bCs/>
                <w:sz w:val="18"/>
                <w:szCs w:val="18"/>
              </w:rPr>
            </w:pPr>
            <w:r w:rsidRPr="00BD77D8">
              <w:rPr>
                <w:b/>
                <w:bCs/>
                <w:sz w:val="18"/>
                <w:szCs w:val="18"/>
              </w:rPr>
              <w:t xml:space="preserve">           2022 </w:t>
            </w:r>
          </w:p>
        </w:tc>
        <w:tc>
          <w:tcPr>
            <w:tcW w:w="0" w:type="auto"/>
            <w:tcBorders>
              <w:top w:val="nil"/>
              <w:left w:val="nil"/>
              <w:bottom w:val="nil"/>
              <w:right w:val="nil"/>
            </w:tcBorders>
            <w:shd w:val="clear" w:color="auto" w:fill="auto"/>
            <w:vAlign w:val="bottom"/>
            <w:hideMark/>
          </w:tcPr>
          <w:p w14:paraId="4A33F97A" w14:textId="77777777" w:rsidR="00B9311E" w:rsidRPr="00BD77D8" w:rsidRDefault="00B9311E" w:rsidP="00B9311E">
            <w:pPr>
              <w:spacing w:after="0" w:line="240" w:lineRule="auto"/>
              <w:jc w:val="right"/>
              <w:rPr>
                <w:b/>
                <w:bCs/>
                <w:sz w:val="18"/>
                <w:szCs w:val="18"/>
              </w:rPr>
            </w:pPr>
            <w:r w:rsidRPr="00BD77D8">
              <w:rPr>
                <w:b/>
                <w:bCs/>
                <w:sz w:val="18"/>
                <w:szCs w:val="18"/>
              </w:rPr>
              <w:t xml:space="preserve">           2021 </w:t>
            </w:r>
          </w:p>
        </w:tc>
      </w:tr>
      <w:tr w:rsidR="00BD77D8" w:rsidRPr="00BD77D8" w14:paraId="1662E2BE" w14:textId="77777777" w:rsidTr="003057FB">
        <w:trPr>
          <w:trHeight w:val="246"/>
        </w:trPr>
        <w:tc>
          <w:tcPr>
            <w:tcW w:w="0" w:type="auto"/>
            <w:tcBorders>
              <w:top w:val="nil"/>
              <w:left w:val="nil"/>
              <w:bottom w:val="single" w:sz="4" w:space="0" w:color="auto"/>
              <w:right w:val="nil"/>
            </w:tcBorders>
            <w:shd w:val="clear" w:color="auto" w:fill="auto"/>
            <w:noWrap/>
            <w:vAlign w:val="bottom"/>
            <w:hideMark/>
          </w:tcPr>
          <w:p w14:paraId="7D0931F3" w14:textId="77777777" w:rsidR="00B9311E" w:rsidRPr="00BD77D8" w:rsidRDefault="00B9311E" w:rsidP="00B9311E">
            <w:pPr>
              <w:spacing w:after="0" w:line="240" w:lineRule="auto"/>
              <w:rPr>
                <w:sz w:val="18"/>
                <w:szCs w:val="18"/>
              </w:rPr>
            </w:pPr>
            <w:r w:rsidRPr="00BD77D8">
              <w:rPr>
                <w:sz w:val="18"/>
                <w:szCs w:val="18"/>
              </w:rPr>
              <w:t> </w:t>
            </w:r>
          </w:p>
        </w:tc>
        <w:tc>
          <w:tcPr>
            <w:tcW w:w="1050" w:type="dxa"/>
            <w:tcBorders>
              <w:top w:val="nil"/>
              <w:left w:val="nil"/>
              <w:bottom w:val="single" w:sz="4" w:space="0" w:color="auto"/>
              <w:right w:val="nil"/>
            </w:tcBorders>
            <w:shd w:val="clear" w:color="auto" w:fill="auto"/>
            <w:noWrap/>
            <w:vAlign w:val="bottom"/>
            <w:hideMark/>
          </w:tcPr>
          <w:p w14:paraId="64CE4364" w14:textId="77777777" w:rsidR="00B9311E" w:rsidRPr="00BD77D8" w:rsidRDefault="00B9311E" w:rsidP="00B9311E">
            <w:pPr>
              <w:spacing w:after="0" w:line="240" w:lineRule="auto"/>
              <w:jc w:val="center"/>
              <w:rPr>
                <w:b/>
                <w:bCs/>
                <w:sz w:val="18"/>
                <w:szCs w:val="18"/>
              </w:rPr>
            </w:pPr>
            <w:r w:rsidRPr="00BD77D8">
              <w:rPr>
                <w:b/>
                <w:bCs/>
                <w:sz w:val="18"/>
                <w:szCs w:val="18"/>
              </w:rPr>
              <w:t> </w:t>
            </w:r>
          </w:p>
        </w:tc>
        <w:tc>
          <w:tcPr>
            <w:tcW w:w="1090" w:type="dxa"/>
            <w:tcBorders>
              <w:top w:val="nil"/>
              <w:left w:val="nil"/>
              <w:bottom w:val="single" w:sz="4" w:space="0" w:color="auto"/>
              <w:right w:val="nil"/>
            </w:tcBorders>
            <w:shd w:val="clear" w:color="auto" w:fill="auto"/>
            <w:noWrap/>
            <w:vAlign w:val="bottom"/>
            <w:hideMark/>
          </w:tcPr>
          <w:p w14:paraId="57FC46F1"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296" w:type="dxa"/>
            <w:tcBorders>
              <w:top w:val="nil"/>
              <w:left w:val="nil"/>
              <w:bottom w:val="single" w:sz="4" w:space="0" w:color="auto"/>
              <w:right w:val="nil"/>
            </w:tcBorders>
            <w:shd w:val="clear" w:color="auto" w:fill="auto"/>
            <w:vAlign w:val="bottom"/>
            <w:hideMark/>
          </w:tcPr>
          <w:p w14:paraId="043A6FCF"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344" w:type="dxa"/>
            <w:tcBorders>
              <w:top w:val="nil"/>
              <w:left w:val="nil"/>
              <w:bottom w:val="single" w:sz="4" w:space="0" w:color="auto"/>
              <w:right w:val="nil"/>
            </w:tcBorders>
            <w:shd w:val="clear" w:color="auto" w:fill="auto"/>
            <w:vAlign w:val="bottom"/>
            <w:hideMark/>
          </w:tcPr>
          <w:p w14:paraId="50E00D06"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bottom"/>
            <w:hideMark/>
          </w:tcPr>
          <w:p w14:paraId="3E607B31"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7F1620C7" w14:textId="77777777" w:rsidTr="003057FB">
        <w:trPr>
          <w:trHeight w:val="262"/>
        </w:trPr>
        <w:tc>
          <w:tcPr>
            <w:tcW w:w="0" w:type="auto"/>
            <w:tcBorders>
              <w:top w:val="nil"/>
              <w:left w:val="nil"/>
              <w:bottom w:val="nil"/>
              <w:right w:val="nil"/>
            </w:tcBorders>
            <w:shd w:val="clear" w:color="auto" w:fill="auto"/>
            <w:noWrap/>
            <w:vAlign w:val="bottom"/>
            <w:hideMark/>
          </w:tcPr>
          <w:p w14:paraId="6AA141A0" w14:textId="77777777" w:rsidR="00B9311E" w:rsidRPr="00BD77D8" w:rsidRDefault="00B9311E" w:rsidP="00B9311E">
            <w:pPr>
              <w:spacing w:after="0" w:line="240" w:lineRule="auto"/>
              <w:rPr>
                <w:b/>
                <w:bCs/>
                <w:sz w:val="18"/>
                <w:szCs w:val="18"/>
              </w:rPr>
            </w:pPr>
            <w:r w:rsidRPr="00BD77D8">
              <w:rPr>
                <w:b/>
                <w:bCs/>
                <w:sz w:val="18"/>
                <w:szCs w:val="18"/>
              </w:rPr>
              <w:t xml:space="preserve"> Cash Flows from Operating Activities  </w:t>
            </w:r>
          </w:p>
        </w:tc>
        <w:tc>
          <w:tcPr>
            <w:tcW w:w="1050" w:type="dxa"/>
            <w:tcBorders>
              <w:top w:val="nil"/>
              <w:left w:val="nil"/>
              <w:bottom w:val="nil"/>
              <w:right w:val="nil"/>
            </w:tcBorders>
            <w:shd w:val="clear" w:color="auto" w:fill="auto"/>
            <w:noWrap/>
            <w:vAlign w:val="bottom"/>
            <w:hideMark/>
          </w:tcPr>
          <w:p w14:paraId="475F9694" w14:textId="77777777" w:rsidR="00B9311E" w:rsidRPr="00BD77D8" w:rsidRDefault="00B9311E" w:rsidP="00B9311E">
            <w:pPr>
              <w:spacing w:after="0" w:line="240" w:lineRule="auto"/>
              <w:rPr>
                <w:b/>
                <w:bCs/>
                <w:sz w:val="18"/>
                <w:szCs w:val="18"/>
              </w:rPr>
            </w:pPr>
          </w:p>
        </w:tc>
        <w:tc>
          <w:tcPr>
            <w:tcW w:w="1090" w:type="dxa"/>
            <w:tcBorders>
              <w:top w:val="nil"/>
              <w:left w:val="nil"/>
              <w:bottom w:val="nil"/>
              <w:right w:val="nil"/>
            </w:tcBorders>
            <w:shd w:val="clear" w:color="auto" w:fill="auto"/>
            <w:noWrap/>
            <w:vAlign w:val="bottom"/>
            <w:hideMark/>
          </w:tcPr>
          <w:p w14:paraId="3920847B"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6" w:type="dxa"/>
            <w:tcBorders>
              <w:top w:val="nil"/>
              <w:left w:val="nil"/>
              <w:bottom w:val="nil"/>
              <w:right w:val="nil"/>
            </w:tcBorders>
            <w:shd w:val="clear" w:color="auto" w:fill="auto"/>
            <w:noWrap/>
            <w:vAlign w:val="bottom"/>
            <w:hideMark/>
          </w:tcPr>
          <w:p w14:paraId="2F873EEC" w14:textId="77777777" w:rsidR="00B9311E" w:rsidRPr="00BD77D8" w:rsidRDefault="00B9311E" w:rsidP="00B9311E">
            <w:pPr>
              <w:spacing w:after="0" w:line="240" w:lineRule="auto"/>
              <w:rPr>
                <w:rFonts w:ascii="Times New Roman" w:hAnsi="Times New Roman" w:cs="Times New Roman"/>
                <w:b/>
                <w:bCs/>
                <w:sz w:val="20"/>
                <w:szCs w:val="20"/>
              </w:rPr>
            </w:pPr>
          </w:p>
        </w:tc>
        <w:tc>
          <w:tcPr>
            <w:tcW w:w="1344" w:type="dxa"/>
            <w:tcBorders>
              <w:top w:val="nil"/>
              <w:left w:val="nil"/>
              <w:bottom w:val="nil"/>
              <w:right w:val="nil"/>
            </w:tcBorders>
            <w:shd w:val="clear" w:color="auto" w:fill="auto"/>
            <w:noWrap/>
            <w:vAlign w:val="bottom"/>
            <w:hideMark/>
          </w:tcPr>
          <w:p w14:paraId="7285AE36" w14:textId="77777777" w:rsidR="00B9311E" w:rsidRPr="00BD77D8" w:rsidRDefault="00B9311E" w:rsidP="00B9311E">
            <w:pPr>
              <w:spacing w:after="0" w:line="240" w:lineRule="auto"/>
              <w:rPr>
                <w:rFonts w:ascii="Times New Roman" w:hAnsi="Times New Roman" w:cs="Times New Roman"/>
                <w:b/>
                <w:bCs/>
                <w:sz w:val="20"/>
                <w:szCs w:val="20"/>
              </w:rPr>
            </w:pPr>
          </w:p>
        </w:tc>
        <w:tc>
          <w:tcPr>
            <w:tcW w:w="0" w:type="auto"/>
            <w:tcBorders>
              <w:top w:val="nil"/>
              <w:left w:val="nil"/>
              <w:bottom w:val="nil"/>
              <w:right w:val="nil"/>
            </w:tcBorders>
            <w:shd w:val="clear" w:color="auto" w:fill="auto"/>
            <w:noWrap/>
            <w:vAlign w:val="bottom"/>
            <w:hideMark/>
          </w:tcPr>
          <w:p w14:paraId="0D793C97" w14:textId="77777777" w:rsidR="00B9311E" w:rsidRPr="00BD77D8" w:rsidRDefault="00B9311E" w:rsidP="00B9311E">
            <w:pPr>
              <w:spacing w:after="0" w:line="240" w:lineRule="auto"/>
              <w:rPr>
                <w:rFonts w:ascii="Times New Roman" w:hAnsi="Times New Roman" w:cs="Times New Roman"/>
                <w:b/>
                <w:bCs/>
                <w:sz w:val="20"/>
                <w:szCs w:val="20"/>
              </w:rPr>
            </w:pPr>
          </w:p>
        </w:tc>
      </w:tr>
      <w:tr w:rsidR="00BD77D8" w:rsidRPr="00BD77D8" w14:paraId="24991CEB" w14:textId="77777777" w:rsidTr="003057FB">
        <w:trPr>
          <w:trHeight w:val="262"/>
        </w:trPr>
        <w:tc>
          <w:tcPr>
            <w:tcW w:w="0" w:type="auto"/>
            <w:tcBorders>
              <w:top w:val="nil"/>
              <w:left w:val="nil"/>
              <w:bottom w:val="nil"/>
              <w:right w:val="nil"/>
            </w:tcBorders>
            <w:shd w:val="clear" w:color="auto" w:fill="auto"/>
            <w:noWrap/>
            <w:vAlign w:val="bottom"/>
            <w:hideMark/>
          </w:tcPr>
          <w:p w14:paraId="0EF46DC7" w14:textId="77777777" w:rsidR="00B9311E" w:rsidRPr="00BD77D8" w:rsidRDefault="00B9311E" w:rsidP="00B9311E">
            <w:pPr>
              <w:spacing w:after="0" w:line="240" w:lineRule="auto"/>
              <w:ind w:firstLineChars="100" w:firstLine="181"/>
              <w:rPr>
                <w:b/>
                <w:bCs/>
                <w:i/>
                <w:iCs/>
                <w:sz w:val="18"/>
                <w:szCs w:val="18"/>
              </w:rPr>
            </w:pPr>
            <w:r w:rsidRPr="00BD77D8">
              <w:rPr>
                <w:b/>
                <w:bCs/>
                <w:i/>
                <w:iCs/>
                <w:sz w:val="18"/>
                <w:szCs w:val="18"/>
              </w:rPr>
              <w:t xml:space="preserve"> Inflows: </w:t>
            </w:r>
          </w:p>
        </w:tc>
        <w:tc>
          <w:tcPr>
            <w:tcW w:w="1050" w:type="dxa"/>
            <w:tcBorders>
              <w:top w:val="nil"/>
              <w:left w:val="nil"/>
              <w:bottom w:val="nil"/>
              <w:right w:val="nil"/>
            </w:tcBorders>
            <w:shd w:val="clear" w:color="auto" w:fill="auto"/>
            <w:noWrap/>
            <w:vAlign w:val="bottom"/>
            <w:hideMark/>
          </w:tcPr>
          <w:p w14:paraId="52242BF5" w14:textId="77777777" w:rsidR="00B9311E" w:rsidRPr="00BD77D8" w:rsidRDefault="00B9311E" w:rsidP="00B9311E">
            <w:pPr>
              <w:spacing w:after="0" w:line="240" w:lineRule="auto"/>
              <w:ind w:firstLineChars="100" w:firstLine="181"/>
              <w:rPr>
                <w:b/>
                <w:bCs/>
                <w:i/>
                <w:iCs/>
                <w:sz w:val="18"/>
                <w:szCs w:val="18"/>
              </w:rPr>
            </w:pPr>
          </w:p>
        </w:tc>
        <w:tc>
          <w:tcPr>
            <w:tcW w:w="1090" w:type="dxa"/>
            <w:tcBorders>
              <w:top w:val="nil"/>
              <w:left w:val="nil"/>
              <w:bottom w:val="nil"/>
              <w:right w:val="nil"/>
            </w:tcBorders>
            <w:shd w:val="clear" w:color="auto" w:fill="auto"/>
            <w:noWrap/>
            <w:vAlign w:val="bottom"/>
            <w:hideMark/>
          </w:tcPr>
          <w:p w14:paraId="50B7267A"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6" w:type="dxa"/>
            <w:tcBorders>
              <w:top w:val="nil"/>
              <w:left w:val="nil"/>
              <w:bottom w:val="nil"/>
              <w:right w:val="nil"/>
            </w:tcBorders>
            <w:shd w:val="clear" w:color="auto" w:fill="auto"/>
            <w:noWrap/>
            <w:vAlign w:val="bottom"/>
            <w:hideMark/>
          </w:tcPr>
          <w:p w14:paraId="1D4BF34F" w14:textId="77777777" w:rsidR="00B9311E" w:rsidRPr="00BD77D8" w:rsidRDefault="00B9311E" w:rsidP="00B9311E">
            <w:pPr>
              <w:spacing w:after="0" w:line="240" w:lineRule="auto"/>
              <w:rPr>
                <w:rFonts w:ascii="Times New Roman" w:hAnsi="Times New Roman" w:cs="Times New Roman"/>
                <w:b/>
                <w:bCs/>
                <w:sz w:val="20"/>
                <w:szCs w:val="20"/>
              </w:rPr>
            </w:pPr>
          </w:p>
        </w:tc>
        <w:tc>
          <w:tcPr>
            <w:tcW w:w="1344" w:type="dxa"/>
            <w:tcBorders>
              <w:top w:val="nil"/>
              <w:left w:val="nil"/>
              <w:bottom w:val="nil"/>
              <w:right w:val="nil"/>
            </w:tcBorders>
            <w:shd w:val="clear" w:color="auto" w:fill="auto"/>
            <w:noWrap/>
            <w:vAlign w:val="bottom"/>
            <w:hideMark/>
          </w:tcPr>
          <w:p w14:paraId="05C1E123" w14:textId="77777777" w:rsidR="00B9311E" w:rsidRPr="00BD77D8" w:rsidRDefault="00B9311E" w:rsidP="00B9311E">
            <w:pPr>
              <w:spacing w:after="0" w:line="240" w:lineRule="auto"/>
              <w:rPr>
                <w:rFonts w:ascii="Times New Roman" w:hAnsi="Times New Roman" w:cs="Times New Roman"/>
                <w:b/>
                <w:bCs/>
                <w:sz w:val="20"/>
                <w:szCs w:val="20"/>
              </w:rPr>
            </w:pPr>
          </w:p>
        </w:tc>
        <w:tc>
          <w:tcPr>
            <w:tcW w:w="0" w:type="auto"/>
            <w:tcBorders>
              <w:top w:val="nil"/>
              <w:left w:val="nil"/>
              <w:bottom w:val="nil"/>
              <w:right w:val="nil"/>
            </w:tcBorders>
            <w:shd w:val="clear" w:color="auto" w:fill="auto"/>
            <w:noWrap/>
            <w:vAlign w:val="bottom"/>
            <w:hideMark/>
          </w:tcPr>
          <w:p w14:paraId="79E6C178" w14:textId="77777777" w:rsidR="00B9311E" w:rsidRPr="00BD77D8" w:rsidRDefault="00B9311E" w:rsidP="00B9311E">
            <w:pPr>
              <w:spacing w:after="0" w:line="240" w:lineRule="auto"/>
              <w:rPr>
                <w:rFonts w:ascii="Times New Roman" w:hAnsi="Times New Roman" w:cs="Times New Roman"/>
                <w:b/>
                <w:bCs/>
                <w:sz w:val="20"/>
                <w:szCs w:val="20"/>
              </w:rPr>
            </w:pPr>
          </w:p>
        </w:tc>
      </w:tr>
      <w:tr w:rsidR="00BD77D8" w:rsidRPr="00BD77D8" w14:paraId="41ADD15F" w14:textId="77777777" w:rsidTr="003057FB">
        <w:trPr>
          <w:trHeight w:val="262"/>
        </w:trPr>
        <w:tc>
          <w:tcPr>
            <w:tcW w:w="0" w:type="auto"/>
            <w:tcBorders>
              <w:top w:val="nil"/>
              <w:left w:val="nil"/>
              <w:bottom w:val="nil"/>
              <w:right w:val="nil"/>
            </w:tcBorders>
            <w:shd w:val="clear" w:color="auto" w:fill="auto"/>
            <w:noWrap/>
            <w:vAlign w:val="bottom"/>
            <w:hideMark/>
          </w:tcPr>
          <w:p w14:paraId="20F734D2"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Service appropriation receipts </w:t>
            </w:r>
          </w:p>
        </w:tc>
        <w:tc>
          <w:tcPr>
            <w:tcW w:w="1050" w:type="dxa"/>
            <w:tcBorders>
              <w:top w:val="nil"/>
              <w:left w:val="nil"/>
              <w:bottom w:val="nil"/>
              <w:right w:val="nil"/>
            </w:tcBorders>
            <w:shd w:val="clear" w:color="auto" w:fill="auto"/>
            <w:noWrap/>
            <w:vAlign w:val="bottom"/>
            <w:hideMark/>
          </w:tcPr>
          <w:p w14:paraId="46B220C6"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3AA02685" w14:textId="77777777" w:rsidR="00B9311E" w:rsidRPr="00BD77D8" w:rsidRDefault="00B9311E" w:rsidP="00B9311E">
            <w:pPr>
              <w:spacing w:after="0" w:line="240" w:lineRule="auto"/>
              <w:jc w:val="right"/>
              <w:rPr>
                <w:b/>
                <w:bCs/>
                <w:sz w:val="18"/>
                <w:szCs w:val="18"/>
              </w:rPr>
            </w:pPr>
            <w:r w:rsidRPr="00BD77D8">
              <w:rPr>
                <w:b/>
                <w:bCs/>
                <w:sz w:val="18"/>
                <w:szCs w:val="18"/>
              </w:rPr>
              <w:t xml:space="preserve">     274,541 </w:t>
            </w:r>
          </w:p>
        </w:tc>
        <w:tc>
          <w:tcPr>
            <w:tcW w:w="1296" w:type="dxa"/>
            <w:tcBorders>
              <w:top w:val="nil"/>
              <w:left w:val="nil"/>
              <w:bottom w:val="nil"/>
              <w:right w:val="nil"/>
            </w:tcBorders>
            <w:shd w:val="clear" w:color="auto" w:fill="auto"/>
            <w:vAlign w:val="bottom"/>
            <w:hideMark/>
          </w:tcPr>
          <w:p w14:paraId="2CF286F2" w14:textId="77777777" w:rsidR="00B9311E" w:rsidRPr="00BD77D8" w:rsidRDefault="00B9311E" w:rsidP="00B9311E">
            <w:pPr>
              <w:spacing w:after="0" w:line="240" w:lineRule="auto"/>
              <w:jc w:val="right"/>
              <w:rPr>
                <w:sz w:val="18"/>
                <w:szCs w:val="18"/>
              </w:rPr>
            </w:pPr>
            <w:r w:rsidRPr="00BD77D8">
              <w:rPr>
                <w:sz w:val="18"/>
                <w:szCs w:val="18"/>
              </w:rPr>
              <w:t xml:space="preserve">     295,216 </w:t>
            </w:r>
          </w:p>
        </w:tc>
        <w:tc>
          <w:tcPr>
            <w:tcW w:w="1344" w:type="dxa"/>
            <w:tcBorders>
              <w:top w:val="nil"/>
              <w:left w:val="nil"/>
              <w:bottom w:val="nil"/>
              <w:right w:val="nil"/>
            </w:tcBorders>
            <w:shd w:val="clear" w:color="auto" w:fill="auto"/>
            <w:vAlign w:val="bottom"/>
            <w:hideMark/>
          </w:tcPr>
          <w:p w14:paraId="6F2FC874" w14:textId="77777777" w:rsidR="00B9311E" w:rsidRPr="00BD77D8" w:rsidRDefault="00B9311E" w:rsidP="00B9311E">
            <w:pPr>
              <w:spacing w:after="0" w:line="240" w:lineRule="auto"/>
              <w:jc w:val="right"/>
              <w:rPr>
                <w:sz w:val="18"/>
                <w:szCs w:val="18"/>
              </w:rPr>
            </w:pPr>
            <w:r w:rsidRPr="00BD77D8">
              <w:rPr>
                <w:sz w:val="18"/>
                <w:szCs w:val="18"/>
              </w:rPr>
              <w:t xml:space="preserve">      (20,675)</w:t>
            </w:r>
          </w:p>
        </w:tc>
        <w:tc>
          <w:tcPr>
            <w:tcW w:w="0" w:type="auto"/>
            <w:tcBorders>
              <w:top w:val="nil"/>
              <w:left w:val="nil"/>
              <w:bottom w:val="nil"/>
              <w:right w:val="nil"/>
            </w:tcBorders>
            <w:shd w:val="clear" w:color="auto" w:fill="auto"/>
            <w:vAlign w:val="bottom"/>
            <w:hideMark/>
          </w:tcPr>
          <w:p w14:paraId="172A027A" w14:textId="77777777" w:rsidR="00B9311E" w:rsidRPr="00BD77D8" w:rsidRDefault="00B9311E" w:rsidP="00B9311E">
            <w:pPr>
              <w:spacing w:after="0" w:line="240" w:lineRule="auto"/>
              <w:jc w:val="right"/>
              <w:rPr>
                <w:sz w:val="18"/>
                <w:szCs w:val="18"/>
              </w:rPr>
            </w:pPr>
            <w:r w:rsidRPr="00BD77D8">
              <w:rPr>
                <w:sz w:val="18"/>
                <w:szCs w:val="18"/>
              </w:rPr>
              <w:t xml:space="preserve">     316,892 </w:t>
            </w:r>
          </w:p>
        </w:tc>
      </w:tr>
      <w:tr w:rsidR="00BD77D8" w:rsidRPr="00BD77D8" w14:paraId="3F1908BC" w14:textId="77777777" w:rsidTr="003057FB">
        <w:trPr>
          <w:trHeight w:val="262"/>
        </w:trPr>
        <w:tc>
          <w:tcPr>
            <w:tcW w:w="0" w:type="auto"/>
            <w:tcBorders>
              <w:top w:val="nil"/>
              <w:left w:val="nil"/>
              <w:bottom w:val="nil"/>
              <w:right w:val="nil"/>
            </w:tcBorders>
            <w:shd w:val="clear" w:color="auto" w:fill="auto"/>
            <w:noWrap/>
            <w:vAlign w:val="bottom"/>
            <w:hideMark/>
          </w:tcPr>
          <w:p w14:paraId="4445F530"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User charges and fees </w:t>
            </w:r>
          </w:p>
        </w:tc>
        <w:tc>
          <w:tcPr>
            <w:tcW w:w="1050" w:type="dxa"/>
            <w:tcBorders>
              <w:top w:val="nil"/>
              <w:left w:val="nil"/>
              <w:bottom w:val="nil"/>
              <w:right w:val="nil"/>
            </w:tcBorders>
            <w:shd w:val="clear" w:color="auto" w:fill="auto"/>
            <w:noWrap/>
            <w:vAlign w:val="bottom"/>
            <w:hideMark/>
          </w:tcPr>
          <w:p w14:paraId="4ADC1DCF"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79707333" w14:textId="77777777" w:rsidR="00B9311E" w:rsidRPr="00BD77D8" w:rsidRDefault="00B9311E" w:rsidP="00B9311E">
            <w:pPr>
              <w:spacing w:after="0" w:line="240" w:lineRule="auto"/>
              <w:jc w:val="right"/>
              <w:rPr>
                <w:b/>
                <w:bCs/>
                <w:sz w:val="18"/>
                <w:szCs w:val="18"/>
              </w:rPr>
            </w:pPr>
            <w:r w:rsidRPr="00BD77D8">
              <w:rPr>
                <w:b/>
                <w:bCs/>
                <w:sz w:val="18"/>
                <w:szCs w:val="18"/>
              </w:rPr>
              <w:t xml:space="preserve">          9,949 </w:t>
            </w:r>
          </w:p>
        </w:tc>
        <w:tc>
          <w:tcPr>
            <w:tcW w:w="1296" w:type="dxa"/>
            <w:tcBorders>
              <w:top w:val="nil"/>
              <w:left w:val="nil"/>
              <w:bottom w:val="nil"/>
              <w:right w:val="nil"/>
            </w:tcBorders>
            <w:shd w:val="clear" w:color="auto" w:fill="auto"/>
            <w:vAlign w:val="bottom"/>
            <w:hideMark/>
          </w:tcPr>
          <w:p w14:paraId="6A006608" w14:textId="77777777" w:rsidR="00B9311E" w:rsidRPr="00BD77D8" w:rsidRDefault="00B9311E" w:rsidP="00B9311E">
            <w:pPr>
              <w:spacing w:after="0" w:line="240" w:lineRule="auto"/>
              <w:jc w:val="right"/>
              <w:rPr>
                <w:sz w:val="18"/>
                <w:szCs w:val="18"/>
              </w:rPr>
            </w:pPr>
            <w:r w:rsidRPr="00BD77D8">
              <w:rPr>
                <w:sz w:val="18"/>
                <w:szCs w:val="18"/>
              </w:rPr>
              <w:t xml:space="preserve">          1,149 </w:t>
            </w:r>
          </w:p>
        </w:tc>
        <w:tc>
          <w:tcPr>
            <w:tcW w:w="1344" w:type="dxa"/>
            <w:tcBorders>
              <w:top w:val="nil"/>
              <w:left w:val="nil"/>
              <w:bottom w:val="nil"/>
              <w:right w:val="nil"/>
            </w:tcBorders>
            <w:shd w:val="clear" w:color="auto" w:fill="auto"/>
            <w:vAlign w:val="bottom"/>
            <w:hideMark/>
          </w:tcPr>
          <w:p w14:paraId="2C574083" w14:textId="77777777" w:rsidR="00B9311E" w:rsidRPr="00BD77D8" w:rsidRDefault="00B9311E" w:rsidP="00B9311E">
            <w:pPr>
              <w:spacing w:after="0" w:line="240" w:lineRule="auto"/>
              <w:jc w:val="right"/>
              <w:rPr>
                <w:sz w:val="18"/>
                <w:szCs w:val="18"/>
              </w:rPr>
            </w:pPr>
            <w:r w:rsidRPr="00BD77D8">
              <w:rPr>
                <w:sz w:val="18"/>
                <w:szCs w:val="18"/>
              </w:rPr>
              <w:t xml:space="preserve">          8,800 </w:t>
            </w:r>
          </w:p>
        </w:tc>
        <w:tc>
          <w:tcPr>
            <w:tcW w:w="0" w:type="auto"/>
            <w:tcBorders>
              <w:top w:val="nil"/>
              <w:left w:val="nil"/>
              <w:bottom w:val="nil"/>
              <w:right w:val="nil"/>
            </w:tcBorders>
            <w:shd w:val="clear" w:color="auto" w:fill="auto"/>
            <w:vAlign w:val="bottom"/>
            <w:hideMark/>
          </w:tcPr>
          <w:p w14:paraId="2A52A1E1" w14:textId="77777777" w:rsidR="00B9311E" w:rsidRPr="00BD77D8" w:rsidRDefault="00B9311E" w:rsidP="00B9311E">
            <w:pPr>
              <w:spacing w:after="0" w:line="240" w:lineRule="auto"/>
              <w:jc w:val="right"/>
              <w:rPr>
                <w:sz w:val="18"/>
                <w:szCs w:val="18"/>
              </w:rPr>
            </w:pPr>
            <w:r w:rsidRPr="00BD77D8">
              <w:rPr>
                <w:sz w:val="18"/>
                <w:szCs w:val="18"/>
              </w:rPr>
              <w:t xml:space="preserve">        10,672 </w:t>
            </w:r>
          </w:p>
        </w:tc>
      </w:tr>
      <w:tr w:rsidR="00BD77D8" w:rsidRPr="00BD77D8" w14:paraId="61B75B8B" w14:textId="77777777" w:rsidTr="003057FB">
        <w:trPr>
          <w:trHeight w:val="262"/>
        </w:trPr>
        <w:tc>
          <w:tcPr>
            <w:tcW w:w="0" w:type="auto"/>
            <w:tcBorders>
              <w:top w:val="nil"/>
              <w:left w:val="nil"/>
              <w:bottom w:val="nil"/>
              <w:right w:val="nil"/>
            </w:tcBorders>
            <w:shd w:val="clear" w:color="auto" w:fill="auto"/>
            <w:noWrap/>
            <w:vAlign w:val="bottom"/>
            <w:hideMark/>
          </w:tcPr>
          <w:p w14:paraId="3E70DF86"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Grants and other contributions </w:t>
            </w:r>
          </w:p>
        </w:tc>
        <w:tc>
          <w:tcPr>
            <w:tcW w:w="1050" w:type="dxa"/>
            <w:tcBorders>
              <w:top w:val="nil"/>
              <w:left w:val="nil"/>
              <w:bottom w:val="nil"/>
              <w:right w:val="nil"/>
            </w:tcBorders>
            <w:shd w:val="clear" w:color="auto" w:fill="auto"/>
            <w:noWrap/>
            <w:vAlign w:val="bottom"/>
            <w:hideMark/>
          </w:tcPr>
          <w:p w14:paraId="0B3BFF9C"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17C9B4AE" w14:textId="77777777" w:rsidR="00B9311E" w:rsidRPr="00BD77D8" w:rsidRDefault="00B9311E" w:rsidP="00B9311E">
            <w:pPr>
              <w:spacing w:after="0" w:line="240" w:lineRule="auto"/>
              <w:jc w:val="right"/>
              <w:rPr>
                <w:b/>
                <w:bCs/>
                <w:sz w:val="18"/>
                <w:szCs w:val="18"/>
              </w:rPr>
            </w:pPr>
            <w:r w:rsidRPr="00BD77D8">
              <w:rPr>
                <w:b/>
                <w:bCs/>
                <w:sz w:val="18"/>
                <w:szCs w:val="18"/>
              </w:rPr>
              <w:t xml:space="preserve">        10,897 </w:t>
            </w:r>
          </w:p>
        </w:tc>
        <w:tc>
          <w:tcPr>
            <w:tcW w:w="1296" w:type="dxa"/>
            <w:tcBorders>
              <w:top w:val="nil"/>
              <w:left w:val="nil"/>
              <w:bottom w:val="nil"/>
              <w:right w:val="nil"/>
            </w:tcBorders>
            <w:shd w:val="clear" w:color="auto" w:fill="auto"/>
            <w:vAlign w:val="bottom"/>
            <w:hideMark/>
          </w:tcPr>
          <w:p w14:paraId="302522BF" w14:textId="77777777" w:rsidR="00B9311E" w:rsidRPr="00BD77D8" w:rsidRDefault="00B9311E" w:rsidP="00B9311E">
            <w:pPr>
              <w:spacing w:after="0" w:line="240" w:lineRule="auto"/>
              <w:jc w:val="right"/>
              <w:rPr>
                <w:sz w:val="18"/>
                <w:szCs w:val="18"/>
              </w:rPr>
            </w:pPr>
            <w:r w:rsidRPr="00BD77D8">
              <w:rPr>
                <w:sz w:val="18"/>
                <w:szCs w:val="18"/>
              </w:rPr>
              <w:t xml:space="preserve">        12,048 </w:t>
            </w:r>
          </w:p>
        </w:tc>
        <w:tc>
          <w:tcPr>
            <w:tcW w:w="1344" w:type="dxa"/>
            <w:tcBorders>
              <w:top w:val="nil"/>
              <w:left w:val="nil"/>
              <w:bottom w:val="nil"/>
              <w:right w:val="nil"/>
            </w:tcBorders>
            <w:shd w:val="clear" w:color="auto" w:fill="auto"/>
            <w:vAlign w:val="bottom"/>
            <w:hideMark/>
          </w:tcPr>
          <w:p w14:paraId="1BB2C152" w14:textId="77777777" w:rsidR="00B9311E" w:rsidRPr="00BD77D8" w:rsidRDefault="00B9311E" w:rsidP="00B9311E">
            <w:pPr>
              <w:spacing w:after="0" w:line="240" w:lineRule="auto"/>
              <w:jc w:val="right"/>
              <w:rPr>
                <w:sz w:val="18"/>
                <w:szCs w:val="18"/>
              </w:rPr>
            </w:pPr>
            <w:r w:rsidRPr="00BD77D8">
              <w:rPr>
                <w:sz w:val="18"/>
                <w:szCs w:val="18"/>
              </w:rPr>
              <w:t xml:space="preserve">        (1,151)</w:t>
            </w:r>
          </w:p>
        </w:tc>
        <w:tc>
          <w:tcPr>
            <w:tcW w:w="0" w:type="auto"/>
            <w:tcBorders>
              <w:top w:val="nil"/>
              <w:left w:val="nil"/>
              <w:bottom w:val="nil"/>
              <w:right w:val="nil"/>
            </w:tcBorders>
            <w:shd w:val="clear" w:color="auto" w:fill="auto"/>
            <w:vAlign w:val="bottom"/>
            <w:hideMark/>
          </w:tcPr>
          <w:p w14:paraId="33AF28A7" w14:textId="77777777" w:rsidR="00B9311E" w:rsidRPr="00BD77D8" w:rsidRDefault="00B9311E" w:rsidP="00B9311E">
            <w:pPr>
              <w:spacing w:after="0" w:line="240" w:lineRule="auto"/>
              <w:jc w:val="right"/>
              <w:rPr>
                <w:sz w:val="18"/>
                <w:szCs w:val="18"/>
              </w:rPr>
            </w:pPr>
            <w:r w:rsidRPr="00BD77D8">
              <w:rPr>
                <w:sz w:val="18"/>
                <w:szCs w:val="18"/>
              </w:rPr>
              <w:t xml:space="preserve">        11,748 </w:t>
            </w:r>
          </w:p>
        </w:tc>
      </w:tr>
      <w:tr w:rsidR="00BD77D8" w:rsidRPr="00BD77D8" w14:paraId="53F05293" w14:textId="77777777" w:rsidTr="003057FB">
        <w:trPr>
          <w:trHeight w:val="262"/>
        </w:trPr>
        <w:tc>
          <w:tcPr>
            <w:tcW w:w="0" w:type="auto"/>
            <w:tcBorders>
              <w:top w:val="nil"/>
              <w:left w:val="nil"/>
              <w:bottom w:val="nil"/>
              <w:right w:val="nil"/>
            </w:tcBorders>
            <w:shd w:val="clear" w:color="auto" w:fill="auto"/>
            <w:noWrap/>
            <w:vAlign w:val="bottom"/>
            <w:hideMark/>
          </w:tcPr>
          <w:p w14:paraId="523FCB45"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GST input tax credits received from ATO </w:t>
            </w:r>
          </w:p>
        </w:tc>
        <w:tc>
          <w:tcPr>
            <w:tcW w:w="1050" w:type="dxa"/>
            <w:tcBorders>
              <w:top w:val="nil"/>
              <w:left w:val="nil"/>
              <w:bottom w:val="nil"/>
              <w:right w:val="nil"/>
            </w:tcBorders>
            <w:shd w:val="clear" w:color="auto" w:fill="auto"/>
            <w:noWrap/>
            <w:vAlign w:val="bottom"/>
            <w:hideMark/>
          </w:tcPr>
          <w:p w14:paraId="746605DB"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08FBA310" w14:textId="77777777" w:rsidR="00B9311E" w:rsidRPr="00BD77D8" w:rsidRDefault="00B9311E" w:rsidP="00B9311E">
            <w:pPr>
              <w:spacing w:after="0" w:line="240" w:lineRule="auto"/>
              <w:jc w:val="right"/>
              <w:rPr>
                <w:b/>
                <w:bCs/>
                <w:sz w:val="18"/>
                <w:szCs w:val="18"/>
              </w:rPr>
            </w:pPr>
            <w:r w:rsidRPr="00BD77D8">
              <w:rPr>
                <w:b/>
                <w:bCs/>
                <w:sz w:val="18"/>
                <w:szCs w:val="18"/>
              </w:rPr>
              <w:t xml:space="preserve">        10,768 </w:t>
            </w:r>
          </w:p>
        </w:tc>
        <w:tc>
          <w:tcPr>
            <w:tcW w:w="1296" w:type="dxa"/>
            <w:tcBorders>
              <w:top w:val="nil"/>
              <w:left w:val="nil"/>
              <w:bottom w:val="nil"/>
              <w:right w:val="nil"/>
            </w:tcBorders>
            <w:shd w:val="clear" w:color="auto" w:fill="auto"/>
            <w:vAlign w:val="bottom"/>
            <w:hideMark/>
          </w:tcPr>
          <w:p w14:paraId="38AB6412" w14:textId="77777777" w:rsidR="00B9311E" w:rsidRPr="00BD77D8" w:rsidRDefault="00B9311E" w:rsidP="00B9311E">
            <w:pPr>
              <w:spacing w:after="0" w:line="240" w:lineRule="auto"/>
              <w:jc w:val="right"/>
              <w:rPr>
                <w:sz w:val="18"/>
                <w:szCs w:val="18"/>
              </w:rPr>
            </w:pPr>
            <w:r w:rsidRPr="00BD77D8">
              <w:rPr>
                <w:sz w:val="18"/>
                <w:szCs w:val="18"/>
              </w:rPr>
              <w:t xml:space="preserve">        72,072 </w:t>
            </w:r>
          </w:p>
        </w:tc>
        <w:tc>
          <w:tcPr>
            <w:tcW w:w="1344" w:type="dxa"/>
            <w:tcBorders>
              <w:top w:val="nil"/>
              <w:left w:val="nil"/>
              <w:bottom w:val="nil"/>
              <w:right w:val="nil"/>
            </w:tcBorders>
            <w:shd w:val="clear" w:color="auto" w:fill="auto"/>
            <w:vAlign w:val="bottom"/>
            <w:hideMark/>
          </w:tcPr>
          <w:p w14:paraId="222AD66A" w14:textId="77777777" w:rsidR="00B9311E" w:rsidRPr="00BD77D8" w:rsidRDefault="00B9311E" w:rsidP="00B9311E">
            <w:pPr>
              <w:spacing w:after="0" w:line="240" w:lineRule="auto"/>
              <w:jc w:val="right"/>
              <w:rPr>
                <w:sz w:val="18"/>
                <w:szCs w:val="18"/>
              </w:rPr>
            </w:pPr>
            <w:r w:rsidRPr="00BD77D8">
              <w:rPr>
                <w:sz w:val="18"/>
                <w:szCs w:val="18"/>
              </w:rPr>
              <w:t xml:space="preserve">      (61,304)</w:t>
            </w:r>
          </w:p>
        </w:tc>
        <w:tc>
          <w:tcPr>
            <w:tcW w:w="0" w:type="auto"/>
            <w:tcBorders>
              <w:top w:val="nil"/>
              <w:left w:val="nil"/>
              <w:bottom w:val="nil"/>
              <w:right w:val="nil"/>
            </w:tcBorders>
            <w:shd w:val="clear" w:color="auto" w:fill="auto"/>
            <w:vAlign w:val="bottom"/>
            <w:hideMark/>
          </w:tcPr>
          <w:p w14:paraId="60706C1C" w14:textId="77777777" w:rsidR="00B9311E" w:rsidRPr="00BD77D8" w:rsidRDefault="00B9311E" w:rsidP="00B9311E">
            <w:pPr>
              <w:spacing w:after="0" w:line="240" w:lineRule="auto"/>
              <w:jc w:val="right"/>
              <w:rPr>
                <w:sz w:val="18"/>
                <w:szCs w:val="18"/>
              </w:rPr>
            </w:pPr>
            <w:r w:rsidRPr="00BD77D8">
              <w:rPr>
                <w:sz w:val="18"/>
                <w:szCs w:val="18"/>
              </w:rPr>
              <w:t xml:space="preserve">          6,603 </w:t>
            </w:r>
          </w:p>
        </w:tc>
      </w:tr>
      <w:tr w:rsidR="00BD77D8" w:rsidRPr="00BD77D8" w14:paraId="38B90D06" w14:textId="77777777" w:rsidTr="003057FB">
        <w:trPr>
          <w:trHeight w:val="262"/>
        </w:trPr>
        <w:tc>
          <w:tcPr>
            <w:tcW w:w="0" w:type="auto"/>
            <w:tcBorders>
              <w:top w:val="nil"/>
              <w:left w:val="nil"/>
              <w:bottom w:val="nil"/>
              <w:right w:val="nil"/>
            </w:tcBorders>
            <w:shd w:val="clear" w:color="auto" w:fill="auto"/>
            <w:noWrap/>
            <w:vAlign w:val="bottom"/>
            <w:hideMark/>
          </w:tcPr>
          <w:p w14:paraId="459CBA87"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GST collected from customers </w:t>
            </w:r>
          </w:p>
        </w:tc>
        <w:tc>
          <w:tcPr>
            <w:tcW w:w="1050" w:type="dxa"/>
            <w:tcBorders>
              <w:top w:val="nil"/>
              <w:left w:val="nil"/>
              <w:bottom w:val="nil"/>
              <w:right w:val="nil"/>
            </w:tcBorders>
            <w:shd w:val="clear" w:color="auto" w:fill="auto"/>
            <w:noWrap/>
            <w:vAlign w:val="bottom"/>
            <w:hideMark/>
          </w:tcPr>
          <w:p w14:paraId="28ACA0D1"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01A22841" w14:textId="77777777" w:rsidR="00B9311E" w:rsidRPr="00BD77D8" w:rsidRDefault="00B9311E" w:rsidP="00B9311E">
            <w:pPr>
              <w:spacing w:after="0" w:line="240" w:lineRule="auto"/>
              <w:jc w:val="right"/>
              <w:rPr>
                <w:b/>
                <w:bCs/>
                <w:sz w:val="18"/>
                <w:szCs w:val="18"/>
              </w:rPr>
            </w:pPr>
            <w:r w:rsidRPr="00BD77D8">
              <w:rPr>
                <w:b/>
                <w:bCs/>
                <w:sz w:val="18"/>
                <w:szCs w:val="18"/>
              </w:rPr>
              <w:t xml:space="preserve">             254 </w:t>
            </w:r>
          </w:p>
        </w:tc>
        <w:tc>
          <w:tcPr>
            <w:tcW w:w="1296" w:type="dxa"/>
            <w:tcBorders>
              <w:top w:val="nil"/>
              <w:left w:val="nil"/>
              <w:bottom w:val="nil"/>
              <w:right w:val="nil"/>
            </w:tcBorders>
            <w:shd w:val="clear" w:color="auto" w:fill="auto"/>
            <w:vAlign w:val="bottom"/>
            <w:hideMark/>
          </w:tcPr>
          <w:p w14:paraId="44EEED2D" w14:textId="77777777" w:rsidR="00B9311E" w:rsidRPr="00BD77D8" w:rsidRDefault="00B9311E" w:rsidP="00B9311E">
            <w:pPr>
              <w:spacing w:after="0" w:line="240" w:lineRule="auto"/>
              <w:jc w:val="right"/>
              <w:rPr>
                <w:sz w:val="18"/>
                <w:szCs w:val="18"/>
              </w:rPr>
            </w:pPr>
            <w:r w:rsidRPr="00BD77D8">
              <w:rPr>
                <w:sz w:val="18"/>
                <w:szCs w:val="18"/>
              </w:rPr>
              <w:t xml:space="preserve">          1,213 </w:t>
            </w:r>
          </w:p>
        </w:tc>
        <w:tc>
          <w:tcPr>
            <w:tcW w:w="1344" w:type="dxa"/>
            <w:tcBorders>
              <w:top w:val="nil"/>
              <w:left w:val="nil"/>
              <w:bottom w:val="nil"/>
              <w:right w:val="nil"/>
            </w:tcBorders>
            <w:shd w:val="clear" w:color="auto" w:fill="auto"/>
            <w:vAlign w:val="bottom"/>
            <w:hideMark/>
          </w:tcPr>
          <w:p w14:paraId="1D0DAD98" w14:textId="77777777" w:rsidR="00B9311E" w:rsidRPr="00BD77D8" w:rsidRDefault="00B9311E" w:rsidP="00B9311E">
            <w:pPr>
              <w:spacing w:after="0" w:line="240" w:lineRule="auto"/>
              <w:jc w:val="right"/>
              <w:rPr>
                <w:sz w:val="18"/>
                <w:szCs w:val="18"/>
              </w:rPr>
            </w:pPr>
            <w:r w:rsidRPr="00BD77D8">
              <w:rPr>
                <w:sz w:val="18"/>
                <w:szCs w:val="18"/>
              </w:rPr>
              <w:t xml:space="preserve">            (959)</w:t>
            </w:r>
          </w:p>
        </w:tc>
        <w:tc>
          <w:tcPr>
            <w:tcW w:w="0" w:type="auto"/>
            <w:tcBorders>
              <w:top w:val="nil"/>
              <w:left w:val="nil"/>
              <w:bottom w:val="nil"/>
              <w:right w:val="nil"/>
            </w:tcBorders>
            <w:shd w:val="clear" w:color="auto" w:fill="auto"/>
            <w:vAlign w:val="bottom"/>
            <w:hideMark/>
          </w:tcPr>
          <w:p w14:paraId="30C961C8" w14:textId="77777777" w:rsidR="00B9311E" w:rsidRPr="00BD77D8" w:rsidRDefault="00B9311E" w:rsidP="00B9311E">
            <w:pPr>
              <w:spacing w:after="0" w:line="240" w:lineRule="auto"/>
              <w:jc w:val="right"/>
              <w:rPr>
                <w:sz w:val="18"/>
                <w:szCs w:val="18"/>
              </w:rPr>
            </w:pPr>
            <w:r w:rsidRPr="00BD77D8">
              <w:rPr>
                <w:sz w:val="18"/>
                <w:szCs w:val="18"/>
              </w:rPr>
              <w:t xml:space="preserve">          1,996 </w:t>
            </w:r>
          </w:p>
        </w:tc>
      </w:tr>
      <w:tr w:rsidR="00BD77D8" w:rsidRPr="00BD77D8" w14:paraId="0661595E" w14:textId="77777777" w:rsidTr="003057FB">
        <w:trPr>
          <w:trHeight w:val="262"/>
        </w:trPr>
        <w:tc>
          <w:tcPr>
            <w:tcW w:w="0" w:type="auto"/>
            <w:tcBorders>
              <w:top w:val="nil"/>
              <w:left w:val="nil"/>
              <w:bottom w:val="nil"/>
              <w:right w:val="nil"/>
            </w:tcBorders>
            <w:shd w:val="clear" w:color="auto" w:fill="auto"/>
            <w:noWrap/>
            <w:vAlign w:val="bottom"/>
            <w:hideMark/>
          </w:tcPr>
          <w:p w14:paraId="2E357114"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Interest receipts </w:t>
            </w:r>
          </w:p>
        </w:tc>
        <w:tc>
          <w:tcPr>
            <w:tcW w:w="1050" w:type="dxa"/>
            <w:tcBorders>
              <w:top w:val="nil"/>
              <w:left w:val="nil"/>
              <w:bottom w:val="nil"/>
              <w:right w:val="nil"/>
            </w:tcBorders>
            <w:shd w:val="clear" w:color="auto" w:fill="auto"/>
            <w:noWrap/>
            <w:vAlign w:val="bottom"/>
            <w:hideMark/>
          </w:tcPr>
          <w:p w14:paraId="533FD432"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52BC6A63"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296" w:type="dxa"/>
            <w:tcBorders>
              <w:top w:val="nil"/>
              <w:left w:val="nil"/>
              <w:bottom w:val="nil"/>
              <w:right w:val="nil"/>
            </w:tcBorders>
            <w:shd w:val="clear" w:color="auto" w:fill="auto"/>
            <w:vAlign w:val="bottom"/>
            <w:hideMark/>
          </w:tcPr>
          <w:p w14:paraId="214A4B35"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344" w:type="dxa"/>
            <w:tcBorders>
              <w:top w:val="nil"/>
              <w:left w:val="nil"/>
              <w:bottom w:val="nil"/>
              <w:right w:val="nil"/>
            </w:tcBorders>
            <w:shd w:val="clear" w:color="auto" w:fill="auto"/>
            <w:vAlign w:val="bottom"/>
            <w:hideMark/>
          </w:tcPr>
          <w:p w14:paraId="3A33F1AB"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vAlign w:val="bottom"/>
            <w:hideMark/>
          </w:tcPr>
          <w:p w14:paraId="75CAF68C" w14:textId="77777777" w:rsidR="00B9311E" w:rsidRPr="00BD77D8" w:rsidRDefault="00B9311E" w:rsidP="00B9311E">
            <w:pPr>
              <w:spacing w:after="0" w:line="240" w:lineRule="auto"/>
              <w:jc w:val="right"/>
              <w:rPr>
                <w:sz w:val="18"/>
                <w:szCs w:val="18"/>
              </w:rPr>
            </w:pPr>
            <w:r w:rsidRPr="00BD77D8">
              <w:rPr>
                <w:sz w:val="18"/>
                <w:szCs w:val="18"/>
              </w:rPr>
              <w:t xml:space="preserve">                  3 </w:t>
            </w:r>
          </w:p>
        </w:tc>
      </w:tr>
      <w:tr w:rsidR="00BD77D8" w:rsidRPr="00BD77D8" w14:paraId="29BBDF91" w14:textId="77777777" w:rsidTr="003057FB">
        <w:trPr>
          <w:trHeight w:val="262"/>
        </w:trPr>
        <w:tc>
          <w:tcPr>
            <w:tcW w:w="0" w:type="auto"/>
            <w:tcBorders>
              <w:top w:val="nil"/>
              <w:left w:val="nil"/>
              <w:bottom w:val="nil"/>
              <w:right w:val="nil"/>
            </w:tcBorders>
            <w:shd w:val="clear" w:color="auto" w:fill="auto"/>
            <w:noWrap/>
            <w:vAlign w:val="bottom"/>
            <w:hideMark/>
          </w:tcPr>
          <w:p w14:paraId="5FAE0C0A"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Other inflows </w:t>
            </w:r>
          </w:p>
        </w:tc>
        <w:tc>
          <w:tcPr>
            <w:tcW w:w="1050" w:type="dxa"/>
            <w:tcBorders>
              <w:top w:val="nil"/>
              <w:left w:val="nil"/>
              <w:bottom w:val="nil"/>
              <w:right w:val="nil"/>
            </w:tcBorders>
            <w:shd w:val="clear" w:color="auto" w:fill="auto"/>
            <w:noWrap/>
            <w:vAlign w:val="bottom"/>
            <w:hideMark/>
          </w:tcPr>
          <w:p w14:paraId="3310D1DF"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2750239E" w14:textId="77777777" w:rsidR="00B9311E" w:rsidRPr="00BD77D8" w:rsidRDefault="00B9311E" w:rsidP="00B9311E">
            <w:pPr>
              <w:spacing w:after="0" w:line="240" w:lineRule="auto"/>
              <w:jc w:val="right"/>
              <w:rPr>
                <w:b/>
                <w:bCs/>
                <w:sz w:val="18"/>
                <w:szCs w:val="18"/>
              </w:rPr>
            </w:pPr>
            <w:r w:rsidRPr="00BD77D8">
              <w:rPr>
                <w:b/>
                <w:bCs/>
                <w:sz w:val="18"/>
                <w:szCs w:val="18"/>
              </w:rPr>
              <w:t xml:space="preserve">          3,864 </w:t>
            </w:r>
          </w:p>
        </w:tc>
        <w:tc>
          <w:tcPr>
            <w:tcW w:w="1296" w:type="dxa"/>
            <w:tcBorders>
              <w:top w:val="nil"/>
              <w:left w:val="nil"/>
              <w:bottom w:val="nil"/>
              <w:right w:val="nil"/>
            </w:tcBorders>
            <w:shd w:val="clear" w:color="auto" w:fill="auto"/>
            <w:vAlign w:val="bottom"/>
            <w:hideMark/>
          </w:tcPr>
          <w:p w14:paraId="48732270" w14:textId="77777777" w:rsidR="00B9311E" w:rsidRPr="00BD77D8" w:rsidRDefault="00B9311E" w:rsidP="00B9311E">
            <w:pPr>
              <w:spacing w:after="0" w:line="240" w:lineRule="auto"/>
              <w:jc w:val="right"/>
              <w:rPr>
                <w:sz w:val="18"/>
                <w:szCs w:val="18"/>
              </w:rPr>
            </w:pPr>
            <w:r w:rsidRPr="00BD77D8">
              <w:rPr>
                <w:sz w:val="18"/>
                <w:szCs w:val="18"/>
              </w:rPr>
              <w:t xml:space="preserve">             827 </w:t>
            </w:r>
          </w:p>
        </w:tc>
        <w:tc>
          <w:tcPr>
            <w:tcW w:w="1344" w:type="dxa"/>
            <w:tcBorders>
              <w:top w:val="nil"/>
              <w:left w:val="nil"/>
              <w:bottom w:val="nil"/>
              <w:right w:val="nil"/>
            </w:tcBorders>
            <w:shd w:val="clear" w:color="auto" w:fill="auto"/>
            <w:vAlign w:val="bottom"/>
            <w:hideMark/>
          </w:tcPr>
          <w:p w14:paraId="03FD0BD1" w14:textId="77777777" w:rsidR="00B9311E" w:rsidRPr="00BD77D8" w:rsidRDefault="00B9311E" w:rsidP="00B9311E">
            <w:pPr>
              <w:spacing w:after="0" w:line="240" w:lineRule="auto"/>
              <w:jc w:val="right"/>
              <w:rPr>
                <w:sz w:val="18"/>
                <w:szCs w:val="18"/>
              </w:rPr>
            </w:pPr>
            <w:r w:rsidRPr="00BD77D8">
              <w:rPr>
                <w:sz w:val="18"/>
                <w:szCs w:val="18"/>
              </w:rPr>
              <w:t xml:space="preserve">          3,037 </w:t>
            </w:r>
          </w:p>
        </w:tc>
        <w:tc>
          <w:tcPr>
            <w:tcW w:w="0" w:type="auto"/>
            <w:tcBorders>
              <w:top w:val="nil"/>
              <w:left w:val="nil"/>
              <w:bottom w:val="nil"/>
              <w:right w:val="nil"/>
            </w:tcBorders>
            <w:shd w:val="clear" w:color="auto" w:fill="auto"/>
            <w:vAlign w:val="bottom"/>
            <w:hideMark/>
          </w:tcPr>
          <w:p w14:paraId="1DBAFE56" w14:textId="77777777" w:rsidR="00B9311E" w:rsidRPr="00BD77D8" w:rsidRDefault="00B9311E" w:rsidP="00B9311E">
            <w:pPr>
              <w:spacing w:after="0" w:line="240" w:lineRule="auto"/>
              <w:jc w:val="right"/>
              <w:rPr>
                <w:sz w:val="18"/>
                <w:szCs w:val="18"/>
              </w:rPr>
            </w:pPr>
            <w:r w:rsidRPr="00BD77D8">
              <w:rPr>
                <w:sz w:val="18"/>
                <w:szCs w:val="18"/>
              </w:rPr>
              <w:t xml:space="preserve">          4,762 </w:t>
            </w:r>
          </w:p>
        </w:tc>
      </w:tr>
      <w:tr w:rsidR="00BD77D8" w:rsidRPr="00BD77D8" w14:paraId="2CABA5D2" w14:textId="77777777" w:rsidTr="003057FB">
        <w:trPr>
          <w:trHeight w:val="262"/>
        </w:trPr>
        <w:tc>
          <w:tcPr>
            <w:tcW w:w="0" w:type="auto"/>
            <w:tcBorders>
              <w:top w:val="nil"/>
              <w:left w:val="nil"/>
              <w:bottom w:val="nil"/>
              <w:right w:val="nil"/>
            </w:tcBorders>
            <w:shd w:val="clear" w:color="auto" w:fill="auto"/>
            <w:noWrap/>
            <w:vAlign w:val="bottom"/>
            <w:hideMark/>
          </w:tcPr>
          <w:p w14:paraId="277C8B9A" w14:textId="77777777" w:rsidR="00B9311E" w:rsidRPr="00BD77D8" w:rsidRDefault="00B9311E" w:rsidP="00B9311E">
            <w:pPr>
              <w:spacing w:after="0" w:line="240" w:lineRule="auto"/>
              <w:ind w:firstLineChars="100" w:firstLine="181"/>
              <w:rPr>
                <w:b/>
                <w:bCs/>
                <w:i/>
                <w:iCs/>
                <w:sz w:val="18"/>
                <w:szCs w:val="18"/>
              </w:rPr>
            </w:pPr>
            <w:r w:rsidRPr="00BD77D8">
              <w:rPr>
                <w:b/>
                <w:bCs/>
                <w:i/>
                <w:iCs/>
                <w:sz w:val="18"/>
                <w:szCs w:val="18"/>
              </w:rPr>
              <w:t xml:space="preserve"> Outflows: </w:t>
            </w:r>
          </w:p>
        </w:tc>
        <w:tc>
          <w:tcPr>
            <w:tcW w:w="1050" w:type="dxa"/>
            <w:tcBorders>
              <w:top w:val="nil"/>
              <w:left w:val="nil"/>
              <w:bottom w:val="nil"/>
              <w:right w:val="nil"/>
            </w:tcBorders>
            <w:shd w:val="clear" w:color="auto" w:fill="auto"/>
            <w:noWrap/>
            <w:vAlign w:val="bottom"/>
            <w:hideMark/>
          </w:tcPr>
          <w:p w14:paraId="7004692F" w14:textId="77777777" w:rsidR="00B9311E" w:rsidRPr="00BD77D8" w:rsidRDefault="00B9311E" w:rsidP="00B9311E">
            <w:pPr>
              <w:spacing w:after="0" w:line="240" w:lineRule="auto"/>
              <w:ind w:firstLineChars="100" w:firstLine="181"/>
              <w:rPr>
                <w:b/>
                <w:bCs/>
                <w:i/>
                <w:iCs/>
                <w:sz w:val="18"/>
                <w:szCs w:val="18"/>
              </w:rPr>
            </w:pPr>
          </w:p>
        </w:tc>
        <w:tc>
          <w:tcPr>
            <w:tcW w:w="1090" w:type="dxa"/>
            <w:tcBorders>
              <w:top w:val="nil"/>
              <w:left w:val="nil"/>
              <w:bottom w:val="nil"/>
              <w:right w:val="nil"/>
            </w:tcBorders>
            <w:shd w:val="clear" w:color="auto" w:fill="auto"/>
            <w:vAlign w:val="bottom"/>
            <w:hideMark/>
          </w:tcPr>
          <w:p w14:paraId="744432E5"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6" w:type="dxa"/>
            <w:tcBorders>
              <w:top w:val="nil"/>
              <w:left w:val="nil"/>
              <w:bottom w:val="nil"/>
              <w:right w:val="nil"/>
            </w:tcBorders>
            <w:shd w:val="clear" w:color="auto" w:fill="auto"/>
            <w:vAlign w:val="bottom"/>
            <w:hideMark/>
          </w:tcPr>
          <w:p w14:paraId="77618116"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344" w:type="dxa"/>
            <w:tcBorders>
              <w:top w:val="nil"/>
              <w:left w:val="nil"/>
              <w:bottom w:val="nil"/>
              <w:right w:val="nil"/>
            </w:tcBorders>
            <w:shd w:val="clear" w:color="auto" w:fill="auto"/>
            <w:vAlign w:val="bottom"/>
            <w:hideMark/>
          </w:tcPr>
          <w:p w14:paraId="72A2199B"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0" w:type="auto"/>
            <w:tcBorders>
              <w:top w:val="nil"/>
              <w:left w:val="nil"/>
              <w:bottom w:val="nil"/>
              <w:right w:val="nil"/>
            </w:tcBorders>
            <w:shd w:val="clear" w:color="auto" w:fill="auto"/>
            <w:vAlign w:val="bottom"/>
            <w:hideMark/>
          </w:tcPr>
          <w:p w14:paraId="4FBD4FCF"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6B84FBD0" w14:textId="77777777" w:rsidTr="003057FB">
        <w:trPr>
          <w:trHeight w:val="262"/>
        </w:trPr>
        <w:tc>
          <w:tcPr>
            <w:tcW w:w="0" w:type="auto"/>
            <w:tcBorders>
              <w:top w:val="nil"/>
              <w:left w:val="nil"/>
              <w:bottom w:val="nil"/>
              <w:right w:val="nil"/>
            </w:tcBorders>
            <w:shd w:val="clear" w:color="auto" w:fill="auto"/>
            <w:noWrap/>
            <w:vAlign w:val="bottom"/>
            <w:hideMark/>
          </w:tcPr>
          <w:p w14:paraId="50053929"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Employee expenses </w:t>
            </w:r>
          </w:p>
        </w:tc>
        <w:tc>
          <w:tcPr>
            <w:tcW w:w="1050" w:type="dxa"/>
            <w:tcBorders>
              <w:top w:val="nil"/>
              <w:left w:val="nil"/>
              <w:bottom w:val="nil"/>
              <w:right w:val="nil"/>
            </w:tcBorders>
            <w:shd w:val="clear" w:color="auto" w:fill="auto"/>
            <w:noWrap/>
            <w:vAlign w:val="bottom"/>
            <w:hideMark/>
          </w:tcPr>
          <w:p w14:paraId="736ECBDC"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7C8F9B53" w14:textId="77777777" w:rsidR="00B9311E" w:rsidRPr="00BD77D8" w:rsidRDefault="00B9311E" w:rsidP="00B9311E">
            <w:pPr>
              <w:spacing w:after="0" w:line="240" w:lineRule="auto"/>
              <w:jc w:val="right"/>
              <w:rPr>
                <w:b/>
                <w:bCs/>
                <w:sz w:val="18"/>
                <w:szCs w:val="18"/>
              </w:rPr>
            </w:pPr>
            <w:r w:rsidRPr="00BD77D8">
              <w:rPr>
                <w:b/>
                <w:bCs/>
                <w:sz w:val="18"/>
                <w:szCs w:val="18"/>
              </w:rPr>
              <w:t xml:space="preserve">    (214,614)</w:t>
            </w:r>
          </w:p>
        </w:tc>
        <w:tc>
          <w:tcPr>
            <w:tcW w:w="1296" w:type="dxa"/>
            <w:tcBorders>
              <w:top w:val="nil"/>
              <w:left w:val="nil"/>
              <w:bottom w:val="nil"/>
              <w:right w:val="nil"/>
            </w:tcBorders>
            <w:shd w:val="clear" w:color="auto" w:fill="auto"/>
            <w:vAlign w:val="bottom"/>
            <w:hideMark/>
          </w:tcPr>
          <w:p w14:paraId="2C46A847" w14:textId="77777777" w:rsidR="00B9311E" w:rsidRPr="00BD77D8" w:rsidRDefault="00B9311E" w:rsidP="00B9311E">
            <w:pPr>
              <w:spacing w:after="0" w:line="240" w:lineRule="auto"/>
              <w:jc w:val="right"/>
              <w:rPr>
                <w:sz w:val="18"/>
                <w:szCs w:val="18"/>
              </w:rPr>
            </w:pPr>
            <w:r w:rsidRPr="00BD77D8">
              <w:rPr>
                <w:sz w:val="18"/>
                <w:szCs w:val="18"/>
              </w:rPr>
              <w:t xml:space="preserve">    (203,793)</w:t>
            </w:r>
          </w:p>
        </w:tc>
        <w:tc>
          <w:tcPr>
            <w:tcW w:w="1344" w:type="dxa"/>
            <w:tcBorders>
              <w:top w:val="nil"/>
              <w:left w:val="nil"/>
              <w:bottom w:val="nil"/>
              <w:right w:val="nil"/>
            </w:tcBorders>
            <w:shd w:val="clear" w:color="auto" w:fill="auto"/>
            <w:vAlign w:val="bottom"/>
            <w:hideMark/>
          </w:tcPr>
          <w:p w14:paraId="2DB27FA4" w14:textId="77777777" w:rsidR="00B9311E" w:rsidRPr="00BD77D8" w:rsidRDefault="00B9311E" w:rsidP="00B9311E">
            <w:pPr>
              <w:spacing w:after="0" w:line="240" w:lineRule="auto"/>
              <w:jc w:val="right"/>
              <w:rPr>
                <w:sz w:val="18"/>
                <w:szCs w:val="18"/>
              </w:rPr>
            </w:pPr>
            <w:r w:rsidRPr="00BD77D8">
              <w:rPr>
                <w:sz w:val="18"/>
                <w:szCs w:val="18"/>
              </w:rPr>
              <w:t xml:space="preserve">      (10,821)</w:t>
            </w:r>
          </w:p>
        </w:tc>
        <w:tc>
          <w:tcPr>
            <w:tcW w:w="0" w:type="auto"/>
            <w:tcBorders>
              <w:top w:val="nil"/>
              <w:left w:val="nil"/>
              <w:bottom w:val="nil"/>
              <w:right w:val="nil"/>
            </w:tcBorders>
            <w:shd w:val="clear" w:color="auto" w:fill="auto"/>
            <w:vAlign w:val="bottom"/>
            <w:hideMark/>
          </w:tcPr>
          <w:p w14:paraId="33D773DF" w14:textId="77777777" w:rsidR="00B9311E" w:rsidRPr="00BD77D8" w:rsidRDefault="00B9311E" w:rsidP="00B9311E">
            <w:pPr>
              <w:spacing w:after="0" w:line="240" w:lineRule="auto"/>
              <w:jc w:val="right"/>
              <w:rPr>
                <w:sz w:val="18"/>
                <w:szCs w:val="18"/>
              </w:rPr>
            </w:pPr>
            <w:r w:rsidRPr="00BD77D8">
              <w:rPr>
                <w:sz w:val="18"/>
                <w:szCs w:val="18"/>
              </w:rPr>
              <w:t xml:space="preserve">    (206,337)</w:t>
            </w:r>
          </w:p>
        </w:tc>
      </w:tr>
      <w:tr w:rsidR="00BD77D8" w:rsidRPr="00BD77D8" w14:paraId="5267DED2" w14:textId="77777777" w:rsidTr="003057FB">
        <w:trPr>
          <w:trHeight w:val="262"/>
        </w:trPr>
        <w:tc>
          <w:tcPr>
            <w:tcW w:w="0" w:type="auto"/>
            <w:tcBorders>
              <w:top w:val="nil"/>
              <w:left w:val="nil"/>
              <w:bottom w:val="nil"/>
              <w:right w:val="nil"/>
            </w:tcBorders>
            <w:shd w:val="clear" w:color="auto" w:fill="auto"/>
            <w:noWrap/>
            <w:vAlign w:val="bottom"/>
            <w:hideMark/>
          </w:tcPr>
          <w:p w14:paraId="67BD578A"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Supplies and services </w:t>
            </w:r>
          </w:p>
        </w:tc>
        <w:tc>
          <w:tcPr>
            <w:tcW w:w="1050" w:type="dxa"/>
            <w:tcBorders>
              <w:top w:val="nil"/>
              <w:left w:val="nil"/>
              <w:bottom w:val="nil"/>
              <w:right w:val="nil"/>
            </w:tcBorders>
            <w:shd w:val="clear" w:color="auto" w:fill="auto"/>
            <w:noWrap/>
            <w:vAlign w:val="bottom"/>
            <w:hideMark/>
          </w:tcPr>
          <w:p w14:paraId="65D4486F"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1BEBBB78" w14:textId="77777777" w:rsidR="00B9311E" w:rsidRPr="00BD77D8" w:rsidRDefault="00B9311E" w:rsidP="00B9311E">
            <w:pPr>
              <w:spacing w:after="0" w:line="240" w:lineRule="auto"/>
              <w:jc w:val="right"/>
              <w:rPr>
                <w:b/>
                <w:bCs/>
                <w:sz w:val="18"/>
                <w:szCs w:val="18"/>
              </w:rPr>
            </w:pPr>
            <w:r w:rsidRPr="00BD77D8">
              <w:rPr>
                <w:b/>
                <w:bCs/>
                <w:sz w:val="18"/>
                <w:szCs w:val="18"/>
              </w:rPr>
              <w:t xml:space="preserve">      (70,895)</w:t>
            </w:r>
          </w:p>
        </w:tc>
        <w:tc>
          <w:tcPr>
            <w:tcW w:w="1296" w:type="dxa"/>
            <w:tcBorders>
              <w:top w:val="nil"/>
              <w:left w:val="nil"/>
              <w:bottom w:val="nil"/>
              <w:right w:val="nil"/>
            </w:tcBorders>
            <w:shd w:val="clear" w:color="auto" w:fill="auto"/>
            <w:vAlign w:val="bottom"/>
            <w:hideMark/>
          </w:tcPr>
          <w:p w14:paraId="3D83A8B6" w14:textId="77777777" w:rsidR="00B9311E" w:rsidRPr="00BD77D8" w:rsidRDefault="00B9311E" w:rsidP="00B9311E">
            <w:pPr>
              <w:spacing w:after="0" w:line="240" w:lineRule="auto"/>
              <w:jc w:val="right"/>
              <w:rPr>
                <w:sz w:val="18"/>
                <w:szCs w:val="18"/>
              </w:rPr>
            </w:pPr>
            <w:r w:rsidRPr="00BD77D8">
              <w:rPr>
                <w:sz w:val="18"/>
                <w:szCs w:val="18"/>
              </w:rPr>
              <w:t xml:space="preserve">      (90,385)</w:t>
            </w:r>
          </w:p>
        </w:tc>
        <w:tc>
          <w:tcPr>
            <w:tcW w:w="1344" w:type="dxa"/>
            <w:tcBorders>
              <w:top w:val="nil"/>
              <w:left w:val="nil"/>
              <w:bottom w:val="nil"/>
              <w:right w:val="nil"/>
            </w:tcBorders>
            <w:shd w:val="clear" w:color="auto" w:fill="auto"/>
            <w:vAlign w:val="bottom"/>
            <w:hideMark/>
          </w:tcPr>
          <w:p w14:paraId="7EEC17D8" w14:textId="77777777" w:rsidR="00B9311E" w:rsidRPr="00BD77D8" w:rsidRDefault="00B9311E" w:rsidP="00B9311E">
            <w:pPr>
              <w:spacing w:after="0" w:line="240" w:lineRule="auto"/>
              <w:jc w:val="right"/>
              <w:rPr>
                <w:sz w:val="18"/>
                <w:szCs w:val="18"/>
              </w:rPr>
            </w:pPr>
            <w:r w:rsidRPr="00BD77D8">
              <w:rPr>
                <w:sz w:val="18"/>
                <w:szCs w:val="18"/>
              </w:rPr>
              <w:t xml:space="preserve">        19,490 </w:t>
            </w:r>
          </w:p>
        </w:tc>
        <w:tc>
          <w:tcPr>
            <w:tcW w:w="0" w:type="auto"/>
            <w:tcBorders>
              <w:top w:val="nil"/>
              <w:left w:val="nil"/>
              <w:bottom w:val="nil"/>
              <w:right w:val="nil"/>
            </w:tcBorders>
            <w:shd w:val="clear" w:color="auto" w:fill="auto"/>
            <w:vAlign w:val="bottom"/>
            <w:hideMark/>
          </w:tcPr>
          <w:p w14:paraId="425BAF7B" w14:textId="77777777" w:rsidR="00B9311E" w:rsidRPr="00BD77D8" w:rsidRDefault="00B9311E" w:rsidP="00B9311E">
            <w:pPr>
              <w:spacing w:after="0" w:line="240" w:lineRule="auto"/>
              <w:jc w:val="right"/>
              <w:rPr>
                <w:sz w:val="18"/>
                <w:szCs w:val="18"/>
              </w:rPr>
            </w:pPr>
            <w:r w:rsidRPr="00BD77D8">
              <w:rPr>
                <w:sz w:val="18"/>
                <w:szCs w:val="18"/>
              </w:rPr>
              <w:t xml:space="preserve">    (112,378)</w:t>
            </w:r>
          </w:p>
        </w:tc>
      </w:tr>
      <w:tr w:rsidR="00BD77D8" w:rsidRPr="00BD77D8" w14:paraId="4F861962" w14:textId="77777777" w:rsidTr="003057FB">
        <w:trPr>
          <w:trHeight w:val="262"/>
        </w:trPr>
        <w:tc>
          <w:tcPr>
            <w:tcW w:w="0" w:type="auto"/>
            <w:tcBorders>
              <w:top w:val="nil"/>
              <w:left w:val="nil"/>
              <w:bottom w:val="nil"/>
              <w:right w:val="nil"/>
            </w:tcBorders>
            <w:shd w:val="clear" w:color="auto" w:fill="auto"/>
            <w:noWrap/>
            <w:vAlign w:val="bottom"/>
            <w:hideMark/>
          </w:tcPr>
          <w:p w14:paraId="75DBEFA9"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Grants and subsidies </w:t>
            </w:r>
          </w:p>
        </w:tc>
        <w:tc>
          <w:tcPr>
            <w:tcW w:w="1050" w:type="dxa"/>
            <w:tcBorders>
              <w:top w:val="nil"/>
              <w:left w:val="nil"/>
              <w:bottom w:val="nil"/>
              <w:right w:val="nil"/>
            </w:tcBorders>
            <w:shd w:val="clear" w:color="auto" w:fill="auto"/>
            <w:noWrap/>
            <w:vAlign w:val="bottom"/>
            <w:hideMark/>
          </w:tcPr>
          <w:p w14:paraId="11860A47"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5E44FE36" w14:textId="77777777" w:rsidR="00B9311E" w:rsidRPr="00BD77D8" w:rsidRDefault="00B9311E" w:rsidP="00B9311E">
            <w:pPr>
              <w:spacing w:after="0" w:line="240" w:lineRule="auto"/>
              <w:jc w:val="right"/>
              <w:rPr>
                <w:b/>
                <w:bCs/>
                <w:sz w:val="18"/>
                <w:szCs w:val="18"/>
              </w:rPr>
            </w:pPr>
            <w:r w:rsidRPr="00BD77D8">
              <w:rPr>
                <w:b/>
                <w:bCs/>
                <w:sz w:val="18"/>
                <w:szCs w:val="18"/>
              </w:rPr>
              <w:t xml:space="preserve">      (15,562)</w:t>
            </w:r>
          </w:p>
        </w:tc>
        <w:tc>
          <w:tcPr>
            <w:tcW w:w="1296" w:type="dxa"/>
            <w:tcBorders>
              <w:top w:val="nil"/>
              <w:left w:val="nil"/>
              <w:bottom w:val="nil"/>
              <w:right w:val="nil"/>
            </w:tcBorders>
            <w:shd w:val="clear" w:color="auto" w:fill="auto"/>
            <w:vAlign w:val="bottom"/>
            <w:hideMark/>
          </w:tcPr>
          <w:p w14:paraId="17D95535" w14:textId="77777777" w:rsidR="00B9311E" w:rsidRPr="00BD77D8" w:rsidRDefault="00B9311E" w:rsidP="00B9311E">
            <w:pPr>
              <w:spacing w:after="0" w:line="240" w:lineRule="auto"/>
              <w:jc w:val="right"/>
              <w:rPr>
                <w:sz w:val="18"/>
                <w:szCs w:val="18"/>
              </w:rPr>
            </w:pPr>
            <w:r w:rsidRPr="00BD77D8">
              <w:rPr>
                <w:sz w:val="18"/>
                <w:szCs w:val="18"/>
              </w:rPr>
              <w:t xml:space="preserve">        (9,112)</w:t>
            </w:r>
          </w:p>
        </w:tc>
        <w:tc>
          <w:tcPr>
            <w:tcW w:w="1344" w:type="dxa"/>
            <w:tcBorders>
              <w:top w:val="nil"/>
              <w:left w:val="nil"/>
              <w:bottom w:val="nil"/>
              <w:right w:val="nil"/>
            </w:tcBorders>
            <w:shd w:val="clear" w:color="auto" w:fill="auto"/>
            <w:vAlign w:val="bottom"/>
            <w:hideMark/>
          </w:tcPr>
          <w:p w14:paraId="07A681D6" w14:textId="77777777" w:rsidR="00B9311E" w:rsidRPr="00BD77D8" w:rsidRDefault="00B9311E" w:rsidP="00B9311E">
            <w:pPr>
              <w:spacing w:after="0" w:line="240" w:lineRule="auto"/>
              <w:jc w:val="right"/>
              <w:rPr>
                <w:sz w:val="18"/>
                <w:szCs w:val="18"/>
              </w:rPr>
            </w:pPr>
            <w:r w:rsidRPr="00BD77D8">
              <w:rPr>
                <w:sz w:val="18"/>
                <w:szCs w:val="18"/>
              </w:rPr>
              <w:t xml:space="preserve">        (6,450)</w:t>
            </w:r>
          </w:p>
        </w:tc>
        <w:tc>
          <w:tcPr>
            <w:tcW w:w="0" w:type="auto"/>
            <w:tcBorders>
              <w:top w:val="nil"/>
              <w:left w:val="nil"/>
              <w:bottom w:val="nil"/>
              <w:right w:val="nil"/>
            </w:tcBorders>
            <w:shd w:val="clear" w:color="auto" w:fill="auto"/>
            <w:vAlign w:val="bottom"/>
            <w:hideMark/>
          </w:tcPr>
          <w:p w14:paraId="19CFAF55" w14:textId="77777777" w:rsidR="00B9311E" w:rsidRPr="00BD77D8" w:rsidRDefault="00B9311E" w:rsidP="00B9311E">
            <w:pPr>
              <w:spacing w:after="0" w:line="240" w:lineRule="auto"/>
              <w:jc w:val="right"/>
              <w:rPr>
                <w:sz w:val="18"/>
                <w:szCs w:val="18"/>
              </w:rPr>
            </w:pPr>
            <w:r w:rsidRPr="00BD77D8">
              <w:rPr>
                <w:sz w:val="18"/>
                <w:szCs w:val="18"/>
              </w:rPr>
              <w:t xml:space="preserve">      (21,339)</w:t>
            </w:r>
          </w:p>
        </w:tc>
      </w:tr>
      <w:tr w:rsidR="00BD77D8" w:rsidRPr="00BD77D8" w14:paraId="2F782057" w14:textId="77777777" w:rsidTr="003057FB">
        <w:trPr>
          <w:trHeight w:val="262"/>
        </w:trPr>
        <w:tc>
          <w:tcPr>
            <w:tcW w:w="0" w:type="auto"/>
            <w:tcBorders>
              <w:top w:val="nil"/>
              <w:left w:val="nil"/>
              <w:bottom w:val="nil"/>
              <w:right w:val="nil"/>
            </w:tcBorders>
            <w:shd w:val="clear" w:color="auto" w:fill="auto"/>
            <w:noWrap/>
            <w:vAlign w:val="bottom"/>
            <w:hideMark/>
          </w:tcPr>
          <w:p w14:paraId="6688A5B5"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GST paid to suppliers </w:t>
            </w:r>
          </w:p>
        </w:tc>
        <w:tc>
          <w:tcPr>
            <w:tcW w:w="1050" w:type="dxa"/>
            <w:tcBorders>
              <w:top w:val="nil"/>
              <w:left w:val="nil"/>
              <w:bottom w:val="nil"/>
              <w:right w:val="nil"/>
            </w:tcBorders>
            <w:shd w:val="clear" w:color="auto" w:fill="auto"/>
            <w:noWrap/>
            <w:vAlign w:val="bottom"/>
            <w:hideMark/>
          </w:tcPr>
          <w:p w14:paraId="2349FA2E"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680F7FFD" w14:textId="77777777" w:rsidR="00B9311E" w:rsidRPr="00BD77D8" w:rsidRDefault="00B9311E" w:rsidP="00B9311E">
            <w:pPr>
              <w:spacing w:after="0" w:line="240" w:lineRule="auto"/>
              <w:jc w:val="right"/>
              <w:rPr>
                <w:b/>
                <w:bCs/>
                <w:sz w:val="18"/>
                <w:szCs w:val="18"/>
              </w:rPr>
            </w:pPr>
            <w:r w:rsidRPr="00BD77D8">
              <w:rPr>
                <w:b/>
                <w:bCs/>
                <w:sz w:val="18"/>
                <w:szCs w:val="18"/>
              </w:rPr>
              <w:t xml:space="preserve">      (10,996)</w:t>
            </w:r>
          </w:p>
        </w:tc>
        <w:tc>
          <w:tcPr>
            <w:tcW w:w="1296" w:type="dxa"/>
            <w:tcBorders>
              <w:top w:val="nil"/>
              <w:left w:val="nil"/>
              <w:bottom w:val="nil"/>
              <w:right w:val="nil"/>
            </w:tcBorders>
            <w:shd w:val="clear" w:color="auto" w:fill="auto"/>
            <w:vAlign w:val="bottom"/>
            <w:hideMark/>
          </w:tcPr>
          <w:p w14:paraId="35ADFF7A" w14:textId="77777777" w:rsidR="00B9311E" w:rsidRPr="00BD77D8" w:rsidRDefault="00B9311E" w:rsidP="00B9311E">
            <w:pPr>
              <w:spacing w:after="0" w:line="240" w:lineRule="auto"/>
              <w:jc w:val="right"/>
              <w:rPr>
                <w:sz w:val="18"/>
                <w:szCs w:val="18"/>
              </w:rPr>
            </w:pPr>
            <w:r w:rsidRPr="00BD77D8">
              <w:rPr>
                <w:sz w:val="18"/>
                <w:szCs w:val="18"/>
              </w:rPr>
              <w:t xml:space="preserve">      (72,072)</w:t>
            </w:r>
          </w:p>
        </w:tc>
        <w:tc>
          <w:tcPr>
            <w:tcW w:w="1344" w:type="dxa"/>
            <w:tcBorders>
              <w:top w:val="nil"/>
              <w:left w:val="nil"/>
              <w:bottom w:val="nil"/>
              <w:right w:val="nil"/>
            </w:tcBorders>
            <w:shd w:val="clear" w:color="auto" w:fill="auto"/>
            <w:vAlign w:val="bottom"/>
            <w:hideMark/>
          </w:tcPr>
          <w:p w14:paraId="6F2EBABE" w14:textId="77777777" w:rsidR="00B9311E" w:rsidRPr="00BD77D8" w:rsidRDefault="00B9311E" w:rsidP="00B9311E">
            <w:pPr>
              <w:spacing w:after="0" w:line="240" w:lineRule="auto"/>
              <w:jc w:val="right"/>
              <w:rPr>
                <w:sz w:val="18"/>
                <w:szCs w:val="18"/>
              </w:rPr>
            </w:pPr>
            <w:r w:rsidRPr="00BD77D8">
              <w:rPr>
                <w:sz w:val="18"/>
                <w:szCs w:val="18"/>
              </w:rPr>
              <w:t xml:space="preserve">        61,076 </w:t>
            </w:r>
          </w:p>
        </w:tc>
        <w:tc>
          <w:tcPr>
            <w:tcW w:w="0" w:type="auto"/>
            <w:tcBorders>
              <w:top w:val="nil"/>
              <w:left w:val="nil"/>
              <w:bottom w:val="nil"/>
              <w:right w:val="nil"/>
            </w:tcBorders>
            <w:shd w:val="clear" w:color="auto" w:fill="auto"/>
            <w:vAlign w:val="bottom"/>
            <w:hideMark/>
          </w:tcPr>
          <w:p w14:paraId="6EBEF98A" w14:textId="77777777" w:rsidR="00B9311E" w:rsidRPr="00BD77D8" w:rsidRDefault="00B9311E" w:rsidP="00B9311E">
            <w:pPr>
              <w:spacing w:after="0" w:line="240" w:lineRule="auto"/>
              <w:jc w:val="right"/>
              <w:rPr>
                <w:sz w:val="18"/>
                <w:szCs w:val="18"/>
              </w:rPr>
            </w:pPr>
            <w:r w:rsidRPr="00BD77D8">
              <w:rPr>
                <w:sz w:val="18"/>
                <w:szCs w:val="18"/>
              </w:rPr>
              <w:t xml:space="preserve">        (5,931)</w:t>
            </w:r>
          </w:p>
        </w:tc>
      </w:tr>
      <w:tr w:rsidR="00BD77D8" w:rsidRPr="00BD77D8" w14:paraId="035458B2" w14:textId="77777777" w:rsidTr="003057FB">
        <w:trPr>
          <w:trHeight w:val="262"/>
        </w:trPr>
        <w:tc>
          <w:tcPr>
            <w:tcW w:w="0" w:type="auto"/>
            <w:tcBorders>
              <w:top w:val="nil"/>
              <w:left w:val="nil"/>
              <w:bottom w:val="nil"/>
              <w:right w:val="nil"/>
            </w:tcBorders>
            <w:shd w:val="clear" w:color="auto" w:fill="auto"/>
            <w:noWrap/>
            <w:vAlign w:val="bottom"/>
            <w:hideMark/>
          </w:tcPr>
          <w:p w14:paraId="2E7D712A"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GST remitted to ATO </w:t>
            </w:r>
          </w:p>
        </w:tc>
        <w:tc>
          <w:tcPr>
            <w:tcW w:w="1050" w:type="dxa"/>
            <w:tcBorders>
              <w:top w:val="nil"/>
              <w:left w:val="nil"/>
              <w:bottom w:val="nil"/>
              <w:right w:val="nil"/>
            </w:tcBorders>
            <w:shd w:val="clear" w:color="auto" w:fill="auto"/>
            <w:noWrap/>
            <w:vAlign w:val="bottom"/>
            <w:hideMark/>
          </w:tcPr>
          <w:p w14:paraId="1D6B1DA5"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315CFE10" w14:textId="77777777" w:rsidR="00B9311E" w:rsidRPr="00BD77D8" w:rsidRDefault="00B9311E" w:rsidP="00B9311E">
            <w:pPr>
              <w:spacing w:after="0" w:line="240" w:lineRule="auto"/>
              <w:jc w:val="right"/>
              <w:rPr>
                <w:b/>
                <w:bCs/>
                <w:sz w:val="18"/>
                <w:szCs w:val="18"/>
              </w:rPr>
            </w:pPr>
            <w:r w:rsidRPr="00BD77D8">
              <w:rPr>
                <w:b/>
                <w:bCs/>
                <w:sz w:val="18"/>
                <w:szCs w:val="18"/>
              </w:rPr>
              <w:t xml:space="preserve">            (254)</w:t>
            </w:r>
          </w:p>
        </w:tc>
        <w:tc>
          <w:tcPr>
            <w:tcW w:w="1296" w:type="dxa"/>
            <w:tcBorders>
              <w:top w:val="nil"/>
              <w:left w:val="nil"/>
              <w:bottom w:val="nil"/>
              <w:right w:val="nil"/>
            </w:tcBorders>
            <w:shd w:val="clear" w:color="auto" w:fill="auto"/>
            <w:vAlign w:val="bottom"/>
            <w:hideMark/>
          </w:tcPr>
          <w:p w14:paraId="578B6B5A" w14:textId="77777777" w:rsidR="00B9311E" w:rsidRPr="00BD77D8" w:rsidRDefault="00B9311E" w:rsidP="00B9311E">
            <w:pPr>
              <w:spacing w:after="0" w:line="240" w:lineRule="auto"/>
              <w:jc w:val="right"/>
              <w:rPr>
                <w:sz w:val="18"/>
                <w:szCs w:val="18"/>
              </w:rPr>
            </w:pPr>
            <w:r w:rsidRPr="00BD77D8">
              <w:rPr>
                <w:sz w:val="18"/>
                <w:szCs w:val="18"/>
              </w:rPr>
              <w:t xml:space="preserve">        (1,213)</w:t>
            </w:r>
          </w:p>
        </w:tc>
        <w:tc>
          <w:tcPr>
            <w:tcW w:w="1344" w:type="dxa"/>
            <w:tcBorders>
              <w:top w:val="nil"/>
              <w:left w:val="nil"/>
              <w:bottom w:val="nil"/>
              <w:right w:val="nil"/>
            </w:tcBorders>
            <w:shd w:val="clear" w:color="auto" w:fill="auto"/>
            <w:vAlign w:val="bottom"/>
            <w:hideMark/>
          </w:tcPr>
          <w:p w14:paraId="1AA236BC" w14:textId="77777777" w:rsidR="00B9311E" w:rsidRPr="00BD77D8" w:rsidRDefault="00B9311E" w:rsidP="00B9311E">
            <w:pPr>
              <w:spacing w:after="0" w:line="240" w:lineRule="auto"/>
              <w:jc w:val="right"/>
              <w:rPr>
                <w:sz w:val="18"/>
                <w:szCs w:val="18"/>
              </w:rPr>
            </w:pPr>
            <w:r w:rsidRPr="00BD77D8">
              <w:rPr>
                <w:sz w:val="18"/>
                <w:szCs w:val="18"/>
              </w:rPr>
              <w:t xml:space="preserve">             959 </w:t>
            </w:r>
          </w:p>
        </w:tc>
        <w:tc>
          <w:tcPr>
            <w:tcW w:w="0" w:type="auto"/>
            <w:tcBorders>
              <w:top w:val="nil"/>
              <w:left w:val="nil"/>
              <w:bottom w:val="nil"/>
              <w:right w:val="nil"/>
            </w:tcBorders>
            <w:shd w:val="clear" w:color="auto" w:fill="auto"/>
            <w:vAlign w:val="bottom"/>
            <w:hideMark/>
          </w:tcPr>
          <w:p w14:paraId="5C1A985F" w14:textId="77777777" w:rsidR="00B9311E" w:rsidRPr="00BD77D8" w:rsidRDefault="00B9311E" w:rsidP="00B9311E">
            <w:pPr>
              <w:spacing w:after="0" w:line="240" w:lineRule="auto"/>
              <w:jc w:val="right"/>
              <w:rPr>
                <w:sz w:val="18"/>
                <w:szCs w:val="18"/>
              </w:rPr>
            </w:pPr>
            <w:r w:rsidRPr="00BD77D8">
              <w:rPr>
                <w:sz w:val="18"/>
                <w:szCs w:val="18"/>
              </w:rPr>
              <w:t xml:space="preserve">        (1,996)</w:t>
            </w:r>
          </w:p>
        </w:tc>
      </w:tr>
      <w:tr w:rsidR="00BD77D8" w:rsidRPr="00BD77D8" w14:paraId="245DDE76" w14:textId="77777777" w:rsidTr="003057FB">
        <w:trPr>
          <w:trHeight w:val="262"/>
        </w:trPr>
        <w:tc>
          <w:tcPr>
            <w:tcW w:w="0" w:type="auto"/>
            <w:tcBorders>
              <w:top w:val="nil"/>
              <w:left w:val="nil"/>
              <w:bottom w:val="nil"/>
              <w:right w:val="nil"/>
            </w:tcBorders>
            <w:shd w:val="clear" w:color="auto" w:fill="auto"/>
            <w:noWrap/>
            <w:vAlign w:val="bottom"/>
            <w:hideMark/>
          </w:tcPr>
          <w:p w14:paraId="55DB5285"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Other outflows </w:t>
            </w:r>
          </w:p>
        </w:tc>
        <w:tc>
          <w:tcPr>
            <w:tcW w:w="1050" w:type="dxa"/>
            <w:tcBorders>
              <w:top w:val="nil"/>
              <w:left w:val="nil"/>
              <w:bottom w:val="nil"/>
              <w:right w:val="nil"/>
            </w:tcBorders>
            <w:shd w:val="clear" w:color="auto" w:fill="auto"/>
            <w:noWrap/>
            <w:vAlign w:val="bottom"/>
            <w:hideMark/>
          </w:tcPr>
          <w:p w14:paraId="59F99873"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575A6657" w14:textId="77777777" w:rsidR="00B9311E" w:rsidRPr="00BD77D8" w:rsidRDefault="00B9311E" w:rsidP="00B9311E">
            <w:pPr>
              <w:spacing w:after="0" w:line="240" w:lineRule="auto"/>
              <w:jc w:val="right"/>
              <w:rPr>
                <w:b/>
                <w:bCs/>
                <w:sz w:val="18"/>
                <w:szCs w:val="18"/>
              </w:rPr>
            </w:pPr>
            <w:r w:rsidRPr="00BD77D8">
              <w:rPr>
                <w:b/>
                <w:bCs/>
                <w:sz w:val="18"/>
                <w:szCs w:val="18"/>
              </w:rPr>
              <w:t xml:space="preserve">        (1,631)</w:t>
            </w:r>
          </w:p>
        </w:tc>
        <w:tc>
          <w:tcPr>
            <w:tcW w:w="1296" w:type="dxa"/>
            <w:tcBorders>
              <w:top w:val="nil"/>
              <w:left w:val="nil"/>
              <w:bottom w:val="nil"/>
              <w:right w:val="nil"/>
            </w:tcBorders>
            <w:shd w:val="clear" w:color="auto" w:fill="auto"/>
            <w:vAlign w:val="bottom"/>
            <w:hideMark/>
          </w:tcPr>
          <w:p w14:paraId="42150D65" w14:textId="77777777" w:rsidR="00B9311E" w:rsidRPr="00BD77D8" w:rsidRDefault="00B9311E" w:rsidP="00B9311E">
            <w:pPr>
              <w:spacing w:after="0" w:line="240" w:lineRule="auto"/>
              <w:jc w:val="right"/>
              <w:rPr>
                <w:sz w:val="18"/>
                <w:szCs w:val="18"/>
              </w:rPr>
            </w:pPr>
            <w:r w:rsidRPr="00BD77D8">
              <w:rPr>
                <w:sz w:val="18"/>
                <w:szCs w:val="18"/>
              </w:rPr>
              <w:t xml:space="preserve">        (1,050)</w:t>
            </w:r>
          </w:p>
        </w:tc>
        <w:tc>
          <w:tcPr>
            <w:tcW w:w="1344" w:type="dxa"/>
            <w:tcBorders>
              <w:top w:val="nil"/>
              <w:left w:val="nil"/>
              <w:bottom w:val="nil"/>
              <w:right w:val="nil"/>
            </w:tcBorders>
            <w:shd w:val="clear" w:color="auto" w:fill="auto"/>
            <w:vAlign w:val="bottom"/>
            <w:hideMark/>
          </w:tcPr>
          <w:p w14:paraId="3CAFA3D9" w14:textId="77777777" w:rsidR="00B9311E" w:rsidRPr="00BD77D8" w:rsidRDefault="00B9311E" w:rsidP="00B9311E">
            <w:pPr>
              <w:spacing w:after="0" w:line="240" w:lineRule="auto"/>
              <w:jc w:val="right"/>
              <w:rPr>
                <w:sz w:val="18"/>
                <w:szCs w:val="18"/>
              </w:rPr>
            </w:pPr>
            <w:r w:rsidRPr="00BD77D8">
              <w:rPr>
                <w:sz w:val="18"/>
                <w:szCs w:val="18"/>
              </w:rPr>
              <w:t xml:space="preserve">            (581)</w:t>
            </w:r>
          </w:p>
        </w:tc>
        <w:tc>
          <w:tcPr>
            <w:tcW w:w="0" w:type="auto"/>
            <w:tcBorders>
              <w:top w:val="nil"/>
              <w:left w:val="nil"/>
              <w:bottom w:val="nil"/>
              <w:right w:val="nil"/>
            </w:tcBorders>
            <w:shd w:val="clear" w:color="auto" w:fill="auto"/>
            <w:vAlign w:val="bottom"/>
            <w:hideMark/>
          </w:tcPr>
          <w:p w14:paraId="392D929A" w14:textId="77777777" w:rsidR="00B9311E" w:rsidRPr="00BD77D8" w:rsidRDefault="00B9311E" w:rsidP="00B9311E">
            <w:pPr>
              <w:spacing w:after="0" w:line="240" w:lineRule="auto"/>
              <w:jc w:val="right"/>
              <w:rPr>
                <w:sz w:val="18"/>
                <w:szCs w:val="18"/>
              </w:rPr>
            </w:pPr>
            <w:r w:rsidRPr="00BD77D8">
              <w:rPr>
                <w:sz w:val="18"/>
                <w:szCs w:val="18"/>
              </w:rPr>
              <w:t xml:space="preserve">        (3,679)</w:t>
            </w:r>
          </w:p>
        </w:tc>
      </w:tr>
      <w:tr w:rsidR="00BD77D8" w:rsidRPr="00BD77D8" w14:paraId="5682D84A" w14:textId="77777777" w:rsidTr="003057FB">
        <w:trPr>
          <w:trHeight w:val="262"/>
        </w:trPr>
        <w:tc>
          <w:tcPr>
            <w:tcW w:w="0" w:type="auto"/>
            <w:tcBorders>
              <w:top w:val="nil"/>
              <w:left w:val="nil"/>
              <w:bottom w:val="nil"/>
              <w:right w:val="nil"/>
            </w:tcBorders>
            <w:shd w:val="clear" w:color="auto" w:fill="auto"/>
            <w:noWrap/>
            <w:vAlign w:val="bottom"/>
            <w:hideMark/>
          </w:tcPr>
          <w:p w14:paraId="402C1767" w14:textId="77777777" w:rsidR="00B9311E" w:rsidRPr="00BD77D8" w:rsidRDefault="00B9311E" w:rsidP="00B9311E">
            <w:pPr>
              <w:spacing w:after="0" w:line="240" w:lineRule="auto"/>
              <w:rPr>
                <w:b/>
                <w:bCs/>
                <w:sz w:val="18"/>
                <w:szCs w:val="18"/>
              </w:rPr>
            </w:pPr>
            <w:r w:rsidRPr="00BD77D8">
              <w:rPr>
                <w:b/>
                <w:bCs/>
                <w:sz w:val="18"/>
                <w:szCs w:val="18"/>
              </w:rPr>
              <w:t xml:space="preserve"> Net cash provided by (used in) operating activities </w:t>
            </w:r>
          </w:p>
        </w:tc>
        <w:tc>
          <w:tcPr>
            <w:tcW w:w="1050" w:type="dxa"/>
            <w:tcBorders>
              <w:top w:val="nil"/>
              <w:left w:val="nil"/>
              <w:bottom w:val="nil"/>
              <w:right w:val="nil"/>
            </w:tcBorders>
            <w:shd w:val="clear" w:color="auto" w:fill="auto"/>
            <w:noWrap/>
            <w:vAlign w:val="bottom"/>
            <w:hideMark/>
          </w:tcPr>
          <w:p w14:paraId="768AAFA5" w14:textId="77777777" w:rsidR="00B9311E" w:rsidRPr="00BD77D8" w:rsidRDefault="00B9311E" w:rsidP="00B9311E">
            <w:pPr>
              <w:spacing w:after="0" w:line="240" w:lineRule="auto"/>
              <w:jc w:val="center"/>
              <w:rPr>
                <w:b/>
                <w:bCs/>
                <w:sz w:val="18"/>
                <w:szCs w:val="18"/>
              </w:rPr>
            </w:pPr>
            <w:r w:rsidRPr="00BD77D8">
              <w:rPr>
                <w:b/>
                <w:bCs/>
                <w:sz w:val="18"/>
                <w:szCs w:val="18"/>
              </w:rPr>
              <w:t xml:space="preserve"> CF-1 </w:t>
            </w:r>
          </w:p>
        </w:tc>
        <w:tc>
          <w:tcPr>
            <w:tcW w:w="1090" w:type="dxa"/>
            <w:tcBorders>
              <w:top w:val="single" w:sz="4" w:space="0" w:color="auto"/>
              <w:left w:val="nil"/>
              <w:bottom w:val="single" w:sz="4" w:space="0" w:color="auto"/>
              <w:right w:val="nil"/>
            </w:tcBorders>
            <w:shd w:val="clear" w:color="auto" w:fill="auto"/>
            <w:vAlign w:val="bottom"/>
            <w:hideMark/>
          </w:tcPr>
          <w:p w14:paraId="418135FE" w14:textId="77777777" w:rsidR="00B9311E" w:rsidRPr="00BD77D8" w:rsidRDefault="00B9311E" w:rsidP="00B9311E">
            <w:pPr>
              <w:spacing w:after="0" w:line="240" w:lineRule="auto"/>
              <w:jc w:val="right"/>
              <w:rPr>
                <w:b/>
                <w:bCs/>
                <w:sz w:val="18"/>
                <w:szCs w:val="18"/>
              </w:rPr>
            </w:pPr>
            <w:r w:rsidRPr="00BD77D8">
              <w:rPr>
                <w:b/>
                <w:bCs/>
                <w:sz w:val="18"/>
                <w:szCs w:val="18"/>
              </w:rPr>
              <w:t xml:space="preserve">        (3,680)</w:t>
            </w:r>
          </w:p>
        </w:tc>
        <w:tc>
          <w:tcPr>
            <w:tcW w:w="1296" w:type="dxa"/>
            <w:tcBorders>
              <w:top w:val="single" w:sz="4" w:space="0" w:color="auto"/>
              <w:left w:val="nil"/>
              <w:bottom w:val="single" w:sz="4" w:space="0" w:color="auto"/>
              <w:right w:val="nil"/>
            </w:tcBorders>
            <w:shd w:val="clear" w:color="auto" w:fill="auto"/>
            <w:vAlign w:val="bottom"/>
            <w:hideMark/>
          </w:tcPr>
          <w:p w14:paraId="15011E3A" w14:textId="77777777" w:rsidR="00B9311E" w:rsidRPr="00BD77D8" w:rsidRDefault="00B9311E" w:rsidP="00B9311E">
            <w:pPr>
              <w:spacing w:after="0" w:line="240" w:lineRule="auto"/>
              <w:jc w:val="right"/>
              <w:rPr>
                <w:b/>
                <w:bCs/>
                <w:sz w:val="18"/>
                <w:szCs w:val="18"/>
              </w:rPr>
            </w:pPr>
            <w:r w:rsidRPr="00BD77D8">
              <w:rPr>
                <w:b/>
                <w:bCs/>
                <w:sz w:val="18"/>
                <w:szCs w:val="18"/>
              </w:rPr>
              <w:t xml:space="preserve">          4,900 </w:t>
            </w:r>
          </w:p>
        </w:tc>
        <w:tc>
          <w:tcPr>
            <w:tcW w:w="1344" w:type="dxa"/>
            <w:tcBorders>
              <w:top w:val="single" w:sz="4" w:space="0" w:color="auto"/>
              <w:left w:val="nil"/>
              <w:bottom w:val="single" w:sz="4" w:space="0" w:color="auto"/>
              <w:right w:val="nil"/>
            </w:tcBorders>
            <w:shd w:val="clear" w:color="auto" w:fill="auto"/>
            <w:vAlign w:val="bottom"/>
            <w:hideMark/>
          </w:tcPr>
          <w:p w14:paraId="66F15F73" w14:textId="77777777" w:rsidR="00B9311E" w:rsidRPr="00BD77D8" w:rsidRDefault="00B9311E" w:rsidP="00B9311E">
            <w:pPr>
              <w:spacing w:after="0" w:line="240" w:lineRule="auto"/>
              <w:jc w:val="right"/>
              <w:rPr>
                <w:b/>
                <w:bCs/>
                <w:sz w:val="18"/>
                <w:szCs w:val="18"/>
              </w:rPr>
            </w:pPr>
            <w:r w:rsidRPr="00BD77D8">
              <w:rPr>
                <w:b/>
                <w:bCs/>
                <w:sz w:val="18"/>
                <w:szCs w:val="18"/>
              </w:rPr>
              <w:t xml:space="preserve">        (8,580)</w:t>
            </w:r>
          </w:p>
        </w:tc>
        <w:tc>
          <w:tcPr>
            <w:tcW w:w="0" w:type="auto"/>
            <w:tcBorders>
              <w:top w:val="single" w:sz="4" w:space="0" w:color="auto"/>
              <w:left w:val="nil"/>
              <w:bottom w:val="single" w:sz="4" w:space="0" w:color="auto"/>
              <w:right w:val="nil"/>
            </w:tcBorders>
            <w:shd w:val="clear" w:color="auto" w:fill="auto"/>
            <w:vAlign w:val="bottom"/>
            <w:hideMark/>
          </w:tcPr>
          <w:p w14:paraId="54E7AA73" w14:textId="77777777" w:rsidR="00B9311E" w:rsidRPr="00BD77D8" w:rsidRDefault="00B9311E" w:rsidP="00B9311E">
            <w:pPr>
              <w:spacing w:after="0" w:line="240" w:lineRule="auto"/>
              <w:jc w:val="right"/>
              <w:rPr>
                <w:b/>
                <w:bCs/>
                <w:sz w:val="18"/>
                <w:szCs w:val="18"/>
              </w:rPr>
            </w:pPr>
            <w:r w:rsidRPr="00BD77D8">
              <w:rPr>
                <w:b/>
                <w:bCs/>
                <w:sz w:val="18"/>
                <w:szCs w:val="18"/>
              </w:rPr>
              <w:t xml:space="preserve">          1,016 </w:t>
            </w:r>
          </w:p>
        </w:tc>
      </w:tr>
      <w:tr w:rsidR="00BD77D8" w:rsidRPr="00BD77D8" w14:paraId="7D913631" w14:textId="77777777" w:rsidTr="003057FB">
        <w:trPr>
          <w:trHeight w:val="262"/>
        </w:trPr>
        <w:tc>
          <w:tcPr>
            <w:tcW w:w="0" w:type="auto"/>
            <w:tcBorders>
              <w:top w:val="nil"/>
              <w:left w:val="nil"/>
              <w:bottom w:val="nil"/>
              <w:right w:val="nil"/>
            </w:tcBorders>
            <w:shd w:val="clear" w:color="auto" w:fill="auto"/>
            <w:noWrap/>
            <w:vAlign w:val="bottom"/>
            <w:hideMark/>
          </w:tcPr>
          <w:p w14:paraId="74B078E7" w14:textId="77777777" w:rsidR="00B9311E" w:rsidRPr="00BD77D8" w:rsidRDefault="00B9311E" w:rsidP="00B9311E">
            <w:pPr>
              <w:spacing w:after="0" w:line="240" w:lineRule="auto"/>
              <w:rPr>
                <w:b/>
                <w:bCs/>
                <w:sz w:val="18"/>
                <w:szCs w:val="18"/>
              </w:rPr>
            </w:pPr>
            <w:r w:rsidRPr="00BD77D8">
              <w:rPr>
                <w:b/>
                <w:bCs/>
                <w:sz w:val="18"/>
                <w:szCs w:val="18"/>
              </w:rPr>
              <w:t xml:space="preserve"> Cash Flows from Investing Activities </w:t>
            </w:r>
          </w:p>
        </w:tc>
        <w:tc>
          <w:tcPr>
            <w:tcW w:w="1050" w:type="dxa"/>
            <w:tcBorders>
              <w:top w:val="nil"/>
              <w:left w:val="nil"/>
              <w:bottom w:val="nil"/>
              <w:right w:val="nil"/>
            </w:tcBorders>
            <w:shd w:val="clear" w:color="auto" w:fill="auto"/>
            <w:noWrap/>
            <w:vAlign w:val="bottom"/>
            <w:hideMark/>
          </w:tcPr>
          <w:p w14:paraId="311B36F2" w14:textId="77777777" w:rsidR="00B9311E" w:rsidRPr="00BD77D8" w:rsidRDefault="00B9311E" w:rsidP="00B9311E">
            <w:pPr>
              <w:spacing w:after="0" w:line="240" w:lineRule="auto"/>
              <w:rPr>
                <w:b/>
                <w:bCs/>
                <w:sz w:val="18"/>
                <w:szCs w:val="18"/>
              </w:rPr>
            </w:pPr>
          </w:p>
        </w:tc>
        <w:tc>
          <w:tcPr>
            <w:tcW w:w="1090" w:type="dxa"/>
            <w:tcBorders>
              <w:top w:val="nil"/>
              <w:left w:val="nil"/>
              <w:bottom w:val="nil"/>
              <w:right w:val="nil"/>
            </w:tcBorders>
            <w:shd w:val="clear" w:color="auto" w:fill="auto"/>
            <w:vAlign w:val="bottom"/>
            <w:hideMark/>
          </w:tcPr>
          <w:p w14:paraId="7C17B3A8"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6" w:type="dxa"/>
            <w:tcBorders>
              <w:top w:val="nil"/>
              <w:left w:val="nil"/>
              <w:bottom w:val="nil"/>
              <w:right w:val="nil"/>
            </w:tcBorders>
            <w:shd w:val="clear" w:color="auto" w:fill="auto"/>
            <w:vAlign w:val="bottom"/>
            <w:hideMark/>
          </w:tcPr>
          <w:p w14:paraId="34543AC1"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344" w:type="dxa"/>
            <w:tcBorders>
              <w:top w:val="nil"/>
              <w:left w:val="nil"/>
              <w:bottom w:val="nil"/>
              <w:right w:val="nil"/>
            </w:tcBorders>
            <w:shd w:val="clear" w:color="auto" w:fill="auto"/>
            <w:vAlign w:val="bottom"/>
            <w:hideMark/>
          </w:tcPr>
          <w:p w14:paraId="1E5EC85F"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0" w:type="auto"/>
            <w:tcBorders>
              <w:top w:val="nil"/>
              <w:left w:val="nil"/>
              <w:bottom w:val="nil"/>
              <w:right w:val="nil"/>
            </w:tcBorders>
            <w:shd w:val="clear" w:color="auto" w:fill="auto"/>
            <w:vAlign w:val="bottom"/>
            <w:hideMark/>
          </w:tcPr>
          <w:p w14:paraId="35399837"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428C83EE" w14:textId="77777777" w:rsidTr="003057FB">
        <w:trPr>
          <w:trHeight w:val="262"/>
        </w:trPr>
        <w:tc>
          <w:tcPr>
            <w:tcW w:w="0" w:type="auto"/>
            <w:tcBorders>
              <w:top w:val="nil"/>
              <w:left w:val="nil"/>
              <w:bottom w:val="nil"/>
              <w:right w:val="nil"/>
            </w:tcBorders>
            <w:shd w:val="clear" w:color="auto" w:fill="auto"/>
            <w:noWrap/>
            <w:vAlign w:val="bottom"/>
            <w:hideMark/>
          </w:tcPr>
          <w:p w14:paraId="46D8E931" w14:textId="77777777" w:rsidR="00B9311E" w:rsidRPr="00BD77D8" w:rsidRDefault="00B9311E" w:rsidP="00B9311E">
            <w:pPr>
              <w:spacing w:after="0" w:line="240" w:lineRule="auto"/>
              <w:ind w:firstLineChars="100" w:firstLine="181"/>
              <w:rPr>
                <w:b/>
                <w:bCs/>
                <w:i/>
                <w:iCs/>
                <w:sz w:val="18"/>
                <w:szCs w:val="18"/>
              </w:rPr>
            </w:pPr>
            <w:r w:rsidRPr="00BD77D8">
              <w:rPr>
                <w:b/>
                <w:bCs/>
                <w:i/>
                <w:iCs/>
                <w:sz w:val="18"/>
                <w:szCs w:val="18"/>
              </w:rPr>
              <w:t xml:space="preserve"> Inflows: </w:t>
            </w:r>
          </w:p>
        </w:tc>
        <w:tc>
          <w:tcPr>
            <w:tcW w:w="1050" w:type="dxa"/>
            <w:tcBorders>
              <w:top w:val="nil"/>
              <w:left w:val="nil"/>
              <w:bottom w:val="nil"/>
              <w:right w:val="nil"/>
            </w:tcBorders>
            <w:shd w:val="clear" w:color="auto" w:fill="auto"/>
            <w:noWrap/>
            <w:vAlign w:val="bottom"/>
            <w:hideMark/>
          </w:tcPr>
          <w:p w14:paraId="0A76CC27" w14:textId="77777777" w:rsidR="00B9311E" w:rsidRPr="00BD77D8" w:rsidRDefault="00B9311E" w:rsidP="00B9311E">
            <w:pPr>
              <w:spacing w:after="0" w:line="240" w:lineRule="auto"/>
              <w:ind w:firstLineChars="100" w:firstLine="181"/>
              <w:rPr>
                <w:b/>
                <w:bCs/>
                <w:i/>
                <w:iCs/>
                <w:sz w:val="18"/>
                <w:szCs w:val="18"/>
              </w:rPr>
            </w:pPr>
          </w:p>
        </w:tc>
        <w:tc>
          <w:tcPr>
            <w:tcW w:w="1090" w:type="dxa"/>
            <w:tcBorders>
              <w:top w:val="nil"/>
              <w:left w:val="nil"/>
              <w:bottom w:val="nil"/>
              <w:right w:val="nil"/>
            </w:tcBorders>
            <w:shd w:val="clear" w:color="auto" w:fill="auto"/>
            <w:vAlign w:val="bottom"/>
            <w:hideMark/>
          </w:tcPr>
          <w:p w14:paraId="0A82B55C"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6" w:type="dxa"/>
            <w:tcBorders>
              <w:top w:val="nil"/>
              <w:left w:val="nil"/>
              <w:bottom w:val="nil"/>
              <w:right w:val="nil"/>
            </w:tcBorders>
            <w:shd w:val="clear" w:color="auto" w:fill="auto"/>
            <w:vAlign w:val="bottom"/>
            <w:hideMark/>
          </w:tcPr>
          <w:p w14:paraId="53743EF2"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344" w:type="dxa"/>
            <w:tcBorders>
              <w:top w:val="nil"/>
              <w:left w:val="nil"/>
              <w:bottom w:val="nil"/>
              <w:right w:val="nil"/>
            </w:tcBorders>
            <w:shd w:val="clear" w:color="auto" w:fill="auto"/>
            <w:vAlign w:val="bottom"/>
            <w:hideMark/>
          </w:tcPr>
          <w:p w14:paraId="2D9FB06B"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0" w:type="auto"/>
            <w:tcBorders>
              <w:top w:val="nil"/>
              <w:left w:val="nil"/>
              <w:bottom w:val="nil"/>
              <w:right w:val="nil"/>
            </w:tcBorders>
            <w:shd w:val="clear" w:color="auto" w:fill="auto"/>
            <w:vAlign w:val="bottom"/>
            <w:hideMark/>
          </w:tcPr>
          <w:p w14:paraId="623FBEED"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2F067839" w14:textId="77777777" w:rsidTr="003057FB">
        <w:trPr>
          <w:trHeight w:val="262"/>
        </w:trPr>
        <w:tc>
          <w:tcPr>
            <w:tcW w:w="0" w:type="auto"/>
            <w:tcBorders>
              <w:top w:val="nil"/>
              <w:left w:val="nil"/>
              <w:bottom w:val="nil"/>
              <w:right w:val="nil"/>
            </w:tcBorders>
            <w:shd w:val="clear" w:color="auto" w:fill="auto"/>
            <w:noWrap/>
            <w:vAlign w:val="bottom"/>
            <w:hideMark/>
          </w:tcPr>
          <w:p w14:paraId="23AE28A4"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Sales of property, plant and equipment </w:t>
            </w:r>
          </w:p>
        </w:tc>
        <w:tc>
          <w:tcPr>
            <w:tcW w:w="1050" w:type="dxa"/>
            <w:tcBorders>
              <w:top w:val="nil"/>
              <w:left w:val="nil"/>
              <w:bottom w:val="nil"/>
              <w:right w:val="nil"/>
            </w:tcBorders>
            <w:shd w:val="clear" w:color="auto" w:fill="auto"/>
            <w:noWrap/>
            <w:vAlign w:val="bottom"/>
            <w:hideMark/>
          </w:tcPr>
          <w:p w14:paraId="6B59D39F"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701875DE"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296" w:type="dxa"/>
            <w:tcBorders>
              <w:top w:val="nil"/>
              <w:left w:val="nil"/>
              <w:bottom w:val="nil"/>
              <w:right w:val="nil"/>
            </w:tcBorders>
            <w:shd w:val="clear" w:color="auto" w:fill="auto"/>
            <w:vAlign w:val="bottom"/>
            <w:hideMark/>
          </w:tcPr>
          <w:p w14:paraId="756EB045"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344" w:type="dxa"/>
            <w:tcBorders>
              <w:top w:val="nil"/>
              <w:left w:val="nil"/>
              <w:bottom w:val="nil"/>
              <w:right w:val="nil"/>
            </w:tcBorders>
            <w:shd w:val="clear" w:color="auto" w:fill="auto"/>
            <w:vAlign w:val="bottom"/>
            <w:hideMark/>
          </w:tcPr>
          <w:p w14:paraId="326D3330"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vAlign w:val="bottom"/>
            <w:hideMark/>
          </w:tcPr>
          <w:p w14:paraId="2251967A" w14:textId="77777777" w:rsidR="00B9311E" w:rsidRPr="00BD77D8" w:rsidRDefault="00B9311E" w:rsidP="00B9311E">
            <w:pPr>
              <w:spacing w:after="0" w:line="240" w:lineRule="auto"/>
              <w:jc w:val="right"/>
              <w:rPr>
                <w:sz w:val="18"/>
                <w:szCs w:val="18"/>
              </w:rPr>
            </w:pPr>
            <w:r w:rsidRPr="00BD77D8">
              <w:rPr>
                <w:sz w:val="18"/>
                <w:szCs w:val="18"/>
              </w:rPr>
              <w:t xml:space="preserve">          1,895 </w:t>
            </w:r>
          </w:p>
        </w:tc>
      </w:tr>
      <w:tr w:rsidR="00BD77D8" w:rsidRPr="00BD77D8" w14:paraId="7B51C388" w14:textId="77777777" w:rsidTr="003057FB">
        <w:trPr>
          <w:trHeight w:val="262"/>
        </w:trPr>
        <w:tc>
          <w:tcPr>
            <w:tcW w:w="0" w:type="auto"/>
            <w:tcBorders>
              <w:top w:val="nil"/>
              <w:left w:val="nil"/>
              <w:bottom w:val="nil"/>
              <w:right w:val="nil"/>
            </w:tcBorders>
            <w:shd w:val="clear" w:color="auto" w:fill="auto"/>
            <w:noWrap/>
            <w:vAlign w:val="bottom"/>
            <w:hideMark/>
          </w:tcPr>
          <w:p w14:paraId="263EFB80" w14:textId="77777777" w:rsidR="00B9311E" w:rsidRPr="00BD77D8" w:rsidRDefault="00B9311E" w:rsidP="00B9311E">
            <w:pPr>
              <w:spacing w:after="0" w:line="240" w:lineRule="auto"/>
              <w:ind w:firstLineChars="100" w:firstLine="181"/>
              <w:rPr>
                <w:b/>
                <w:bCs/>
                <w:i/>
                <w:iCs/>
                <w:sz w:val="18"/>
                <w:szCs w:val="18"/>
              </w:rPr>
            </w:pPr>
            <w:r w:rsidRPr="00BD77D8">
              <w:rPr>
                <w:b/>
                <w:bCs/>
                <w:i/>
                <w:iCs/>
                <w:sz w:val="18"/>
                <w:szCs w:val="18"/>
              </w:rPr>
              <w:t xml:space="preserve"> Outflows: </w:t>
            </w:r>
          </w:p>
        </w:tc>
        <w:tc>
          <w:tcPr>
            <w:tcW w:w="1050" w:type="dxa"/>
            <w:tcBorders>
              <w:top w:val="nil"/>
              <w:left w:val="nil"/>
              <w:bottom w:val="nil"/>
              <w:right w:val="nil"/>
            </w:tcBorders>
            <w:shd w:val="clear" w:color="auto" w:fill="auto"/>
            <w:noWrap/>
            <w:vAlign w:val="bottom"/>
            <w:hideMark/>
          </w:tcPr>
          <w:p w14:paraId="59431A57" w14:textId="77777777" w:rsidR="00B9311E" w:rsidRPr="00BD77D8" w:rsidRDefault="00B9311E" w:rsidP="00B9311E">
            <w:pPr>
              <w:spacing w:after="0" w:line="240" w:lineRule="auto"/>
              <w:ind w:firstLineChars="100" w:firstLine="181"/>
              <w:rPr>
                <w:b/>
                <w:bCs/>
                <w:i/>
                <w:iCs/>
                <w:sz w:val="18"/>
                <w:szCs w:val="18"/>
              </w:rPr>
            </w:pPr>
          </w:p>
        </w:tc>
        <w:tc>
          <w:tcPr>
            <w:tcW w:w="1090" w:type="dxa"/>
            <w:tcBorders>
              <w:top w:val="nil"/>
              <w:left w:val="nil"/>
              <w:bottom w:val="nil"/>
              <w:right w:val="nil"/>
            </w:tcBorders>
            <w:shd w:val="clear" w:color="auto" w:fill="auto"/>
            <w:vAlign w:val="bottom"/>
            <w:hideMark/>
          </w:tcPr>
          <w:p w14:paraId="7E566853"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6" w:type="dxa"/>
            <w:tcBorders>
              <w:top w:val="nil"/>
              <w:left w:val="nil"/>
              <w:bottom w:val="nil"/>
              <w:right w:val="nil"/>
            </w:tcBorders>
            <w:shd w:val="clear" w:color="auto" w:fill="auto"/>
            <w:vAlign w:val="bottom"/>
            <w:hideMark/>
          </w:tcPr>
          <w:p w14:paraId="53ED277F"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344" w:type="dxa"/>
            <w:tcBorders>
              <w:top w:val="nil"/>
              <w:left w:val="nil"/>
              <w:bottom w:val="nil"/>
              <w:right w:val="nil"/>
            </w:tcBorders>
            <w:shd w:val="clear" w:color="auto" w:fill="auto"/>
            <w:vAlign w:val="bottom"/>
            <w:hideMark/>
          </w:tcPr>
          <w:p w14:paraId="4C1109FA"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0" w:type="auto"/>
            <w:tcBorders>
              <w:top w:val="nil"/>
              <w:left w:val="nil"/>
              <w:bottom w:val="nil"/>
              <w:right w:val="nil"/>
            </w:tcBorders>
            <w:shd w:val="clear" w:color="auto" w:fill="auto"/>
            <w:vAlign w:val="bottom"/>
            <w:hideMark/>
          </w:tcPr>
          <w:p w14:paraId="44B8A9AA"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4C0C27BB" w14:textId="77777777" w:rsidTr="003057FB">
        <w:trPr>
          <w:trHeight w:val="262"/>
        </w:trPr>
        <w:tc>
          <w:tcPr>
            <w:tcW w:w="0" w:type="auto"/>
            <w:tcBorders>
              <w:top w:val="nil"/>
              <w:left w:val="nil"/>
              <w:bottom w:val="nil"/>
              <w:right w:val="nil"/>
            </w:tcBorders>
            <w:shd w:val="clear" w:color="auto" w:fill="auto"/>
            <w:noWrap/>
            <w:vAlign w:val="bottom"/>
            <w:hideMark/>
          </w:tcPr>
          <w:p w14:paraId="0AC74460"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Payments for property, plant and equipment </w:t>
            </w:r>
          </w:p>
        </w:tc>
        <w:tc>
          <w:tcPr>
            <w:tcW w:w="1050" w:type="dxa"/>
            <w:tcBorders>
              <w:top w:val="nil"/>
              <w:left w:val="nil"/>
              <w:bottom w:val="nil"/>
              <w:right w:val="nil"/>
            </w:tcBorders>
            <w:shd w:val="clear" w:color="auto" w:fill="auto"/>
            <w:noWrap/>
            <w:vAlign w:val="bottom"/>
            <w:hideMark/>
          </w:tcPr>
          <w:p w14:paraId="1996D60B"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4A9E1C31" w14:textId="77777777" w:rsidR="00B9311E" w:rsidRPr="00BD77D8" w:rsidRDefault="00B9311E" w:rsidP="00B9311E">
            <w:pPr>
              <w:spacing w:after="0" w:line="240" w:lineRule="auto"/>
              <w:jc w:val="right"/>
              <w:rPr>
                <w:b/>
                <w:bCs/>
                <w:sz w:val="18"/>
                <w:szCs w:val="18"/>
              </w:rPr>
            </w:pPr>
            <w:r w:rsidRPr="00BD77D8">
              <w:rPr>
                <w:b/>
                <w:bCs/>
                <w:sz w:val="18"/>
                <w:szCs w:val="18"/>
              </w:rPr>
              <w:t xml:space="preserve">        (2,216)</w:t>
            </w:r>
          </w:p>
        </w:tc>
        <w:tc>
          <w:tcPr>
            <w:tcW w:w="1296" w:type="dxa"/>
            <w:tcBorders>
              <w:top w:val="nil"/>
              <w:left w:val="nil"/>
              <w:bottom w:val="nil"/>
              <w:right w:val="nil"/>
            </w:tcBorders>
            <w:shd w:val="clear" w:color="auto" w:fill="auto"/>
            <w:vAlign w:val="bottom"/>
            <w:hideMark/>
          </w:tcPr>
          <w:p w14:paraId="2EAC667C" w14:textId="77777777" w:rsidR="00B9311E" w:rsidRPr="00BD77D8" w:rsidRDefault="00B9311E" w:rsidP="00B9311E">
            <w:pPr>
              <w:spacing w:after="0" w:line="240" w:lineRule="auto"/>
              <w:jc w:val="right"/>
              <w:rPr>
                <w:sz w:val="18"/>
                <w:szCs w:val="18"/>
              </w:rPr>
            </w:pPr>
            <w:r w:rsidRPr="00BD77D8">
              <w:rPr>
                <w:sz w:val="18"/>
                <w:szCs w:val="18"/>
              </w:rPr>
              <w:t xml:space="preserve">        (7,572)</w:t>
            </w:r>
          </w:p>
        </w:tc>
        <w:tc>
          <w:tcPr>
            <w:tcW w:w="1344" w:type="dxa"/>
            <w:tcBorders>
              <w:top w:val="nil"/>
              <w:left w:val="nil"/>
              <w:bottom w:val="nil"/>
              <w:right w:val="nil"/>
            </w:tcBorders>
            <w:shd w:val="clear" w:color="auto" w:fill="auto"/>
            <w:vAlign w:val="bottom"/>
            <w:hideMark/>
          </w:tcPr>
          <w:p w14:paraId="26E45EFE" w14:textId="77777777" w:rsidR="00B9311E" w:rsidRPr="00BD77D8" w:rsidRDefault="00B9311E" w:rsidP="00B9311E">
            <w:pPr>
              <w:spacing w:after="0" w:line="240" w:lineRule="auto"/>
              <w:jc w:val="right"/>
              <w:rPr>
                <w:sz w:val="18"/>
                <w:szCs w:val="18"/>
              </w:rPr>
            </w:pPr>
            <w:r w:rsidRPr="00BD77D8">
              <w:rPr>
                <w:sz w:val="18"/>
                <w:szCs w:val="18"/>
              </w:rPr>
              <w:t xml:space="preserve">          5,356 </w:t>
            </w:r>
          </w:p>
        </w:tc>
        <w:tc>
          <w:tcPr>
            <w:tcW w:w="0" w:type="auto"/>
            <w:tcBorders>
              <w:top w:val="nil"/>
              <w:left w:val="nil"/>
              <w:bottom w:val="nil"/>
              <w:right w:val="nil"/>
            </w:tcBorders>
            <w:shd w:val="clear" w:color="auto" w:fill="auto"/>
            <w:vAlign w:val="bottom"/>
            <w:hideMark/>
          </w:tcPr>
          <w:p w14:paraId="221CF5BD" w14:textId="77777777" w:rsidR="00B9311E" w:rsidRPr="00BD77D8" w:rsidRDefault="00B9311E" w:rsidP="00B9311E">
            <w:pPr>
              <w:spacing w:after="0" w:line="240" w:lineRule="auto"/>
              <w:jc w:val="right"/>
              <w:rPr>
                <w:sz w:val="18"/>
                <w:szCs w:val="18"/>
              </w:rPr>
            </w:pPr>
            <w:r w:rsidRPr="00BD77D8">
              <w:rPr>
                <w:sz w:val="18"/>
                <w:szCs w:val="18"/>
              </w:rPr>
              <w:t xml:space="preserve">      (16,334)</w:t>
            </w:r>
          </w:p>
        </w:tc>
      </w:tr>
      <w:tr w:rsidR="00BD77D8" w:rsidRPr="00BD77D8" w14:paraId="054365D5" w14:textId="77777777" w:rsidTr="003057FB">
        <w:trPr>
          <w:trHeight w:val="262"/>
        </w:trPr>
        <w:tc>
          <w:tcPr>
            <w:tcW w:w="0" w:type="auto"/>
            <w:tcBorders>
              <w:top w:val="nil"/>
              <w:left w:val="nil"/>
              <w:bottom w:val="nil"/>
              <w:right w:val="nil"/>
            </w:tcBorders>
            <w:shd w:val="clear" w:color="auto" w:fill="auto"/>
            <w:noWrap/>
            <w:vAlign w:val="bottom"/>
            <w:hideMark/>
          </w:tcPr>
          <w:p w14:paraId="095D0322" w14:textId="77777777" w:rsidR="00B9311E" w:rsidRPr="00BD77D8" w:rsidRDefault="00B9311E" w:rsidP="00B9311E">
            <w:pPr>
              <w:spacing w:after="0" w:line="240" w:lineRule="auto"/>
              <w:rPr>
                <w:b/>
                <w:bCs/>
                <w:sz w:val="18"/>
                <w:szCs w:val="18"/>
              </w:rPr>
            </w:pPr>
            <w:r w:rsidRPr="00BD77D8">
              <w:rPr>
                <w:b/>
                <w:bCs/>
                <w:sz w:val="18"/>
                <w:szCs w:val="18"/>
              </w:rPr>
              <w:t xml:space="preserve"> Net cash used in investing activities </w:t>
            </w:r>
          </w:p>
        </w:tc>
        <w:tc>
          <w:tcPr>
            <w:tcW w:w="1050" w:type="dxa"/>
            <w:tcBorders>
              <w:top w:val="nil"/>
              <w:left w:val="nil"/>
              <w:bottom w:val="nil"/>
              <w:right w:val="nil"/>
            </w:tcBorders>
            <w:shd w:val="clear" w:color="auto" w:fill="auto"/>
            <w:noWrap/>
            <w:vAlign w:val="bottom"/>
            <w:hideMark/>
          </w:tcPr>
          <w:p w14:paraId="504DECCB" w14:textId="77777777" w:rsidR="00B9311E" w:rsidRPr="00BD77D8" w:rsidRDefault="00B9311E" w:rsidP="00B9311E">
            <w:pPr>
              <w:spacing w:after="0" w:line="240" w:lineRule="auto"/>
              <w:rPr>
                <w:b/>
                <w:bCs/>
                <w:sz w:val="18"/>
                <w:szCs w:val="18"/>
              </w:rPr>
            </w:pPr>
          </w:p>
        </w:tc>
        <w:tc>
          <w:tcPr>
            <w:tcW w:w="1090" w:type="dxa"/>
            <w:tcBorders>
              <w:top w:val="single" w:sz="4" w:space="0" w:color="auto"/>
              <w:left w:val="nil"/>
              <w:bottom w:val="single" w:sz="4" w:space="0" w:color="auto"/>
              <w:right w:val="nil"/>
            </w:tcBorders>
            <w:shd w:val="clear" w:color="auto" w:fill="auto"/>
            <w:vAlign w:val="bottom"/>
            <w:hideMark/>
          </w:tcPr>
          <w:p w14:paraId="5881FF7C" w14:textId="77777777" w:rsidR="00B9311E" w:rsidRPr="00BD77D8" w:rsidRDefault="00B9311E" w:rsidP="00B9311E">
            <w:pPr>
              <w:spacing w:after="0" w:line="240" w:lineRule="auto"/>
              <w:jc w:val="right"/>
              <w:rPr>
                <w:b/>
                <w:bCs/>
                <w:sz w:val="18"/>
                <w:szCs w:val="18"/>
              </w:rPr>
            </w:pPr>
            <w:r w:rsidRPr="00BD77D8">
              <w:rPr>
                <w:b/>
                <w:bCs/>
                <w:sz w:val="18"/>
                <w:szCs w:val="18"/>
              </w:rPr>
              <w:t xml:space="preserve">        (2,216)</w:t>
            </w:r>
          </w:p>
        </w:tc>
        <w:tc>
          <w:tcPr>
            <w:tcW w:w="1296" w:type="dxa"/>
            <w:tcBorders>
              <w:top w:val="single" w:sz="4" w:space="0" w:color="auto"/>
              <w:left w:val="nil"/>
              <w:bottom w:val="single" w:sz="4" w:space="0" w:color="auto"/>
              <w:right w:val="nil"/>
            </w:tcBorders>
            <w:shd w:val="clear" w:color="auto" w:fill="auto"/>
            <w:vAlign w:val="bottom"/>
            <w:hideMark/>
          </w:tcPr>
          <w:p w14:paraId="0E332CCA" w14:textId="77777777" w:rsidR="00B9311E" w:rsidRPr="00BD77D8" w:rsidRDefault="00B9311E" w:rsidP="00B9311E">
            <w:pPr>
              <w:spacing w:after="0" w:line="240" w:lineRule="auto"/>
              <w:jc w:val="right"/>
              <w:rPr>
                <w:b/>
                <w:bCs/>
                <w:sz w:val="18"/>
                <w:szCs w:val="18"/>
              </w:rPr>
            </w:pPr>
            <w:r w:rsidRPr="00BD77D8">
              <w:rPr>
                <w:b/>
                <w:bCs/>
                <w:sz w:val="18"/>
                <w:szCs w:val="18"/>
              </w:rPr>
              <w:t xml:space="preserve">        (7,572)</w:t>
            </w:r>
          </w:p>
        </w:tc>
        <w:tc>
          <w:tcPr>
            <w:tcW w:w="1344" w:type="dxa"/>
            <w:tcBorders>
              <w:top w:val="single" w:sz="4" w:space="0" w:color="auto"/>
              <w:left w:val="nil"/>
              <w:bottom w:val="single" w:sz="4" w:space="0" w:color="auto"/>
              <w:right w:val="nil"/>
            </w:tcBorders>
            <w:shd w:val="clear" w:color="auto" w:fill="auto"/>
            <w:vAlign w:val="bottom"/>
            <w:hideMark/>
          </w:tcPr>
          <w:p w14:paraId="5C49F4B5" w14:textId="77777777" w:rsidR="00B9311E" w:rsidRPr="00BD77D8" w:rsidRDefault="00B9311E" w:rsidP="00B9311E">
            <w:pPr>
              <w:spacing w:after="0" w:line="240" w:lineRule="auto"/>
              <w:jc w:val="right"/>
              <w:rPr>
                <w:b/>
                <w:bCs/>
                <w:sz w:val="18"/>
                <w:szCs w:val="18"/>
              </w:rPr>
            </w:pPr>
            <w:r w:rsidRPr="00BD77D8">
              <w:rPr>
                <w:b/>
                <w:bCs/>
                <w:sz w:val="18"/>
                <w:szCs w:val="18"/>
              </w:rPr>
              <w:t xml:space="preserve">          5,356 </w:t>
            </w:r>
          </w:p>
        </w:tc>
        <w:tc>
          <w:tcPr>
            <w:tcW w:w="0" w:type="auto"/>
            <w:tcBorders>
              <w:top w:val="single" w:sz="4" w:space="0" w:color="auto"/>
              <w:left w:val="nil"/>
              <w:bottom w:val="single" w:sz="4" w:space="0" w:color="auto"/>
              <w:right w:val="nil"/>
            </w:tcBorders>
            <w:shd w:val="clear" w:color="auto" w:fill="auto"/>
            <w:vAlign w:val="bottom"/>
            <w:hideMark/>
          </w:tcPr>
          <w:p w14:paraId="1C3DADDB" w14:textId="77777777" w:rsidR="00B9311E" w:rsidRPr="00BD77D8" w:rsidRDefault="00B9311E" w:rsidP="00B9311E">
            <w:pPr>
              <w:spacing w:after="0" w:line="240" w:lineRule="auto"/>
              <w:jc w:val="right"/>
              <w:rPr>
                <w:b/>
                <w:bCs/>
                <w:sz w:val="18"/>
                <w:szCs w:val="18"/>
              </w:rPr>
            </w:pPr>
            <w:r w:rsidRPr="00BD77D8">
              <w:rPr>
                <w:b/>
                <w:bCs/>
                <w:sz w:val="18"/>
                <w:szCs w:val="18"/>
              </w:rPr>
              <w:t xml:space="preserve">      (14,439)</w:t>
            </w:r>
          </w:p>
        </w:tc>
      </w:tr>
      <w:tr w:rsidR="00BD77D8" w:rsidRPr="00BD77D8" w14:paraId="0659EB27" w14:textId="77777777" w:rsidTr="003057FB">
        <w:trPr>
          <w:trHeight w:val="262"/>
        </w:trPr>
        <w:tc>
          <w:tcPr>
            <w:tcW w:w="0" w:type="auto"/>
            <w:tcBorders>
              <w:top w:val="nil"/>
              <w:left w:val="nil"/>
              <w:bottom w:val="nil"/>
              <w:right w:val="nil"/>
            </w:tcBorders>
            <w:shd w:val="clear" w:color="auto" w:fill="auto"/>
            <w:noWrap/>
            <w:vAlign w:val="bottom"/>
            <w:hideMark/>
          </w:tcPr>
          <w:p w14:paraId="05A6437F" w14:textId="77777777" w:rsidR="00B9311E" w:rsidRPr="00BD77D8" w:rsidRDefault="00B9311E" w:rsidP="00B9311E">
            <w:pPr>
              <w:spacing w:after="0" w:line="240" w:lineRule="auto"/>
              <w:rPr>
                <w:b/>
                <w:bCs/>
                <w:sz w:val="18"/>
                <w:szCs w:val="18"/>
              </w:rPr>
            </w:pPr>
            <w:r w:rsidRPr="00BD77D8">
              <w:rPr>
                <w:b/>
                <w:bCs/>
                <w:sz w:val="18"/>
                <w:szCs w:val="18"/>
              </w:rPr>
              <w:t xml:space="preserve"> Cash flows from Financing Activities  </w:t>
            </w:r>
          </w:p>
        </w:tc>
        <w:tc>
          <w:tcPr>
            <w:tcW w:w="1050" w:type="dxa"/>
            <w:tcBorders>
              <w:top w:val="nil"/>
              <w:left w:val="nil"/>
              <w:bottom w:val="nil"/>
              <w:right w:val="nil"/>
            </w:tcBorders>
            <w:shd w:val="clear" w:color="auto" w:fill="auto"/>
            <w:noWrap/>
            <w:vAlign w:val="bottom"/>
            <w:hideMark/>
          </w:tcPr>
          <w:p w14:paraId="56780B91" w14:textId="77777777" w:rsidR="00B9311E" w:rsidRPr="00BD77D8" w:rsidRDefault="00B9311E" w:rsidP="00B9311E">
            <w:pPr>
              <w:spacing w:after="0" w:line="240" w:lineRule="auto"/>
              <w:rPr>
                <w:b/>
                <w:bCs/>
                <w:sz w:val="18"/>
                <w:szCs w:val="18"/>
              </w:rPr>
            </w:pPr>
          </w:p>
        </w:tc>
        <w:tc>
          <w:tcPr>
            <w:tcW w:w="1090" w:type="dxa"/>
            <w:tcBorders>
              <w:top w:val="nil"/>
              <w:left w:val="nil"/>
              <w:bottom w:val="nil"/>
              <w:right w:val="nil"/>
            </w:tcBorders>
            <w:shd w:val="clear" w:color="auto" w:fill="auto"/>
            <w:vAlign w:val="bottom"/>
            <w:hideMark/>
          </w:tcPr>
          <w:p w14:paraId="5660AEDD"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6" w:type="dxa"/>
            <w:tcBorders>
              <w:top w:val="nil"/>
              <w:left w:val="nil"/>
              <w:bottom w:val="nil"/>
              <w:right w:val="nil"/>
            </w:tcBorders>
            <w:shd w:val="clear" w:color="auto" w:fill="auto"/>
            <w:vAlign w:val="bottom"/>
            <w:hideMark/>
          </w:tcPr>
          <w:p w14:paraId="5621316C"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344" w:type="dxa"/>
            <w:tcBorders>
              <w:top w:val="nil"/>
              <w:left w:val="nil"/>
              <w:bottom w:val="nil"/>
              <w:right w:val="nil"/>
            </w:tcBorders>
            <w:shd w:val="clear" w:color="auto" w:fill="auto"/>
            <w:vAlign w:val="bottom"/>
            <w:hideMark/>
          </w:tcPr>
          <w:p w14:paraId="5271CD9B"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0" w:type="auto"/>
            <w:tcBorders>
              <w:top w:val="nil"/>
              <w:left w:val="nil"/>
              <w:bottom w:val="nil"/>
              <w:right w:val="nil"/>
            </w:tcBorders>
            <w:shd w:val="clear" w:color="auto" w:fill="auto"/>
            <w:vAlign w:val="bottom"/>
            <w:hideMark/>
          </w:tcPr>
          <w:p w14:paraId="72E9972F"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2EDAE23C" w14:textId="77777777" w:rsidTr="003057FB">
        <w:trPr>
          <w:trHeight w:val="262"/>
        </w:trPr>
        <w:tc>
          <w:tcPr>
            <w:tcW w:w="0" w:type="auto"/>
            <w:tcBorders>
              <w:top w:val="nil"/>
              <w:left w:val="nil"/>
              <w:bottom w:val="nil"/>
              <w:right w:val="nil"/>
            </w:tcBorders>
            <w:shd w:val="clear" w:color="auto" w:fill="auto"/>
            <w:noWrap/>
            <w:vAlign w:val="bottom"/>
            <w:hideMark/>
          </w:tcPr>
          <w:p w14:paraId="429EDB0F" w14:textId="77777777" w:rsidR="00B9311E" w:rsidRPr="00BD77D8" w:rsidRDefault="00B9311E" w:rsidP="00B9311E">
            <w:pPr>
              <w:spacing w:after="0" w:line="240" w:lineRule="auto"/>
              <w:ind w:firstLineChars="100" w:firstLine="181"/>
              <w:rPr>
                <w:b/>
                <w:bCs/>
                <w:i/>
                <w:iCs/>
                <w:sz w:val="18"/>
                <w:szCs w:val="18"/>
              </w:rPr>
            </w:pPr>
            <w:r w:rsidRPr="00BD77D8">
              <w:rPr>
                <w:b/>
                <w:bCs/>
                <w:i/>
                <w:iCs/>
                <w:sz w:val="18"/>
                <w:szCs w:val="18"/>
              </w:rPr>
              <w:t xml:space="preserve"> Inflows: </w:t>
            </w:r>
          </w:p>
        </w:tc>
        <w:tc>
          <w:tcPr>
            <w:tcW w:w="1050" w:type="dxa"/>
            <w:tcBorders>
              <w:top w:val="nil"/>
              <w:left w:val="nil"/>
              <w:bottom w:val="nil"/>
              <w:right w:val="nil"/>
            </w:tcBorders>
            <w:shd w:val="clear" w:color="auto" w:fill="auto"/>
            <w:noWrap/>
            <w:vAlign w:val="bottom"/>
            <w:hideMark/>
          </w:tcPr>
          <w:p w14:paraId="6346A883" w14:textId="77777777" w:rsidR="00B9311E" w:rsidRPr="00BD77D8" w:rsidRDefault="00B9311E" w:rsidP="00B9311E">
            <w:pPr>
              <w:spacing w:after="0" w:line="240" w:lineRule="auto"/>
              <w:ind w:firstLineChars="100" w:firstLine="181"/>
              <w:rPr>
                <w:b/>
                <w:bCs/>
                <w:i/>
                <w:iCs/>
                <w:sz w:val="18"/>
                <w:szCs w:val="18"/>
              </w:rPr>
            </w:pPr>
          </w:p>
        </w:tc>
        <w:tc>
          <w:tcPr>
            <w:tcW w:w="1090" w:type="dxa"/>
            <w:tcBorders>
              <w:top w:val="nil"/>
              <w:left w:val="nil"/>
              <w:bottom w:val="nil"/>
              <w:right w:val="nil"/>
            </w:tcBorders>
            <w:shd w:val="clear" w:color="auto" w:fill="auto"/>
            <w:vAlign w:val="bottom"/>
            <w:hideMark/>
          </w:tcPr>
          <w:p w14:paraId="28BB902B"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6" w:type="dxa"/>
            <w:tcBorders>
              <w:top w:val="nil"/>
              <w:left w:val="nil"/>
              <w:bottom w:val="nil"/>
              <w:right w:val="nil"/>
            </w:tcBorders>
            <w:shd w:val="clear" w:color="auto" w:fill="auto"/>
            <w:vAlign w:val="bottom"/>
            <w:hideMark/>
          </w:tcPr>
          <w:p w14:paraId="3E968EA6"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344" w:type="dxa"/>
            <w:tcBorders>
              <w:top w:val="nil"/>
              <w:left w:val="nil"/>
              <w:bottom w:val="nil"/>
              <w:right w:val="nil"/>
            </w:tcBorders>
            <w:shd w:val="clear" w:color="auto" w:fill="auto"/>
            <w:vAlign w:val="bottom"/>
            <w:hideMark/>
          </w:tcPr>
          <w:p w14:paraId="30EB45A8"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0" w:type="auto"/>
            <w:tcBorders>
              <w:top w:val="nil"/>
              <w:left w:val="nil"/>
              <w:bottom w:val="nil"/>
              <w:right w:val="nil"/>
            </w:tcBorders>
            <w:shd w:val="clear" w:color="auto" w:fill="auto"/>
            <w:vAlign w:val="bottom"/>
            <w:hideMark/>
          </w:tcPr>
          <w:p w14:paraId="4CDBFF38"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76BD9C42" w14:textId="77777777" w:rsidTr="003057FB">
        <w:trPr>
          <w:trHeight w:val="262"/>
        </w:trPr>
        <w:tc>
          <w:tcPr>
            <w:tcW w:w="0" w:type="auto"/>
            <w:tcBorders>
              <w:top w:val="nil"/>
              <w:left w:val="nil"/>
              <w:bottom w:val="nil"/>
              <w:right w:val="nil"/>
            </w:tcBorders>
            <w:shd w:val="clear" w:color="auto" w:fill="auto"/>
            <w:noWrap/>
            <w:vAlign w:val="bottom"/>
            <w:hideMark/>
          </w:tcPr>
          <w:p w14:paraId="1E25D7F0"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Equity withdrawals </w:t>
            </w:r>
          </w:p>
        </w:tc>
        <w:tc>
          <w:tcPr>
            <w:tcW w:w="1050" w:type="dxa"/>
            <w:tcBorders>
              <w:top w:val="nil"/>
              <w:left w:val="nil"/>
              <w:bottom w:val="nil"/>
              <w:right w:val="nil"/>
            </w:tcBorders>
            <w:shd w:val="clear" w:color="auto" w:fill="auto"/>
            <w:noWrap/>
            <w:vAlign w:val="bottom"/>
            <w:hideMark/>
          </w:tcPr>
          <w:p w14:paraId="2CD9D83F"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3C49BC5B" w14:textId="77777777" w:rsidR="00B9311E" w:rsidRPr="00BD77D8" w:rsidRDefault="00B9311E" w:rsidP="00B9311E">
            <w:pPr>
              <w:spacing w:after="0" w:line="240" w:lineRule="auto"/>
              <w:jc w:val="right"/>
              <w:rPr>
                <w:b/>
                <w:bCs/>
                <w:sz w:val="18"/>
                <w:szCs w:val="18"/>
              </w:rPr>
            </w:pPr>
            <w:r w:rsidRPr="00BD77D8">
              <w:rPr>
                <w:b/>
                <w:bCs/>
                <w:sz w:val="18"/>
                <w:szCs w:val="18"/>
              </w:rPr>
              <w:t xml:space="preserve">            (183)</w:t>
            </w:r>
          </w:p>
        </w:tc>
        <w:tc>
          <w:tcPr>
            <w:tcW w:w="1296" w:type="dxa"/>
            <w:tcBorders>
              <w:top w:val="nil"/>
              <w:left w:val="nil"/>
              <w:bottom w:val="nil"/>
              <w:right w:val="nil"/>
            </w:tcBorders>
            <w:shd w:val="clear" w:color="auto" w:fill="auto"/>
            <w:vAlign w:val="bottom"/>
            <w:hideMark/>
          </w:tcPr>
          <w:p w14:paraId="73CBD63B"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344" w:type="dxa"/>
            <w:tcBorders>
              <w:top w:val="nil"/>
              <w:left w:val="nil"/>
              <w:bottom w:val="nil"/>
              <w:right w:val="nil"/>
            </w:tcBorders>
            <w:shd w:val="clear" w:color="auto" w:fill="auto"/>
            <w:vAlign w:val="bottom"/>
            <w:hideMark/>
          </w:tcPr>
          <w:p w14:paraId="6DE69A34" w14:textId="77777777" w:rsidR="00B9311E" w:rsidRPr="00BD77D8" w:rsidRDefault="00B9311E" w:rsidP="00B9311E">
            <w:pPr>
              <w:spacing w:after="0" w:line="240" w:lineRule="auto"/>
              <w:jc w:val="right"/>
              <w:rPr>
                <w:sz w:val="18"/>
                <w:szCs w:val="18"/>
              </w:rPr>
            </w:pPr>
            <w:r w:rsidRPr="00BD77D8">
              <w:rPr>
                <w:sz w:val="18"/>
                <w:szCs w:val="18"/>
              </w:rPr>
              <w:t xml:space="preserve">            (183)</w:t>
            </w:r>
          </w:p>
        </w:tc>
        <w:tc>
          <w:tcPr>
            <w:tcW w:w="0" w:type="auto"/>
            <w:tcBorders>
              <w:top w:val="nil"/>
              <w:left w:val="nil"/>
              <w:bottom w:val="nil"/>
              <w:right w:val="nil"/>
            </w:tcBorders>
            <w:shd w:val="clear" w:color="auto" w:fill="auto"/>
            <w:vAlign w:val="bottom"/>
            <w:hideMark/>
          </w:tcPr>
          <w:p w14:paraId="42B6B7FF" w14:textId="77777777" w:rsidR="00B9311E" w:rsidRPr="00BD77D8" w:rsidRDefault="00B9311E" w:rsidP="00B9311E">
            <w:pPr>
              <w:spacing w:after="0" w:line="240" w:lineRule="auto"/>
              <w:jc w:val="right"/>
              <w:rPr>
                <w:sz w:val="18"/>
                <w:szCs w:val="18"/>
              </w:rPr>
            </w:pPr>
            <w:r w:rsidRPr="00BD77D8">
              <w:rPr>
                <w:sz w:val="18"/>
                <w:szCs w:val="18"/>
              </w:rPr>
              <w:t xml:space="preserve">            (183)</w:t>
            </w:r>
          </w:p>
        </w:tc>
      </w:tr>
      <w:tr w:rsidR="00BD77D8" w:rsidRPr="00BD77D8" w14:paraId="21A3B969" w14:textId="77777777" w:rsidTr="003057FB">
        <w:trPr>
          <w:trHeight w:val="262"/>
        </w:trPr>
        <w:tc>
          <w:tcPr>
            <w:tcW w:w="0" w:type="auto"/>
            <w:tcBorders>
              <w:top w:val="nil"/>
              <w:left w:val="nil"/>
              <w:bottom w:val="nil"/>
              <w:right w:val="nil"/>
            </w:tcBorders>
            <w:shd w:val="clear" w:color="auto" w:fill="auto"/>
            <w:noWrap/>
            <w:vAlign w:val="bottom"/>
            <w:hideMark/>
          </w:tcPr>
          <w:p w14:paraId="63207C05" w14:textId="77777777" w:rsidR="00B9311E" w:rsidRPr="00BD77D8" w:rsidRDefault="00B9311E" w:rsidP="00B9311E">
            <w:pPr>
              <w:spacing w:after="0" w:line="240" w:lineRule="auto"/>
              <w:ind w:firstLineChars="200" w:firstLine="360"/>
              <w:rPr>
                <w:sz w:val="18"/>
                <w:szCs w:val="18"/>
              </w:rPr>
            </w:pPr>
            <w:r w:rsidRPr="00BD77D8">
              <w:rPr>
                <w:sz w:val="18"/>
                <w:szCs w:val="18"/>
              </w:rPr>
              <w:t xml:space="preserve"> Equity injection </w:t>
            </w:r>
          </w:p>
        </w:tc>
        <w:tc>
          <w:tcPr>
            <w:tcW w:w="1050" w:type="dxa"/>
            <w:tcBorders>
              <w:top w:val="nil"/>
              <w:left w:val="nil"/>
              <w:bottom w:val="nil"/>
              <w:right w:val="nil"/>
            </w:tcBorders>
            <w:shd w:val="clear" w:color="auto" w:fill="auto"/>
            <w:noWrap/>
            <w:vAlign w:val="bottom"/>
            <w:hideMark/>
          </w:tcPr>
          <w:p w14:paraId="7042C952" w14:textId="77777777" w:rsidR="00B9311E" w:rsidRPr="00BD77D8" w:rsidRDefault="00B9311E" w:rsidP="00B9311E">
            <w:pPr>
              <w:spacing w:after="0" w:line="240" w:lineRule="auto"/>
              <w:ind w:firstLineChars="200" w:firstLine="360"/>
              <w:rPr>
                <w:sz w:val="18"/>
                <w:szCs w:val="18"/>
              </w:rPr>
            </w:pPr>
          </w:p>
        </w:tc>
        <w:tc>
          <w:tcPr>
            <w:tcW w:w="1090" w:type="dxa"/>
            <w:tcBorders>
              <w:top w:val="nil"/>
              <w:left w:val="nil"/>
              <w:bottom w:val="nil"/>
              <w:right w:val="nil"/>
            </w:tcBorders>
            <w:shd w:val="clear" w:color="auto" w:fill="auto"/>
            <w:vAlign w:val="bottom"/>
            <w:hideMark/>
          </w:tcPr>
          <w:p w14:paraId="4D323225" w14:textId="77777777" w:rsidR="00B9311E" w:rsidRPr="00BD77D8" w:rsidRDefault="00B9311E" w:rsidP="00B9311E">
            <w:pPr>
              <w:spacing w:after="0" w:line="240" w:lineRule="auto"/>
              <w:jc w:val="right"/>
              <w:rPr>
                <w:b/>
                <w:bCs/>
                <w:sz w:val="18"/>
                <w:szCs w:val="18"/>
              </w:rPr>
            </w:pPr>
            <w:r w:rsidRPr="00BD77D8">
              <w:rPr>
                <w:b/>
                <w:bCs/>
                <w:sz w:val="18"/>
                <w:szCs w:val="18"/>
              </w:rPr>
              <w:t xml:space="preserve">          2,244 </w:t>
            </w:r>
          </w:p>
        </w:tc>
        <w:tc>
          <w:tcPr>
            <w:tcW w:w="1296" w:type="dxa"/>
            <w:tcBorders>
              <w:top w:val="nil"/>
              <w:left w:val="nil"/>
              <w:bottom w:val="nil"/>
              <w:right w:val="nil"/>
            </w:tcBorders>
            <w:shd w:val="clear" w:color="auto" w:fill="auto"/>
            <w:vAlign w:val="bottom"/>
            <w:hideMark/>
          </w:tcPr>
          <w:p w14:paraId="19BA89E3" w14:textId="77777777" w:rsidR="00B9311E" w:rsidRPr="00BD77D8" w:rsidRDefault="00B9311E" w:rsidP="00B9311E">
            <w:pPr>
              <w:spacing w:after="0" w:line="240" w:lineRule="auto"/>
              <w:jc w:val="right"/>
              <w:rPr>
                <w:sz w:val="18"/>
                <w:szCs w:val="18"/>
              </w:rPr>
            </w:pPr>
            <w:r w:rsidRPr="00BD77D8">
              <w:rPr>
                <w:sz w:val="18"/>
                <w:szCs w:val="18"/>
              </w:rPr>
              <w:t xml:space="preserve">          6,670 </w:t>
            </w:r>
          </w:p>
        </w:tc>
        <w:tc>
          <w:tcPr>
            <w:tcW w:w="1344" w:type="dxa"/>
            <w:tcBorders>
              <w:top w:val="nil"/>
              <w:left w:val="nil"/>
              <w:bottom w:val="nil"/>
              <w:right w:val="nil"/>
            </w:tcBorders>
            <w:shd w:val="clear" w:color="auto" w:fill="auto"/>
            <w:vAlign w:val="bottom"/>
            <w:hideMark/>
          </w:tcPr>
          <w:p w14:paraId="24489824" w14:textId="77777777" w:rsidR="00B9311E" w:rsidRPr="00BD77D8" w:rsidRDefault="00B9311E" w:rsidP="00B9311E">
            <w:pPr>
              <w:spacing w:after="0" w:line="240" w:lineRule="auto"/>
              <w:jc w:val="right"/>
              <w:rPr>
                <w:sz w:val="18"/>
                <w:szCs w:val="18"/>
              </w:rPr>
            </w:pPr>
            <w:r w:rsidRPr="00BD77D8">
              <w:rPr>
                <w:sz w:val="18"/>
                <w:szCs w:val="18"/>
              </w:rPr>
              <w:t xml:space="preserve">        (4,426)</w:t>
            </w:r>
          </w:p>
        </w:tc>
        <w:tc>
          <w:tcPr>
            <w:tcW w:w="0" w:type="auto"/>
            <w:tcBorders>
              <w:top w:val="nil"/>
              <w:left w:val="nil"/>
              <w:bottom w:val="nil"/>
              <w:right w:val="nil"/>
            </w:tcBorders>
            <w:shd w:val="clear" w:color="auto" w:fill="auto"/>
            <w:vAlign w:val="bottom"/>
            <w:hideMark/>
          </w:tcPr>
          <w:p w14:paraId="10016C48" w14:textId="77777777" w:rsidR="00B9311E" w:rsidRPr="00BD77D8" w:rsidRDefault="00B9311E" w:rsidP="00B9311E">
            <w:pPr>
              <w:spacing w:after="0" w:line="240" w:lineRule="auto"/>
              <w:jc w:val="right"/>
              <w:rPr>
                <w:sz w:val="18"/>
                <w:szCs w:val="18"/>
              </w:rPr>
            </w:pPr>
            <w:r w:rsidRPr="00BD77D8">
              <w:rPr>
                <w:sz w:val="18"/>
                <w:szCs w:val="18"/>
              </w:rPr>
              <w:t xml:space="preserve">          4,501 </w:t>
            </w:r>
          </w:p>
        </w:tc>
      </w:tr>
      <w:tr w:rsidR="00BD77D8" w:rsidRPr="00BD77D8" w14:paraId="760B1904" w14:textId="77777777" w:rsidTr="003057FB">
        <w:trPr>
          <w:trHeight w:val="262"/>
        </w:trPr>
        <w:tc>
          <w:tcPr>
            <w:tcW w:w="0" w:type="auto"/>
            <w:tcBorders>
              <w:top w:val="nil"/>
              <w:left w:val="nil"/>
              <w:bottom w:val="nil"/>
              <w:right w:val="nil"/>
            </w:tcBorders>
            <w:shd w:val="clear" w:color="auto" w:fill="auto"/>
            <w:noWrap/>
            <w:vAlign w:val="bottom"/>
            <w:hideMark/>
          </w:tcPr>
          <w:p w14:paraId="210CADEA" w14:textId="77777777" w:rsidR="00B9311E" w:rsidRPr="00BD77D8" w:rsidRDefault="00B9311E" w:rsidP="00B9311E">
            <w:pPr>
              <w:spacing w:after="0" w:line="240" w:lineRule="auto"/>
              <w:rPr>
                <w:b/>
                <w:bCs/>
                <w:sz w:val="18"/>
                <w:szCs w:val="18"/>
              </w:rPr>
            </w:pPr>
            <w:r w:rsidRPr="00BD77D8">
              <w:rPr>
                <w:b/>
                <w:bCs/>
                <w:sz w:val="18"/>
                <w:szCs w:val="18"/>
              </w:rPr>
              <w:t xml:space="preserve"> Net cash provided by (used in) financing activities </w:t>
            </w:r>
          </w:p>
        </w:tc>
        <w:tc>
          <w:tcPr>
            <w:tcW w:w="1050" w:type="dxa"/>
            <w:tcBorders>
              <w:top w:val="nil"/>
              <w:left w:val="nil"/>
              <w:bottom w:val="nil"/>
              <w:right w:val="nil"/>
            </w:tcBorders>
            <w:shd w:val="clear" w:color="auto" w:fill="auto"/>
            <w:noWrap/>
            <w:vAlign w:val="bottom"/>
            <w:hideMark/>
          </w:tcPr>
          <w:p w14:paraId="7E78A965" w14:textId="77777777" w:rsidR="00B9311E" w:rsidRPr="00BD77D8" w:rsidRDefault="00B9311E" w:rsidP="00B9311E">
            <w:pPr>
              <w:spacing w:after="0" w:line="240" w:lineRule="auto"/>
              <w:rPr>
                <w:b/>
                <w:bCs/>
                <w:sz w:val="18"/>
                <w:szCs w:val="18"/>
              </w:rPr>
            </w:pPr>
          </w:p>
        </w:tc>
        <w:tc>
          <w:tcPr>
            <w:tcW w:w="1090" w:type="dxa"/>
            <w:tcBorders>
              <w:top w:val="single" w:sz="4" w:space="0" w:color="auto"/>
              <w:left w:val="nil"/>
              <w:bottom w:val="single" w:sz="4" w:space="0" w:color="auto"/>
              <w:right w:val="nil"/>
            </w:tcBorders>
            <w:shd w:val="clear" w:color="auto" w:fill="auto"/>
            <w:vAlign w:val="bottom"/>
            <w:hideMark/>
          </w:tcPr>
          <w:p w14:paraId="76077B27" w14:textId="77777777" w:rsidR="00B9311E" w:rsidRPr="00BD77D8" w:rsidRDefault="00B9311E" w:rsidP="00B9311E">
            <w:pPr>
              <w:spacing w:after="0" w:line="240" w:lineRule="auto"/>
              <w:jc w:val="right"/>
              <w:rPr>
                <w:b/>
                <w:bCs/>
                <w:sz w:val="18"/>
                <w:szCs w:val="18"/>
              </w:rPr>
            </w:pPr>
            <w:r w:rsidRPr="00BD77D8">
              <w:rPr>
                <w:b/>
                <w:bCs/>
                <w:sz w:val="18"/>
                <w:szCs w:val="18"/>
              </w:rPr>
              <w:t xml:space="preserve">          2,061 </w:t>
            </w:r>
          </w:p>
        </w:tc>
        <w:tc>
          <w:tcPr>
            <w:tcW w:w="1296" w:type="dxa"/>
            <w:tcBorders>
              <w:top w:val="single" w:sz="4" w:space="0" w:color="auto"/>
              <w:left w:val="nil"/>
              <w:bottom w:val="single" w:sz="4" w:space="0" w:color="auto"/>
              <w:right w:val="nil"/>
            </w:tcBorders>
            <w:shd w:val="clear" w:color="auto" w:fill="auto"/>
            <w:vAlign w:val="bottom"/>
            <w:hideMark/>
          </w:tcPr>
          <w:p w14:paraId="180C83ED" w14:textId="77777777" w:rsidR="00B9311E" w:rsidRPr="00BD77D8" w:rsidRDefault="00B9311E" w:rsidP="00B9311E">
            <w:pPr>
              <w:spacing w:after="0" w:line="240" w:lineRule="auto"/>
              <w:jc w:val="right"/>
              <w:rPr>
                <w:b/>
                <w:bCs/>
                <w:sz w:val="18"/>
                <w:szCs w:val="18"/>
              </w:rPr>
            </w:pPr>
            <w:r w:rsidRPr="00BD77D8">
              <w:rPr>
                <w:b/>
                <w:bCs/>
                <w:sz w:val="18"/>
                <w:szCs w:val="18"/>
              </w:rPr>
              <w:t xml:space="preserve">          6,670 </w:t>
            </w:r>
          </w:p>
        </w:tc>
        <w:tc>
          <w:tcPr>
            <w:tcW w:w="1344" w:type="dxa"/>
            <w:tcBorders>
              <w:top w:val="single" w:sz="4" w:space="0" w:color="auto"/>
              <w:left w:val="nil"/>
              <w:bottom w:val="single" w:sz="4" w:space="0" w:color="auto"/>
              <w:right w:val="nil"/>
            </w:tcBorders>
            <w:shd w:val="clear" w:color="auto" w:fill="auto"/>
            <w:vAlign w:val="bottom"/>
            <w:hideMark/>
          </w:tcPr>
          <w:p w14:paraId="332DDF35" w14:textId="77777777" w:rsidR="00B9311E" w:rsidRPr="00BD77D8" w:rsidRDefault="00B9311E" w:rsidP="00B9311E">
            <w:pPr>
              <w:spacing w:after="0" w:line="240" w:lineRule="auto"/>
              <w:jc w:val="right"/>
              <w:rPr>
                <w:b/>
                <w:bCs/>
                <w:sz w:val="18"/>
                <w:szCs w:val="18"/>
              </w:rPr>
            </w:pPr>
            <w:r w:rsidRPr="00BD77D8">
              <w:rPr>
                <w:b/>
                <w:bCs/>
                <w:sz w:val="18"/>
                <w:szCs w:val="18"/>
              </w:rPr>
              <w:t xml:space="preserve">        (4,609)</w:t>
            </w:r>
          </w:p>
        </w:tc>
        <w:tc>
          <w:tcPr>
            <w:tcW w:w="0" w:type="auto"/>
            <w:tcBorders>
              <w:top w:val="single" w:sz="4" w:space="0" w:color="auto"/>
              <w:left w:val="nil"/>
              <w:bottom w:val="single" w:sz="4" w:space="0" w:color="auto"/>
              <w:right w:val="nil"/>
            </w:tcBorders>
            <w:shd w:val="clear" w:color="auto" w:fill="auto"/>
            <w:vAlign w:val="bottom"/>
            <w:hideMark/>
          </w:tcPr>
          <w:p w14:paraId="01D8D25E" w14:textId="77777777" w:rsidR="00B9311E" w:rsidRPr="00BD77D8" w:rsidRDefault="00B9311E" w:rsidP="00B9311E">
            <w:pPr>
              <w:spacing w:after="0" w:line="240" w:lineRule="auto"/>
              <w:jc w:val="right"/>
              <w:rPr>
                <w:b/>
                <w:bCs/>
                <w:sz w:val="18"/>
                <w:szCs w:val="18"/>
              </w:rPr>
            </w:pPr>
            <w:r w:rsidRPr="00BD77D8">
              <w:rPr>
                <w:b/>
                <w:bCs/>
                <w:sz w:val="18"/>
                <w:szCs w:val="18"/>
              </w:rPr>
              <w:t xml:space="preserve">          4,318 </w:t>
            </w:r>
          </w:p>
        </w:tc>
      </w:tr>
      <w:tr w:rsidR="00BD77D8" w:rsidRPr="00BD77D8" w14:paraId="1B584B2E" w14:textId="77777777" w:rsidTr="003057FB">
        <w:trPr>
          <w:trHeight w:val="262"/>
        </w:trPr>
        <w:tc>
          <w:tcPr>
            <w:tcW w:w="0" w:type="auto"/>
            <w:tcBorders>
              <w:top w:val="nil"/>
              <w:left w:val="nil"/>
              <w:bottom w:val="nil"/>
              <w:right w:val="nil"/>
            </w:tcBorders>
            <w:shd w:val="clear" w:color="auto" w:fill="auto"/>
            <w:noWrap/>
            <w:vAlign w:val="bottom"/>
            <w:hideMark/>
          </w:tcPr>
          <w:p w14:paraId="22CBA97D" w14:textId="77777777" w:rsidR="00B9311E" w:rsidRPr="00BD77D8" w:rsidRDefault="00B9311E" w:rsidP="00B9311E">
            <w:pPr>
              <w:spacing w:after="0" w:line="240" w:lineRule="auto"/>
              <w:jc w:val="right"/>
              <w:rPr>
                <w:b/>
                <w:bCs/>
                <w:sz w:val="18"/>
                <w:szCs w:val="18"/>
              </w:rPr>
            </w:pPr>
          </w:p>
        </w:tc>
        <w:tc>
          <w:tcPr>
            <w:tcW w:w="1050" w:type="dxa"/>
            <w:tcBorders>
              <w:top w:val="nil"/>
              <w:left w:val="nil"/>
              <w:bottom w:val="nil"/>
              <w:right w:val="nil"/>
            </w:tcBorders>
            <w:shd w:val="clear" w:color="auto" w:fill="auto"/>
            <w:noWrap/>
            <w:vAlign w:val="bottom"/>
            <w:hideMark/>
          </w:tcPr>
          <w:p w14:paraId="7A31F4B4" w14:textId="77777777" w:rsidR="00B9311E" w:rsidRPr="00BD77D8" w:rsidRDefault="00B9311E" w:rsidP="00B9311E">
            <w:pPr>
              <w:spacing w:after="0" w:line="240" w:lineRule="auto"/>
              <w:rPr>
                <w:rFonts w:ascii="Times New Roman" w:hAnsi="Times New Roman" w:cs="Times New Roman"/>
                <w:b/>
                <w:bCs/>
                <w:sz w:val="20"/>
                <w:szCs w:val="20"/>
              </w:rPr>
            </w:pPr>
          </w:p>
        </w:tc>
        <w:tc>
          <w:tcPr>
            <w:tcW w:w="1090" w:type="dxa"/>
            <w:tcBorders>
              <w:top w:val="nil"/>
              <w:left w:val="nil"/>
              <w:bottom w:val="nil"/>
              <w:right w:val="nil"/>
            </w:tcBorders>
            <w:shd w:val="clear" w:color="auto" w:fill="auto"/>
            <w:vAlign w:val="bottom"/>
            <w:hideMark/>
          </w:tcPr>
          <w:p w14:paraId="6985847D"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96" w:type="dxa"/>
            <w:tcBorders>
              <w:top w:val="nil"/>
              <w:left w:val="nil"/>
              <w:bottom w:val="nil"/>
              <w:right w:val="nil"/>
            </w:tcBorders>
            <w:shd w:val="clear" w:color="auto" w:fill="auto"/>
            <w:vAlign w:val="bottom"/>
            <w:hideMark/>
          </w:tcPr>
          <w:p w14:paraId="4238AD37"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344" w:type="dxa"/>
            <w:tcBorders>
              <w:top w:val="nil"/>
              <w:left w:val="nil"/>
              <w:bottom w:val="nil"/>
              <w:right w:val="nil"/>
            </w:tcBorders>
            <w:shd w:val="clear" w:color="auto" w:fill="auto"/>
            <w:vAlign w:val="bottom"/>
            <w:hideMark/>
          </w:tcPr>
          <w:p w14:paraId="1359EFD9"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0" w:type="auto"/>
            <w:tcBorders>
              <w:top w:val="nil"/>
              <w:left w:val="nil"/>
              <w:bottom w:val="nil"/>
              <w:right w:val="nil"/>
            </w:tcBorders>
            <w:shd w:val="clear" w:color="auto" w:fill="auto"/>
            <w:vAlign w:val="bottom"/>
            <w:hideMark/>
          </w:tcPr>
          <w:p w14:paraId="7C531BA4"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71AE894F" w14:textId="77777777" w:rsidTr="003057FB">
        <w:trPr>
          <w:trHeight w:val="262"/>
        </w:trPr>
        <w:tc>
          <w:tcPr>
            <w:tcW w:w="0" w:type="auto"/>
            <w:tcBorders>
              <w:top w:val="nil"/>
              <w:left w:val="nil"/>
              <w:bottom w:val="nil"/>
              <w:right w:val="nil"/>
            </w:tcBorders>
            <w:shd w:val="clear" w:color="auto" w:fill="auto"/>
            <w:noWrap/>
            <w:vAlign w:val="bottom"/>
            <w:hideMark/>
          </w:tcPr>
          <w:p w14:paraId="2548ED11" w14:textId="77777777" w:rsidR="00B9311E" w:rsidRPr="00BD77D8" w:rsidRDefault="00B9311E" w:rsidP="00B9311E">
            <w:pPr>
              <w:spacing w:after="0" w:line="240" w:lineRule="auto"/>
              <w:rPr>
                <w:sz w:val="18"/>
                <w:szCs w:val="18"/>
              </w:rPr>
            </w:pPr>
            <w:r w:rsidRPr="00BD77D8">
              <w:rPr>
                <w:sz w:val="18"/>
                <w:szCs w:val="18"/>
              </w:rPr>
              <w:t xml:space="preserve"> Net (decrease) increase in cash and cash equivalents </w:t>
            </w:r>
          </w:p>
        </w:tc>
        <w:tc>
          <w:tcPr>
            <w:tcW w:w="1050" w:type="dxa"/>
            <w:tcBorders>
              <w:top w:val="nil"/>
              <w:left w:val="nil"/>
              <w:bottom w:val="nil"/>
              <w:right w:val="nil"/>
            </w:tcBorders>
            <w:shd w:val="clear" w:color="auto" w:fill="auto"/>
            <w:noWrap/>
            <w:vAlign w:val="bottom"/>
            <w:hideMark/>
          </w:tcPr>
          <w:p w14:paraId="79BB7858" w14:textId="77777777" w:rsidR="00B9311E" w:rsidRPr="00BD77D8" w:rsidRDefault="00B9311E" w:rsidP="00B9311E">
            <w:pPr>
              <w:spacing w:after="0" w:line="240" w:lineRule="auto"/>
              <w:rPr>
                <w:sz w:val="18"/>
                <w:szCs w:val="18"/>
              </w:rPr>
            </w:pPr>
          </w:p>
        </w:tc>
        <w:tc>
          <w:tcPr>
            <w:tcW w:w="1090" w:type="dxa"/>
            <w:tcBorders>
              <w:top w:val="nil"/>
              <w:left w:val="nil"/>
              <w:bottom w:val="nil"/>
              <w:right w:val="nil"/>
            </w:tcBorders>
            <w:shd w:val="clear" w:color="auto" w:fill="auto"/>
            <w:vAlign w:val="bottom"/>
            <w:hideMark/>
          </w:tcPr>
          <w:p w14:paraId="2804B9A3" w14:textId="77777777" w:rsidR="00B9311E" w:rsidRPr="00BD77D8" w:rsidRDefault="00B9311E" w:rsidP="00B9311E">
            <w:pPr>
              <w:spacing w:after="0" w:line="240" w:lineRule="auto"/>
              <w:jc w:val="right"/>
              <w:rPr>
                <w:b/>
                <w:bCs/>
                <w:sz w:val="18"/>
                <w:szCs w:val="18"/>
              </w:rPr>
            </w:pPr>
            <w:r w:rsidRPr="00BD77D8">
              <w:rPr>
                <w:b/>
                <w:bCs/>
                <w:sz w:val="18"/>
                <w:szCs w:val="18"/>
              </w:rPr>
              <w:t xml:space="preserve">        (3,835)</w:t>
            </w:r>
          </w:p>
        </w:tc>
        <w:tc>
          <w:tcPr>
            <w:tcW w:w="1296" w:type="dxa"/>
            <w:tcBorders>
              <w:top w:val="nil"/>
              <w:left w:val="nil"/>
              <w:bottom w:val="nil"/>
              <w:right w:val="nil"/>
            </w:tcBorders>
            <w:shd w:val="clear" w:color="auto" w:fill="auto"/>
            <w:vAlign w:val="bottom"/>
            <w:hideMark/>
          </w:tcPr>
          <w:p w14:paraId="58526AD2" w14:textId="77777777" w:rsidR="00B9311E" w:rsidRPr="00BD77D8" w:rsidRDefault="00B9311E" w:rsidP="00B9311E">
            <w:pPr>
              <w:spacing w:after="0" w:line="240" w:lineRule="auto"/>
              <w:jc w:val="right"/>
              <w:rPr>
                <w:sz w:val="18"/>
                <w:szCs w:val="18"/>
              </w:rPr>
            </w:pPr>
            <w:r w:rsidRPr="00BD77D8">
              <w:rPr>
                <w:sz w:val="18"/>
                <w:szCs w:val="18"/>
              </w:rPr>
              <w:t xml:space="preserve">          3,998 </w:t>
            </w:r>
          </w:p>
        </w:tc>
        <w:tc>
          <w:tcPr>
            <w:tcW w:w="1344" w:type="dxa"/>
            <w:tcBorders>
              <w:top w:val="nil"/>
              <w:left w:val="nil"/>
              <w:bottom w:val="nil"/>
              <w:right w:val="nil"/>
            </w:tcBorders>
            <w:shd w:val="clear" w:color="auto" w:fill="auto"/>
            <w:vAlign w:val="bottom"/>
            <w:hideMark/>
          </w:tcPr>
          <w:p w14:paraId="6CD8D480" w14:textId="77777777" w:rsidR="00B9311E" w:rsidRPr="00BD77D8" w:rsidRDefault="00B9311E" w:rsidP="00B9311E">
            <w:pPr>
              <w:spacing w:after="0" w:line="240" w:lineRule="auto"/>
              <w:jc w:val="right"/>
              <w:rPr>
                <w:sz w:val="18"/>
                <w:szCs w:val="18"/>
              </w:rPr>
            </w:pPr>
            <w:r w:rsidRPr="00BD77D8">
              <w:rPr>
                <w:sz w:val="18"/>
                <w:szCs w:val="18"/>
              </w:rPr>
              <w:t xml:space="preserve">        (7,833)</w:t>
            </w:r>
          </w:p>
        </w:tc>
        <w:tc>
          <w:tcPr>
            <w:tcW w:w="0" w:type="auto"/>
            <w:tcBorders>
              <w:top w:val="nil"/>
              <w:left w:val="nil"/>
              <w:bottom w:val="nil"/>
              <w:right w:val="nil"/>
            </w:tcBorders>
            <w:shd w:val="clear" w:color="auto" w:fill="auto"/>
            <w:vAlign w:val="bottom"/>
            <w:hideMark/>
          </w:tcPr>
          <w:p w14:paraId="555D2703" w14:textId="77777777" w:rsidR="00B9311E" w:rsidRPr="00BD77D8" w:rsidRDefault="00B9311E" w:rsidP="00B9311E">
            <w:pPr>
              <w:spacing w:after="0" w:line="240" w:lineRule="auto"/>
              <w:jc w:val="right"/>
              <w:rPr>
                <w:sz w:val="18"/>
                <w:szCs w:val="18"/>
              </w:rPr>
            </w:pPr>
            <w:r w:rsidRPr="00BD77D8">
              <w:rPr>
                <w:sz w:val="18"/>
                <w:szCs w:val="18"/>
              </w:rPr>
              <w:t xml:space="preserve">        (9,105)</w:t>
            </w:r>
          </w:p>
        </w:tc>
      </w:tr>
      <w:tr w:rsidR="00BD77D8" w:rsidRPr="00BD77D8" w14:paraId="36DC524F" w14:textId="77777777" w:rsidTr="003057FB">
        <w:trPr>
          <w:trHeight w:val="262"/>
        </w:trPr>
        <w:tc>
          <w:tcPr>
            <w:tcW w:w="0" w:type="auto"/>
            <w:tcBorders>
              <w:top w:val="nil"/>
              <w:left w:val="nil"/>
              <w:bottom w:val="nil"/>
              <w:right w:val="nil"/>
            </w:tcBorders>
            <w:shd w:val="clear" w:color="auto" w:fill="auto"/>
            <w:noWrap/>
            <w:vAlign w:val="bottom"/>
            <w:hideMark/>
          </w:tcPr>
          <w:p w14:paraId="4FD69921" w14:textId="77777777" w:rsidR="00B9311E" w:rsidRPr="00BD77D8" w:rsidRDefault="00B9311E" w:rsidP="00B9311E">
            <w:pPr>
              <w:spacing w:after="0" w:line="240" w:lineRule="auto"/>
              <w:rPr>
                <w:b/>
                <w:bCs/>
                <w:sz w:val="18"/>
                <w:szCs w:val="18"/>
              </w:rPr>
            </w:pPr>
            <w:r w:rsidRPr="00BD77D8">
              <w:rPr>
                <w:b/>
                <w:bCs/>
                <w:sz w:val="18"/>
                <w:szCs w:val="18"/>
              </w:rPr>
              <w:t xml:space="preserve"> Cash and Cash Equivalents - Opening balance </w:t>
            </w:r>
          </w:p>
        </w:tc>
        <w:tc>
          <w:tcPr>
            <w:tcW w:w="1050" w:type="dxa"/>
            <w:tcBorders>
              <w:top w:val="nil"/>
              <w:left w:val="nil"/>
              <w:bottom w:val="nil"/>
              <w:right w:val="nil"/>
            </w:tcBorders>
            <w:shd w:val="clear" w:color="auto" w:fill="auto"/>
            <w:noWrap/>
            <w:vAlign w:val="bottom"/>
            <w:hideMark/>
          </w:tcPr>
          <w:p w14:paraId="76BD6386" w14:textId="77777777" w:rsidR="00B9311E" w:rsidRPr="00BD77D8" w:rsidRDefault="00B9311E" w:rsidP="00B9311E">
            <w:pPr>
              <w:spacing w:after="0" w:line="240" w:lineRule="auto"/>
              <w:rPr>
                <w:b/>
                <w:bCs/>
                <w:sz w:val="18"/>
                <w:szCs w:val="18"/>
              </w:rPr>
            </w:pPr>
          </w:p>
        </w:tc>
        <w:tc>
          <w:tcPr>
            <w:tcW w:w="1090" w:type="dxa"/>
            <w:tcBorders>
              <w:top w:val="nil"/>
              <w:left w:val="nil"/>
              <w:bottom w:val="nil"/>
              <w:right w:val="nil"/>
            </w:tcBorders>
            <w:shd w:val="clear" w:color="auto" w:fill="auto"/>
            <w:vAlign w:val="bottom"/>
            <w:hideMark/>
          </w:tcPr>
          <w:p w14:paraId="5A9FF208" w14:textId="77777777" w:rsidR="00B9311E" w:rsidRPr="00BD77D8" w:rsidRDefault="00B9311E" w:rsidP="00B9311E">
            <w:pPr>
              <w:spacing w:after="0" w:line="240" w:lineRule="auto"/>
              <w:jc w:val="right"/>
              <w:rPr>
                <w:b/>
                <w:bCs/>
                <w:sz w:val="18"/>
                <w:szCs w:val="18"/>
              </w:rPr>
            </w:pPr>
            <w:r w:rsidRPr="00BD77D8">
              <w:rPr>
                <w:b/>
                <w:bCs/>
                <w:sz w:val="18"/>
                <w:szCs w:val="18"/>
              </w:rPr>
              <w:t xml:space="preserve">        54,840 </w:t>
            </w:r>
          </w:p>
        </w:tc>
        <w:tc>
          <w:tcPr>
            <w:tcW w:w="1296" w:type="dxa"/>
            <w:tcBorders>
              <w:top w:val="nil"/>
              <w:left w:val="nil"/>
              <w:bottom w:val="nil"/>
              <w:right w:val="nil"/>
            </w:tcBorders>
            <w:shd w:val="clear" w:color="auto" w:fill="auto"/>
            <w:vAlign w:val="bottom"/>
            <w:hideMark/>
          </w:tcPr>
          <w:p w14:paraId="4514FB8A" w14:textId="77777777" w:rsidR="00B9311E" w:rsidRPr="00BD77D8" w:rsidRDefault="00B9311E" w:rsidP="00B9311E">
            <w:pPr>
              <w:spacing w:after="0" w:line="240" w:lineRule="auto"/>
              <w:jc w:val="right"/>
              <w:rPr>
                <w:b/>
                <w:bCs/>
                <w:sz w:val="18"/>
                <w:szCs w:val="18"/>
              </w:rPr>
            </w:pPr>
            <w:r w:rsidRPr="00BD77D8">
              <w:rPr>
                <w:b/>
                <w:bCs/>
                <w:sz w:val="18"/>
                <w:szCs w:val="18"/>
              </w:rPr>
              <w:t xml:space="preserve">        20,253 </w:t>
            </w:r>
          </w:p>
        </w:tc>
        <w:tc>
          <w:tcPr>
            <w:tcW w:w="1344" w:type="dxa"/>
            <w:tcBorders>
              <w:top w:val="nil"/>
              <w:left w:val="nil"/>
              <w:bottom w:val="nil"/>
              <w:right w:val="nil"/>
            </w:tcBorders>
            <w:shd w:val="clear" w:color="auto" w:fill="auto"/>
            <w:vAlign w:val="bottom"/>
            <w:hideMark/>
          </w:tcPr>
          <w:p w14:paraId="5102C6C8" w14:textId="77777777" w:rsidR="00B9311E" w:rsidRPr="00BD77D8" w:rsidRDefault="00B9311E" w:rsidP="00B9311E">
            <w:pPr>
              <w:spacing w:after="0" w:line="240" w:lineRule="auto"/>
              <w:jc w:val="right"/>
              <w:rPr>
                <w:b/>
                <w:bCs/>
                <w:sz w:val="18"/>
                <w:szCs w:val="18"/>
              </w:rPr>
            </w:pPr>
            <w:r w:rsidRPr="00BD77D8">
              <w:rPr>
                <w:b/>
                <w:bCs/>
                <w:sz w:val="18"/>
                <w:szCs w:val="18"/>
              </w:rPr>
              <w:t xml:space="preserve">        34,587 </w:t>
            </w:r>
          </w:p>
        </w:tc>
        <w:tc>
          <w:tcPr>
            <w:tcW w:w="0" w:type="auto"/>
            <w:tcBorders>
              <w:top w:val="nil"/>
              <w:left w:val="nil"/>
              <w:bottom w:val="nil"/>
              <w:right w:val="nil"/>
            </w:tcBorders>
            <w:shd w:val="clear" w:color="auto" w:fill="auto"/>
            <w:vAlign w:val="bottom"/>
            <w:hideMark/>
          </w:tcPr>
          <w:p w14:paraId="7290C4D7" w14:textId="77777777" w:rsidR="00B9311E" w:rsidRPr="00BD77D8" w:rsidRDefault="00B9311E" w:rsidP="00B9311E">
            <w:pPr>
              <w:spacing w:after="0" w:line="240" w:lineRule="auto"/>
              <w:jc w:val="right"/>
              <w:rPr>
                <w:b/>
                <w:bCs/>
                <w:sz w:val="18"/>
                <w:szCs w:val="18"/>
              </w:rPr>
            </w:pPr>
            <w:r w:rsidRPr="00BD77D8">
              <w:rPr>
                <w:b/>
                <w:bCs/>
                <w:sz w:val="18"/>
                <w:szCs w:val="18"/>
              </w:rPr>
              <w:t xml:space="preserve">        72,041 </w:t>
            </w:r>
          </w:p>
        </w:tc>
      </w:tr>
      <w:tr w:rsidR="00BD77D8" w:rsidRPr="00BD77D8" w14:paraId="6FB20C91" w14:textId="77777777" w:rsidTr="003057FB">
        <w:trPr>
          <w:trHeight w:val="262"/>
        </w:trPr>
        <w:tc>
          <w:tcPr>
            <w:tcW w:w="0" w:type="auto"/>
            <w:tcBorders>
              <w:top w:val="nil"/>
              <w:left w:val="nil"/>
              <w:bottom w:val="nil"/>
              <w:right w:val="nil"/>
            </w:tcBorders>
            <w:shd w:val="clear" w:color="auto" w:fill="auto"/>
            <w:noWrap/>
            <w:vAlign w:val="bottom"/>
            <w:hideMark/>
          </w:tcPr>
          <w:p w14:paraId="3D4E713F" w14:textId="77777777" w:rsidR="00B9311E" w:rsidRPr="00BD77D8" w:rsidRDefault="00B9311E" w:rsidP="00B9311E">
            <w:pPr>
              <w:spacing w:after="0" w:line="240" w:lineRule="auto"/>
              <w:rPr>
                <w:b/>
                <w:bCs/>
                <w:sz w:val="18"/>
                <w:szCs w:val="18"/>
              </w:rPr>
            </w:pPr>
            <w:r w:rsidRPr="00BD77D8">
              <w:rPr>
                <w:b/>
                <w:bCs/>
                <w:sz w:val="18"/>
                <w:szCs w:val="18"/>
              </w:rPr>
              <w:t xml:space="preserve"> Cash transfers from restructure </w:t>
            </w:r>
          </w:p>
        </w:tc>
        <w:tc>
          <w:tcPr>
            <w:tcW w:w="1050" w:type="dxa"/>
            <w:tcBorders>
              <w:top w:val="nil"/>
              <w:left w:val="nil"/>
              <w:bottom w:val="nil"/>
              <w:right w:val="nil"/>
            </w:tcBorders>
            <w:shd w:val="clear" w:color="auto" w:fill="auto"/>
            <w:noWrap/>
            <w:vAlign w:val="bottom"/>
            <w:hideMark/>
          </w:tcPr>
          <w:p w14:paraId="055B61D8" w14:textId="77777777" w:rsidR="00B9311E" w:rsidRPr="00BD77D8" w:rsidRDefault="00B9311E" w:rsidP="00B9311E">
            <w:pPr>
              <w:spacing w:after="0" w:line="240" w:lineRule="auto"/>
              <w:rPr>
                <w:b/>
                <w:bCs/>
                <w:sz w:val="18"/>
                <w:szCs w:val="18"/>
              </w:rPr>
            </w:pPr>
          </w:p>
        </w:tc>
        <w:tc>
          <w:tcPr>
            <w:tcW w:w="1090" w:type="dxa"/>
            <w:tcBorders>
              <w:top w:val="nil"/>
              <w:left w:val="nil"/>
              <w:bottom w:val="nil"/>
              <w:right w:val="nil"/>
            </w:tcBorders>
            <w:shd w:val="clear" w:color="auto" w:fill="auto"/>
            <w:vAlign w:val="bottom"/>
            <w:hideMark/>
          </w:tcPr>
          <w:p w14:paraId="1DC55AC9"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296" w:type="dxa"/>
            <w:tcBorders>
              <w:top w:val="nil"/>
              <w:left w:val="nil"/>
              <w:bottom w:val="nil"/>
              <w:right w:val="nil"/>
            </w:tcBorders>
            <w:shd w:val="clear" w:color="auto" w:fill="auto"/>
            <w:vAlign w:val="bottom"/>
            <w:hideMark/>
          </w:tcPr>
          <w:p w14:paraId="37389727"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344" w:type="dxa"/>
            <w:tcBorders>
              <w:top w:val="nil"/>
              <w:left w:val="nil"/>
              <w:bottom w:val="nil"/>
              <w:right w:val="nil"/>
            </w:tcBorders>
            <w:shd w:val="clear" w:color="auto" w:fill="auto"/>
            <w:vAlign w:val="bottom"/>
            <w:hideMark/>
          </w:tcPr>
          <w:p w14:paraId="110B8D9C"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0" w:type="auto"/>
            <w:tcBorders>
              <w:top w:val="nil"/>
              <w:left w:val="nil"/>
              <w:bottom w:val="nil"/>
              <w:right w:val="nil"/>
            </w:tcBorders>
            <w:shd w:val="clear" w:color="auto" w:fill="auto"/>
            <w:vAlign w:val="bottom"/>
            <w:hideMark/>
          </w:tcPr>
          <w:p w14:paraId="0344565E" w14:textId="77777777" w:rsidR="00B9311E" w:rsidRPr="00BD77D8" w:rsidRDefault="00B9311E" w:rsidP="00B9311E">
            <w:pPr>
              <w:spacing w:after="0" w:line="240" w:lineRule="auto"/>
              <w:jc w:val="right"/>
              <w:rPr>
                <w:b/>
                <w:bCs/>
                <w:sz w:val="18"/>
                <w:szCs w:val="18"/>
              </w:rPr>
            </w:pPr>
            <w:r w:rsidRPr="00BD77D8">
              <w:rPr>
                <w:b/>
                <w:bCs/>
                <w:sz w:val="18"/>
                <w:szCs w:val="18"/>
              </w:rPr>
              <w:t xml:space="preserve">        (8,097)</w:t>
            </w:r>
          </w:p>
        </w:tc>
      </w:tr>
      <w:tr w:rsidR="00BD77D8" w:rsidRPr="00BD77D8" w14:paraId="58F841B7" w14:textId="77777777" w:rsidTr="003057FB">
        <w:trPr>
          <w:trHeight w:val="262"/>
        </w:trPr>
        <w:tc>
          <w:tcPr>
            <w:tcW w:w="0" w:type="auto"/>
            <w:tcBorders>
              <w:top w:val="nil"/>
              <w:left w:val="nil"/>
              <w:bottom w:val="nil"/>
              <w:right w:val="nil"/>
            </w:tcBorders>
            <w:shd w:val="clear" w:color="auto" w:fill="auto"/>
            <w:noWrap/>
            <w:vAlign w:val="bottom"/>
            <w:hideMark/>
          </w:tcPr>
          <w:p w14:paraId="1C990E44" w14:textId="77777777" w:rsidR="00B9311E" w:rsidRPr="00BD77D8" w:rsidRDefault="00B9311E" w:rsidP="00B9311E">
            <w:pPr>
              <w:spacing w:after="0" w:line="240" w:lineRule="auto"/>
              <w:rPr>
                <w:b/>
                <w:bCs/>
                <w:sz w:val="18"/>
                <w:szCs w:val="18"/>
              </w:rPr>
            </w:pPr>
            <w:r w:rsidRPr="00BD77D8">
              <w:rPr>
                <w:b/>
                <w:bCs/>
                <w:sz w:val="18"/>
                <w:szCs w:val="18"/>
              </w:rPr>
              <w:t xml:space="preserve"> Cash and Cash Equivalents - Closing balance </w:t>
            </w:r>
          </w:p>
        </w:tc>
        <w:tc>
          <w:tcPr>
            <w:tcW w:w="1050" w:type="dxa"/>
            <w:tcBorders>
              <w:top w:val="nil"/>
              <w:left w:val="nil"/>
              <w:bottom w:val="nil"/>
              <w:right w:val="nil"/>
            </w:tcBorders>
            <w:shd w:val="clear" w:color="auto" w:fill="auto"/>
            <w:noWrap/>
            <w:vAlign w:val="bottom"/>
            <w:hideMark/>
          </w:tcPr>
          <w:p w14:paraId="36C50D5D" w14:textId="77777777" w:rsidR="00B9311E" w:rsidRPr="00BD77D8" w:rsidRDefault="00B9311E" w:rsidP="00B9311E">
            <w:pPr>
              <w:spacing w:after="0" w:line="240" w:lineRule="auto"/>
              <w:jc w:val="center"/>
              <w:rPr>
                <w:b/>
                <w:bCs/>
                <w:sz w:val="18"/>
                <w:szCs w:val="18"/>
              </w:rPr>
            </w:pPr>
            <w:r w:rsidRPr="00BD77D8">
              <w:rPr>
                <w:b/>
                <w:bCs/>
                <w:sz w:val="18"/>
                <w:szCs w:val="18"/>
              </w:rPr>
              <w:t xml:space="preserve"> C1 </w:t>
            </w:r>
          </w:p>
        </w:tc>
        <w:tc>
          <w:tcPr>
            <w:tcW w:w="1090" w:type="dxa"/>
            <w:tcBorders>
              <w:top w:val="single" w:sz="4" w:space="0" w:color="auto"/>
              <w:left w:val="nil"/>
              <w:bottom w:val="single" w:sz="4" w:space="0" w:color="auto"/>
              <w:right w:val="nil"/>
            </w:tcBorders>
            <w:shd w:val="clear" w:color="auto" w:fill="auto"/>
            <w:vAlign w:val="bottom"/>
            <w:hideMark/>
          </w:tcPr>
          <w:p w14:paraId="409E6747" w14:textId="77777777" w:rsidR="00B9311E" w:rsidRPr="00BD77D8" w:rsidRDefault="00B9311E" w:rsidP="00B9311E">
            <w:pPr>
              <w:spacing w:after="0" w:line="240" w:lineRule="auto"/>
              <w:jc w:val="right"/>
              <w:rPr>
                <w:b/>
                <w:bCs/>
                <w:sz w:val="18"/>
                <w:szCs w:val="18"/>
              </w:rPr>
            </w:pPr>
            <w:r w:rsidRPr="00BD77D8">
              <w:rPr>
                <w:b/>
                <w:bCs/>
                <w:sz w:val="18"/>
                <w:szCs w:val="18"/>
              </w:rPr>
              <w:t xml:space="preserve">        51,005 </w:t>
            </w:r>
          </w:p>
        </w:tc>
        <w:tc>
          <w:tcPr>
            <w:tcW w:w="1296" w:type="dxa"/>
            <w:tcBorders>
              <w:top w:val="single" w:sz="4" w:space="0" w:color="auto"/>
              <w:left w:val="nil"/>
              <w:bottom w:val="single" w:sz="4" w:space="0" w:color="auto"/>
              <w:right w:val="nil"/>
            </w:tcBorders>
            <w:shd w:val="clear" w:color="auto" w:fill="auto"/>
            <w:vAlign w:val="bottom"/>
            <w:hideMark/>
          </w:tcPr>
          <w:p w14:paraId="17ECD501" w14:textId="77777777" w:rsidR="00B9311E" w:rsidRPr="00BD77D8" w:rsidRDefault="00B9311E" w:rsidP="00B9311E">
            <w:pPr>
              <w:spacing w:after="0" w:line="240" w:lineRule="auto"/>
              <w:jc w:val="right"/>
              <w:rPr>
                <w:b/>
                <w:bCs/>
                <w:sz w:val="18"/>
                <w:szCs w:val="18"/>
              </w:rPr>
            </w:pPr>
            <w:r w:rsidRPr="00BD77D8">
              <w:rPr>
                <w:b/>
                <w:bCs/>
                <w:sz w:val="18"/>
                <w:szCs w:val="18"/>
              </w:rPr>
              <w:t xml:space="preserve">        24,251 </w:t>
            </w:r>
          </w:p>
        </w:tc>
        <w:tc>
          <w:tcPr>
            <w:tcW w:w="1344" w:type="dxa"/>
            <w:tcBorders>
              <w:top w:val="single" w:sz="4" w:space="0" w:color="auto"/>
              <w:left w:val="nil"/>
              <w:bottom w:val="single" w:sz="4" w:space="0" w:color="auto"/>
              <w:right w:val="nil"/>
            </w:tcBorders>
            <w:shd w:val="clear" w:color="auto" w:fill="auto"/>
            <w:vAlign w:val="bottom"/>
            <w:hideMark/>
          </w:tcPr>
          <w:p w14:paraId="73B44267" w14:textId="77777777" w:rsidR="00B9311E" w:rsidRPr="00BD77D8" w:rsidRDefault="00B9311E" w:rsidP="00B9311E">
            <w:pPr>
              <w:spacing w:after="0" w:line="240" w:lineRule="auto"/>
              <w:jc w:val="right"/>
              <w:rPr>
                <w:b/>
                <w:bCs/>
                <w:sz w:val="18"/>
                <w:szCs w:val="18"/>
              </w:rPr>
            </w:pPr>
            <w:r w:rsidRPr="00BD77D8">
              <w:rPr>
                <w:b/>
                <w:bCs/>
                <w:sz w:val="18"/>
                <w:szCs w:val="18"/>
              </w:rPr>
              <w:t xml:space="preserve">        26,754 </w:t>
            </w:r>
          </w:p>
        </w:tc>
        <w:tc>
          <w:tcPr>
            <w:tcW w:w="0" w:type="auto"/>
            <w:tcBorders>
              <w:top w:val="single" w:sz="4" w:space="0" w:color="auto"/>
              <w:left w:val="nil"/>
              <w:bottom w:val="single" w:sz="4" w:space="0" w:color="auto"/>
              <w:right w:val="nil"/>
            </w:tcBorders>
            <w:shd w:val="clear" w:color="auto" w:fill="auto"/>
            <w:vAlign w:val="bottom"/>
            <w:hideMark/>
          </w:tcPr>
          <w:p w14:paraId="65646EB7" w14:textId="77777777" w:rsidR="00B9311E" w:rsidRPr="00BD77D8" w:rsidRDefault="00B9311E" w:rsidP="00B9311E">
            <w:pPr>
              <w:spacing w:after="0" w:line="240" w:lineRule="auto"/>
              <w:jc w:val="right"/>
              <w:rPr>
                <w:b/>
                <w:bCs/>
                <w:sz w:val="18"/>
                <w:szCs w:val="18"/>
              </w:rPr>
            </w:pPr>
            <w:r w:rsidRPr="00BD77D8">
              <w:rPr>
                <w:b/>
                <w:bCs/>
                <w:sz w:val="18"/>
                <w:szCs w:val="18"/>
              </w:rPr>
              <w:t xml:space="preserve">        54,840 </w:t>
            </w:r>
          </w:p>
        </w:tc>
      </w:tr>
    </w:tbl>
    <w:p w14:paraId="7F3307CC" w14:textId="77777777" w:rsidR="00B9311E" w:rsidRPr="00BD77D8" w:rsidRDefault="00B9311E" w:rsidP="00A0538E">
      <w:pPr>
        <w:tabs>
          <w:tab w:val="left" w:pos="360"/>
        </w:tabs>
        <w:spacing w:before="240" w:after="0" w:line="195" w:lineRule="exact"/>
        <w:textAlignment w:val="baseline"/>
        <w:rPr>
          <w:rFonts w:eastAsia="Arial"/>
          <w:b/>
          <w:bCs/>
          <w:sz w:val="16"/>
          <w:szCs w:val="16"/>
          <w:lang w:eastAsia="en-US"/>
        </w:rPr>
      </w:pPr>
      <w:r w:rsidRPr="00BD77D8">
        <w:rPr>
          <w:rFonts w:eastAsia="Arial"/>
          <w:sz w:val="16"/>
          <w:szCs w:val="16"/>
          <w:lang w:eastAsia="en-US"/>
        </w:rPr>
        <w:t>*An explanation of major variances is included at Note E1-1.</w:t>
      </w:r>
    </w:p>
    <w:p w14:paraId="63BF1E35" w14:textId="77777777" w:rsidR="00B9311E" w:rsidRPr="00BD77D8" w:rsidRDefault="00B9311E" w:rsidP="00B9311E">
      <w:pPr>
        <w:tabs>
          <w:tab w:val="left" w:pos="360"/>
        </w:tabs>
        <w:spacing w:after="0" w:line="195" w:lineRule="exact"/>
        <w:textAlignment w:val="baseline"/>
        <w:rPr>
          <w:rFonts w:eastAsia="Arial"/>
          <w:b/>
          <w:bCs/>
          <w:sz w:val="18"/>
          <w:szCs w:val="18"/>
          <w:lang w:eastAsia="en-US"/>
        </w:rPr>
      </w:pPr>
      <w:r w:rsidRPr="00BD77D8">
        <w:rPr>
          <w:rFonts w:eastAsia="Arial"/>
          <w:sz w:val="16"/>
          <w:szCs w:val="16"/>
          <w:lang w:eastAsia="en-US"/>
        </w:rPr>
        <w:t>^These figures represent budgeted figures as published in the 2021-22 Service Delivery Statements tabled in Parliament.</w:t>
      </w:r>
    </w:p>
    <w:p w14:paraId="40A8B13F" w14:textId="77777777" w:rsidR="00B9311E" w:rsidRPr="00BD77D8" w:rsidRDefault="00B9311E" w:rsidP="00A0538E">
      <w:pPr>
        <w:tabs>
          <w:tab w:val="left" w:pos="360"/>
        </w:tabs>
        <w:spacing w:before="1800" w:after="0" w:line="208" w:lineRule="exact"/>
        <w:textAlignment w:val="baseline"/>
        <w:rPr>
          <w:rFonts w:eastAsia="Arial"/>
          <w:spacing w:val="-3"/>
          <w:sz w:val="16"/>
          <w:szCs w:val="16"/>
          <w:lang w:eastAsia="en-US"/>
        </w:rPr>
      </w:pPr>
      <w:r w:rsidRPr="00BD77D8">
        <w:rPr>
          <w:rFonts w:eastAsia="Arial"/>
          <w:spacing w:val="-3"/>
          <w:sz w:val="16"/>
          <w:szCs w:val="16"/>
          <w:lang w:eastAsia="en-US"/>
        </w:rPr>
        <w:t>The accompanying notes form part of these financial statements.</w:t>
      </w:r>
    </w:p>
    <w:p w14:paraId="1DD99A0C" w14:textId="74E49D1A" w:rsidR="00702AE3" w:rsidRPr="00BD77D8" w:rsidRDefault="00702AE3" w:rsidP="00A0538E">
      <w:pPr>
        <w:tabs>
          <w:tab w:val="left" w:pos="360"/>
        </w:tabs>
        <w:spacing w:before="600" w:after="0" w:line="208" w:lineRule="exact"/>
        <w:textAlignment w:val="baseline"/>
        <w:rPr>
          <w:rFonts w:eastAsia="PMingLiU"/>
          <w:sz w:val="18"/>
          <w:szCs w:val="18"/>
          <w:lang w:eastAsia="en-US"/>
        </w:rPr>
        <w:sectPr w:rsidR="00702AE3" w:rsidRPr="00BD77D8" w:rsidSect="000160CF">
          <w:type w:val="nextColumn"/>
          <w:pgSz w:w="11909" w:h="16838"/>
          <w:pgMar w:top="794" w:right="794" w:bottom="794" w:left="794" w:header="720" w:footer="720" w:gutter="0"/>
          <w:cols w:space="720"/>
        </w:sectPr>
      </w:pP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Pr="00BD77D8">
        <w:rPr>
          <w:rFonts w:eastAsia="Arial"/>
          <w:spacing w:val="-3"/>
          <w:sz w:val="16"/>
          <w:szCs w:val="16"/>
          <w:lang w:eastAsia="en-US"/>
        </w:rPr>
        <w:tab/>
      </w:r>
      <w:r w:rsidR="00DE382E" w:rsidRPr="00BD77D8">
        <w:rPr>
          <w:rFonts w:eastAsia="Arial"/>
          <w:spacing w:val="-3"/>
          <w:sz w:val="16"/>
          <w:szCs w:val="16"/>
          <w:lang w:eastAsia="en-US"/>
        </w:rPr>
        <w:t>Page 9 of 45</w:t>
      </w:r>
    </w:p>
    <w:p w14:paraId="3FF76E50" w14:textId="77777777" w:rsidR="00B9311E" w:rsidRPr="00BD77D8" w:rsidRDefault="00B9311E" w:rsidP="00B9311E">
      <w:pPr>
        <w:spacing w:after="0" w:line="200"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124FD67F" w14:textId="77777777" w:rsidR="00B9311E" w:rsidRPr="00BD77D8" w:rsidRDefault="00B9311E" w:rsidP="00F70507">
      <w:pPr>
        <w:spacing w:after="0" w:line="200" w:lineRule="exact"/>
        <w:textAlignment w:val="baseline"/>
        <w:rPr>
          <w:rFonts w:eastAsia="Arial"/>
          <w:b/>
          <w:bCs/>
          <w:sz w:val="18"/>
          <w:szCs w:val="18"/>
          <w:lang w:eastAsia="en-US"/>
        </w:rPr>
      </w:pPr>
      <w:bookmarkStart w:id="47" w:name="_Toc111494798"/>
      <w:bookmarkStart w:id="48" w:name="_Toc111540670"/>
      <w:bookmarkStart w:id="49" w:name="_Toc111559233"/>
      <w:bookmarkStart w:id="50" w:name="_Toc113196505"/>
      <w:bookmarkStart w:id="51" w:name="_Toc113196853"/>
      <w:bookmarkStart w:id="52" w:name="_Toc113261983"/>
      <w:r w:rsidRPr="00BD77D8">
        <w:rPr>
          <w:rFonts w:eastAsia="Arial"/>
          <w:b/>
          <w:bCs/>
          <w:sz w:val="18"/>
          <w:szCs w:val="18"/>
          <w:lang w:eastAsia="en-US"/>
        </w:rPr>
        <w:t>Notes to the Statement of Cash Flows - Controlled</w:t>
      </w:r>
      <w:bookmarkEnd w:id="47"/>
      <w:bookmarkEnd w:id="48"/>
      <w:bookmarkEnd w:id="49"/>
      <w:bookmarkEnd w:id="50"/>
      <w:bookmarkEnd w:id="51"/>
      <w:bookmarkEnd w:id="52"/>
    </w:p>
    <w:p w14:paraId="1BE47B0A" w14:textId="77777777" w:rsidR="00B9311E" w:rsidRPr="00BD77D8" w:rsidRDefault="00B9311E" w:rsidP="00B9311E">
      <w:pPr>
        <w:spacing w:after="0" w:line="200"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2750EB40" w14:textId="77777777" w:rsidR="00B9311E" w:rsidRPr="00BD77D8" w:rsidRDefault="00B9311E" w:rsidP="00B9311E">
      <w:pPr>
        <w:pBdr>
          <w:bottom w:val="single" w:sz="4" w:space="1" w:color="auto"/>
        </w:pBdr>
        <w:spacing w:after="0" w:line="240" w:lineRule="auto"/>
        <w:textAlignment w:val="baseline"/>
        <w:rPr>
          <w:rFonts w:eastAsia="Arial"/>
          <w:b/>
          <w:sz w:val="18"/>
          <w:szCs w:val="18"/>
          <w:lang w:eastAsia="en-US"/>
        </w:rPr>
      </w:pPr>
    </w:p>
    <w:p w14:paraId="37B73785" w14:textId="77777777" w:rsidR="00B9311E" w:rsidRPr="00BD77D8" w:rsidRDefault="00B9311E" w:rsidP="00E47A6E">
      <w:pPr>
        <w:spacing w:before="240" w:after="0" w:line="180" w:lineRule="atLeast"/>
        <w:textAlignment w:val="baseline"/>
        <w:rPr>
          <w:rFonts w:eastAsia="PMingLiU"/>
          <w:b/>
          <w:bCs/>
          <w:sz w:val="18"/>
          <w:szCs w:val="22"/>
          <w:lang w:val="en-US" w:eastAsia="en-US"/>
        </w:rPr>
      </w:pPr>
      <w:r w:rsidRPr="00BD77D8">
        <w:rPr>
          <w:rFonts w:eastAsia="Arial"/>
          <w:b/>
          <w:bCs/>
          <w:spacing w:val="2"/>
          <w:sz w:val="18"/>
          <w:szCs w:val="18"/>
          <w:lang w:eastAsia="en-US"/>
        </w:rPr>
        <w:t>CF-1 Reconciliation of Operating Result to Net Cash Provided by Operating Activities</w:t>
      </w:r>
    </w:p>
    <w:tbl>
      <w:tblPr>
        <w:tblW w:w="10368" w:type="dxa"/>
        <w:tblCellMar>
          <w:left w:w="0" w:type="dxa"/>
          <w:right w:w="0" w:type="dxa"/>
        </w:tblCellMar>
        <w:tblLook w:val="04A0" w:firstRow="1" w:lastRow="0" w:firstColumn="1" w:lastColumn="0" w:noHBand="0" w:noVBand="1"/>
      </w:tblPr>
      <w:tblGrid>
        <w:gridCol w:w="6663"/>
        <w:gridCol w:w="669"/>
        <w:gridCol w:w="1518"/>
        <w:gridCol w:w="1518"/>
      </w:tblGrid>
      <w:tr w:rsidR="00BD77D8" w:rsidRPr="00BD77D8" w14:paraId="58D1C665" w14:textId="77777777" w:rsidTr="003057FB">
        <w:trPr>
          <w:trHeight w:val="269"/>
        </w:trPr>
        <w:tc>
          <w:tcPr>
            <w:tcW w:w="0" w:type="auto"/>
            <w:tcBorders>
              <w:top w:val="nil"/>
              <w:left w:val="nil"/>
              <w:bottom w:val="nil"/>
              <w:right w:val="nil"/>
            </w:tcBorders>
            <w:shd w:val="clear" w:color="000000" w:fill="FFFFFF"/>
            <w:noWrap/>
            <w:vAlign w:val="center"/>
            <w:hideMark/>
          </w:tcPr>
          <w:p w14:paraId="0AD9BEE3" w14:textId="77777777" w:rsidR="00B9311E" w:rsidRPr="00BD77D8" w:rsidRDefault="00B9311E" w:rsidP="00B9311E">
            <w:pPr>
              <w:spacing w:after="0" w:line="240" w:lineRule="auto"/>
              <w:rPr>
                <w:sz w:val="18"/>
                <w:szCs w:val="18"/>
              </w:rPr>
            </w:pPr>
            <w:r w:rsidRPr="00BD77D8">
              <w:rPr>
                <w:sz w:val="18"/>
                <w:szCs w:val="18"/>
              </w:rPr>
              <w:t> </w:t>
            </w:r>
          </w:p>
        </w:tc>
        <w:tc>
          <w:tcPr>
            <w:tcW w:w="0" w:type="auto"/>
            <w:tcBorders>
              <w:top w:val="nil"/>
              <w:left w:val="nil"/>
              <w:bottom w:val="nil"/>
              <w:right w:val="nil"/>
            </w:tcBorders>
            <w:shd w:val="clear" w:color="auto" w:fill="auto"/>
            <w:noWrap/>
            <w:vAlign w:val="bottom"/>
            <w:hideMark/>
          </w:tcPr>
          <w:p w14:paraId="5E7CCE93" w14:textId="77777777" w:rsidR="00B9311E" w:rsidRPr="00BD77D8" w:rsidRDefault="00B9311E" w:rsidP="00B9311E">
            <w:pPr>
              <w:spacing w:after="0" w:line="240" w:lineRule="auto"/>
              <w:rPr>
                <w:b/>
                <w:bCs/>
                <w:sz w:val="18"/>
                <w:szCs w:val="18"/>
              </w:rPr>
            </w:pPr>
          </w:p>
        </w:tc>
        <w:tc>
          <w:tcPr>
            <w:tcW w:w="0" w:type="auto"/>
            <w:tcBorders>
              <w:top w:val="nil"/>
              <w:left w:val="nil"/>
              <w:bottom w:val="nil"/>
              <w:right w:val="nil"/>
            </w:tcBorders>
            <w:shd w:val="clear" w:color="auto" w:fill="auto"/>
            <w:noWrap/>
            <w:vAlign w:val="bottom"/>
            <w:hideMark/>
          </w:tcPr>
          <w:p w14:paraId="750DBB82" w14:textId="77777777" w:rsidR="00B9311E" w:rsidRPr="00BD77D8" w:rsidRDefault="00B9311E" w:rsidP="00B9311E">
            <w:pPr>
              <w:spacing w:after="0" w:line="240" w:lineRule="auto"/>
              <w:jc w:val="right"/>
              <w:rPr>
                <w:b/>
                <w:bCs/>
                <w:sz w:val="18"/>
                <w:szCs w:val="18"/>
              </w:rPr>
            </w:pPr>
            <w:r w:rsidRPr="00BD77D8">
              <w:rPr>
                <w:b/>
                <w:bCs/>
                <w:sz w:val="18"/>
                <w:szCs w:val="18"/>
              </w:rPr>
              <w:t>Actual</w:t>
            </w:r>
          </w:p>
        </w:tc>
        <w:tc>
          <w:tcPr>
            <w:tcW w:w="0" w:type="auto"/>
            <w:tcBorders>
              <w:top w:val="nil"/>
              <w:left w:val="nil"/>
              <w:bottom w:val="nil"/>
              <w:right w:val="nil"/>
            </w:tcBorders>
            <w:shd w:val="clear" w:color="auto" w:fill="auto"/>
            <w:noWrap/>
            <w:vAlign w:val="bottom"/>
            <w:hideMark/>
          </w:tcPr>
          <w:p w14:paraId="2ADF6FD3" w14:textId="77777777" w:rsidR="00B9311E" w:rsidRPr="00BD77D8" w:rsidRDefault="00B9311E" w:rsidP="00B9311E">
            <w:pPr>
              <w:spacing w:after="0" w:line="240" w:lineRule="auto"/>
              <w:jc w:val="right"/>
              <w:rPr>
                <w:b/>
                <w:bCs/>
                <w:sz w:val="18"/>
                <w:szCs w:val="18"/>
              </w:rPr>
            </w:pPr>
            <w:r w:rsidRPr="00BD77D8">
              <w:rPr>
                <w:b/>
                <w:bCs/>
                <w:sz w:val="18"/>
                <w:szCs w:val="18"/>
              </w:rPr>
              <w:t>Actual</w:t>
            </w:r>
          </w:p>
        </w:tc>
      </w:tr>
      <w:tr w:rsidR="00BD77D8" w:rsidRPr="00BD77D8" w14:paraId="3EF5732F" w14:textId="77777777" w:rsidTr="003057FB">
        <w:trPr>
          <w:trHeight w:val="269"/>
        </w:trPr>
        <w:tc>
          <w:tcPr>
            <w:tcW w:w="0" w:type="auto"/>
            <w:tcBorders>
              <w:top w:val="nil"/>
              <w:left w:val="nil"/>
              <w:bottom w:val="nil"/>
              <w:right w:val="nil"/>
            </w:tcBorders>
            <w:shd w:val="clear" w:color="auto" w:fill="auto"/>
            <w:noWrap/>
            <w:vAlign w:val="bottom"/>
            <w:hideMark/>
          </w:tcPr>
          <w:p w14:paraId="02B4FB3E"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noWrap/>
            <w:vAlign w:val="bottom"/>
            <w:hideMark/>
          </w:tcPr>
          <w:p w14:paraId="7417383C" w14:textId="77777777" w:rsidR="00B9311E" w:rsidRPr="00BD77D8" w:rsidRDefault="00B9311E" w:rsidP="00B9311E">
            <w:pPr>
              <w:spacing w:after="0" w:line="240" w:lineRule="auto"/>
              <w:jc w:val="center"/>
              <w:rPr>
                <w:b/>
                <w:bCs/>
                <w:sz w:val="18"/>
                <w:szCs w:val="18"/>
              </w:rPr>
            </w:pPr>
            <w:r w:rsidRPr="00BD77D8">
              <w:rPr>
                <w:b/>
                <w:bCs/>
                <w:sz w:val="18"/>
                <w:szCs w:val="18"/>
              </w:rPr>
              <w:t xml:space="preserve"> Note </w:t>
            </w:r>
          </w:p>
        </w:tc>
        <w:tc>
          <w:tcPr>
            <w:tcW w:w="0" w:type="auto"/>
            <w:tcBorders>
              <w:top w:val="nil"/>
              <w:left w:val="nil"/>
              <w:bottom w:val="nil"/>
              <w:right w:val="nil"/>
            </w:tcBorders>
            <w:shd w:val="clear" w:color="auto" w:fill="auto"/>
            <w:vAlign w:val="bottom"/>
            <w:hideMark/>
          </w:tcPr>
          <w:p w14:paraId="39D55747" w14:textId="77777777" w:rsidR="00B9311E" w:rsidRPr="00BD77D8" w:rsidRDefault="00B9311E" w:rsidP="00B9311E">
            <w:pPr>
              <w:spacing w:after="0" w:line="240" w:lineRule="auto"/>
              <w:jc w:val="right"/>
              <w:rPr>
                <w:b/>
                <w:bCs/>
                <w:sz w:val="18"/>
                <w:szCs w:val="18"/>
              </w:rPr>
            </w:pPr>
            <w:r w:rsidRPr="00BD77D8">
              <w:rPr>
                <w:b/>
                <w:bCs/>
                <w:sz w:val="18"/>
                <w:szCs w:val="18"/>
              </w:rPr>
              <w:t xml:space="preserve">           2022 </w:t>
            </w:r>
          </w:p>
        </w:tc>
        <w:tc>
          <w:tcPr>
            <w:tcW w:w="0" w:type="auto"/>
            <w:tcBorders>
              <w:top w:val="nil"/>
              <w:left w:val="nil"/>
              <w:bottom w:val="nil"/>
              <w:right w:val="nil"/>
            </w:tcBorders>
            <w:shd w:val="clear" w:color="auto" w:fill="auto"/>
            <w:vAlign w:val="bottom"/>
            <w:hideMark/>
          </w:tcPr>
          <w:p w14:paraId="4882048D" w14:textId="77777777" w:rsidR="00B9311E" w:rsidRPr="00BD77D8" w:rsidRDefault="00B9311E" w:rsidP="00B9311E">
            <w:pPr>
              <w:spacing w:after="0" w:line="240" w:lineRule="auto"/>
              <w:jc w:val="right"/>
              <w:rPr>
                <w:b/>
                <w:bCs/>
                <w:sz w:val="18"/>
                <w:szCs w:val="18"/>
              </w:rPr>
            </w:pPr>
            <w:r w:rsidRPr="00BD77D8">
              <w:rPr>
                <w:b/>
                <w:bCs/>
                <w:sz w:val="18"/>
                <w:szCs w:val="18"/>
              </w:rPr>
              <w:t xml:space="preserve">           2021 </w:t>
            </w:r>
          </w:p>
        </w:tc>
      </w:tr>
      <w:tr w:rsidR="00BD77D8" w:rsidRPr="00BD77D8" w14:paraId="7EFBE6AB" w14:textId="77777777" w:rsidTr="003057FB">
        <w:trPr>
          <w:trHeight w:val="269"/>
        </w:trPr>
        <w:tc>
          <w:tcPr>
            <w:tcW w:w="0" w:type="auto"/>
            <w:tcBorders>
              <w:top w:val="nil"/>
              <w:left w:val="nil"/>
              <w:bottom w:val="single" w:sz="4" w:space="0" w:color="auto"/>
              <w:right w:val="nil"/>
            </w:tcBorders>
            <w:shd w:val="clear" w:color="auto" w:fill="auto"/>
            <w:noWrap/>
            <w:vAlign w:val="bottom"/>
            <w:hideMark/>
          </w:tcPr>
          <w:p w14:paraId="6950A35F" w14:textId="77777777" w:rsidR="00B9311E" w:rsidRPr="00BD77D8" w:rsidRDefault="00B9311E" w:rsidP="00B9311E">
            <w:pPr>
              <w:spacing w:after="0" w:line="240" w:lineRule="auto"/>
              <w:rPr>
                <w:sz w:val="18"/>
                <w:szCs w:val="18"/>
              </w:rPr>
            </w:pPr>
            <w:r w:rsidRPr="00BD77D8">
              <w:rPr>
                <w:sz w:val="18"/>
                <w:szCs w:val="18"/>
              </w:rPr>
              <w:t> </w:t>
            </w:r>
          </w:p>
        </w:tc>
        <w:tc>
          <w:tcPr>
            <w:tcW w:w="0" w:type="auto"/>
            <w:tcBorders>
              <w:top w:val="nil"/>
              <w:left w:val="nil"/>
              <w:bottom w:val="single" w:sz="4" w:space="0" w:color="auto"/>
              <w:right w:val="nil"/>
            </w:tcBorders>
            <w:shd w:val="clear" w:color="auto" w:fill="auto"/>
            <w:noWrap/>
            <w:vAlign w:val="bottom"/>
            <w:hideMark/>
          </w:tcPr>
          <w:p w14:paraId="5598506C" w14:textId="77777777" w:rsidR="00B9311E" w:rsidRPr="00BD77D8" w:rsidRDefault="00B9311E" w:rsidP="00B9311E">
            <w:pPr>
              <w:spacing w:after="0" w:line="240" w:lineRule="auto"/>
              <w:jc w:val="center"/>
              <w:rPr>
                <w:b/>
                <w:bCs/>
                <w:sz w:val="18"/>
                <w:szCs w:val="18"/>
              </w:rPr>
            </w:pPr>
            <w:r w:rsidRPr="00BD77D8">
              <w:rPr>
                <w:b/>
                <w:bCs/>
                <w:sz w:val="18"/>
                <w:szCs w:val="18"/>
              </w:rPr>
              <w:t> </w:t>
            </w:r>
          </w:p>
        </w:tc>
        <w:tc>
          <w:tcPr>
            <w:tcW w:w="0" w:type="auto"/>
            <w:tcBorders>
              <w:top w:val="nil"/>
              <w:left w:val="nil"/>
              <w:bottom w:val="single" w:sz="4" w:space="0" w:color="auto"/>
              <w:right w:val="nil"/>
            </w:tcBorders>
            <w:shd w:val="clear" w:color="auto" w:fill="auto"/>
            <w:noWrap/>
            <w:vAlign w:val="bottom"/>
            <w:hideMark/>
          </w:tcPr>
          <w:p w14:paraId="4F522210"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bottom"/>
            <w:hideMark/>
          </w:tcPr>
          <w:p w14:paraId="1CF1B00F"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7547E77A" w14:textId="77777777" w:rsidTr="003057FB">
        <w:trPr>
          <w:trHeight w:val="269"/>
        </w:trPr>
        <w:tc>
          <w:tcPr>
            <w:tcW w:w="0" w:type="auto"/>
            <w:tcBorders>
              <w:top w:val="nil"/>
              <w:left w:val="nil"/>
              <w:bottom w:val="nil"/>
              <w:right w:val="nil"/>
            </w:tcBorders>
            <w:shd w:val="clear" w:color="000000" w:fill="FFFFFF"/>
            <w:noWrap/>
            <w:vAlign w:val="center"/>
            <w:hideMark/>
          </w:tcPr>
          <w:p w14:paraId="20CD294E" w14:textId="77777777" w:rsidR="00B9311E" w:rsidRPr="00BD77D8" w:rsidRDefault="00B9311E" w:rsidP="00B9311E">
            <w:pPr>
              <w:spacing w:after="0" w:line="240" w:lineRule="auto"/>
              <w:rPr>
                <w:b/>
                <w:bCs/>
                <w:sz w:val="18"/>
                <w:szCs w:val="18"/>
              </w:rPr>
            </w:pPr>
            <w:r w:rsidRPr="00BD77D8">
              <w:rPr>
                <w:b/>
                <w:bCs/>
                <w:sz w:val="18"/>
                <w:szCs w:val="18"/>
              </w:rPr>
              <w:t xml:space="preserve"> Operating Result for the Year </w:t>
            </w:r>
          </w:p>
        </w:tc>
        <w:tc>
          <w:tcPr>
            <w:tcW w:w="0" w:type="auto"/>
            <w:tcBorders>
              <w:top w:val="nil"/>
              <w:left w:val="nil"/>
              <w:bottom w:val="nil"/>
              <w:right w:val="nil"/>
            </w:tcBorders>
            <w:shd w:val="clear" w:color="auto" w:fill="auto"/>
            <w:noWrap/>
            <w:vAlign w:val="bottom"/>
            <w:hideMark/>
          </w:tcPr>
          <w:p w14:paraId="79B6607C" w14:textId="77777777" w:rsidR="00B9311E" w:rsidRPr="00BD77D8" w:rsidRDefault="00B9311E" w:rsidP="00B9311E">
            <w:pPr>
              <w:spacing w:after="0" w:line="240" w:lineRule="auto"/>
              <w:rPr>
                <w:b/>
                <w:bCs/>
                <w:sz w:val="18"/>
                <w:szCs w:val="18"/>
              </w:rPr>
            </w:pPr>
          </w:p>
        </w:tc>
        <w:tc>
          <w:tcPr>
            <w:tcW w:w="0" w:type="auto"/>
            <w:tcBorders>
              <w:top w:val="nil"/>
              <w:left w:val="nil"/>
              <w:bottom w:val="nil"/>
              <w:right w:val="nil"/>
            </w:tcBorders>
            <w:shd w:val="clear" w:color="auto" w:fill="auto"/>
            <w:vAlign w:val="bottom"/>
            <w:hideMark/>
          </w:tcPr>
          <w:p w14:paraId="64A07C5E" w14:textId="77777777" w:rsidR="00B9311E" w:rsidRPr="00BD77D8" w:rsidRDefault="00B9311E" w:rsidP="00B9311E">
            <w:pPr>
              <w:spacing w:after="0" w:line="240" w:lineRule="auto"/>
              <w:jc w:val="right"/>
              <w:rPr>
                <w:b/>
                <w:bCs/>
                <w:sz w:val="18"/>
                <w:szCs w:val="18"/>
              </w:rPr>
            </w:pPr>
            <w:r w:rsidRPr="00BD77D8">
              <w:rPr>
                <w:b/>
                <w:bCs/>
                <w:sz w:val="18"/>
                <w:szCs w:val="18"/>
              </w:rPr>
              <w:t xml:space="preserve">        31,191 </w:t>
            </w:r>
          </w:p>
        </w:tc>
        <w:tc>
          <w:tcPr>
            <w:tcW w:w="0" w:type="auto"/>
            <w:tcBorders>
              <w:top w:val="nil"/>
              <w:left w:val="nil"/>
              <w:bottom w:val="nil"/>
              <w:right w:val="nil"/>
            </w:tcBorders>
            <w:shd w:val="clear" w:color="auto" w:fill="auto"/>
            <w:vAlign w:val="bottom"/>
            <w:hideMark/>
          </w:tcPr>
          <w:p w14:paraId="7BCFFDC8" w14:textId="77777777" w:rsidR="00B9311E" w:rsidRPr="00BD77D8" w:rsidRDefault="00B9311E" w:rsidP="00B9311E">
            <w:pPr>
              <w:spacing w:after="0" w:line="240" w:lineRule="auto"/>
              <w:jc w:val="right"/>
              <w:rPr>
                <w:b/>
                <w:bCs/>
                <w:sz w:val="18"/>
                <w:szCs w:val="18"/>
              </w:rPr>
            </w:pPr>
            <w:r w:rsidRPr="00BD77D8">
              <w:rPr>
                <w:b/>
                <w:bCs/>
                <w:sz w:val="18"/>
                <w:szCs w:val="18"/>
              </w:rPr>
              <w:t xml:space="preserve">          2,783 </w:t>
            </w:r>
          </w:p>
        </w:tc>
      </w:tr>
      <w:tr w:rsidR="00BD77D8" w:rsidRPr="00BD77D8" w14:paraId="60D13699" w14:textId="77777777" w:rsidTr="003057FB">
        <w:trPr>
          <w:trHeight w:val="269"/>
        </w:trPr>
        <w:tc>
          <w:tcPr>
            <w:tcW w:w="0" w:type="auto"/>
            <w:tcBorders>
              <w:top w:val="nil"/>
              <w:left w:val="nil"/>
              <w:bottom w:val="nil"/>
              <w:right w:val="nil"/>
            </w:tcBorders>
            <w:shd w:val="clear" w:color="auto" w:fill="auto"/>
            <w:noWrap/>
            <w:vAlign w:val="bottom"/>
            <w:hideMark/>
          </w:tcPr>
          <w:p w14:paraId="62881D0B" w14:textId="77777777" w:rsidR="00B9311E" w:rsidRPr="00BD77D8" w:rsidRDefault="00B9311E" w:rsidP="00B9311E">
            <w:pPr>
              <w:spacing w:after="0" w:line="240" w:lineRule="auto"/>
              <w:rPr>
                <w:b/>
                <w:bCs/>
                <w:i/>
                <w:iCs/>
                <w:sz w:val="18"/>
                <w:szCs w:val="18"/>
              </w:rPr>
            </w:pPr>
            <w:r w:rsidRPr="00BD77D8">
              <w:rPr>
                <w:b/>
                <w:bCs/>
                <w:i/>
                <w:iCs/>
                <w:sz w:val="18"/>
                <w:szCs w:val="18"/>
              </w:rPr>
              <w:t xml:space="preserve"> Non-cash items included in operating result </w:t>
            </w:r>
          </w:p>
        </w:tc>
        <w:tc>
          <w:tcPr>
            <w:tcW w:w="0" w:type="auto"/>
            <w:tcBorders>
              <w:top w:val="nil"/>
              <w:left w:val="nil"/>
              <w:bottom w:val="nil"/>
              <w:right w:val="nil"/>
            </w:tcBorders>
            <w:shd w:val="clear" w:color="auto" w:fill="auto"/>
            <w:noWrap/>
            <w:vAlign w:val="bottom"/>
            <w:hideMark/>
          </w:tcPr>
          <w:p w14:paraId="1ACF143A" w14:textId="77777777" w:rsidR="00B9311E" w:rsidRPr="00BD77D8" w:rsidRDefault="00B9311E" w:rsidP="00B9311E">
            <w:pPr>
              <w:spacing w:after="0" w:line="240" w:lineRule="auto"/>
              <w:rPr>
                <w:i/>
                <w:iCs/>
                <w:sz w:val="18"/>
                <w:szCs w:val="18"/>
              </w:rPr>
            </w:pPr>
          </w:p>
        </w:tc>
        <w:tc>
          <w:tcPr>
            <w:tcW w:w="0" w:type="auto"/>
            <w:tcBorders>
              <w:top w:val="nil"/>
              <w:left w:val="nil"/>
              <w:bottom w:val="nil"/>
              <w:right w:val="nil"/>
            </w:tcBorders>
            <w:shd w:val="clear" w:color="auto" w:fill="auto"/>
            <w:vAlign w:val="bottom"/>
            <w:hideMark/>
          </w:tcPr>
          <w:p w14:paraId="1547B7C2"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0" w:type="auto"/>
            <w:tcBorders>
              <w:top w:val="nil"/>
              <w:left w:val="nil"/>
              <w:bottom w:val="nil"/>
              <w:right w:val="nil"/>
            </w:tcBorders>
            <w:shd w:val="clear" w:color="auto" w:fill="auto"/>
            <w:vAlign w:val="bottom"/>
            <w:hideMark/>
          </w:tcPr>
          <w:p w14:paraId="7B615A46"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6D425447" w14:textId="77777777" w:rsidTr="003057FB">
        <w:trPr>
          <w:trHeight w:val="269"/>
        </w:trPr>
        <w:tc>
          <w:tcPr>
            <w:tcW w:w="0" w:type="auto"/>
            <w:tcBorders>
              <w:top w:val="nil"/>
              <w:left w:val="nil"/>
              <w:bottom w:val="nil"/>
              <w:right w:val="nil"/>
            </w:tcBorders>
            <w:shd w:val="clear" w:color="auto" w:fill="auto"/>
            <w:noWrap/>
            <w:vAlign w:val="bottom"/>
            <w:hideMark/>
          </w:tcPr>
          <w:p w14:paraId="55287F7F" w14:textId="77777777" w:rsidR="00B9311E" w:rsidRPr="00BD77D8" w:rsidRDefault="00B9311E" w:rsidP="00B9311E">
            <w:pPr>
              <w:spacing w:after="0" w:line="240" w:lineRule="auto"/>
              <w:rPr>
                <w:sz w:val="18"/>
                <w:szCs w:val="18"/>
              </w:rPr>
            </w:pPr>
            <w:r w:rsidRPr="00BD77D8">
              <w:rPr>
                <w:sz w:val="18"/>
                <w:szCs w:val="18"/>
              </w:rPr>
              <w:t xml:space="preserve"> Reversal of revaluation increment </w:t>
            </w:r>
          </w:p>
        </w:tc>
        <w:tc>
          <w:tcPr>
            <w:tcW w:w="0" w:type="auto"/>
            <w:tcBorders>
              <w:top w:val="nil"/>
              <w:left w:val="nil"/>
              <w:bottom w:val="nil"/>
              <w:right w:val="nil"/>
            </w:tcBorders>
            <w:shd w:val="clear" w:color="auto" w:fill="auto"/>
            <w:noWrap/>
            <w:vAlign w:val="bottom"/>
            <w:hideMark/>
          </w:tcPr>
          <w:p w14:paraId="0DB004E7"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34B8DC9F" w14:textId="77777777" w:rsidR="00B9311E" w:rsidRPr="00BD77D8" w:rsidRDefault="00B9311E" w:rsidP="00B9311E">
            <w:pPr>
              <w:spacing w:after="0" w:line="240" w:lineRule="auto"/>
              <w:jc w:val="right"/>
              <w:rPr>
                <w:b/>
                <w:bCs/>
                <w:sz w:val="18"/>
                <w:szCs w:val="18"/>
              </w:rPr>
            </w:pPr>
            <w:r w:rsidRPr="00BD77D8">
              <w:rPr>
                <w:b/>
                <w:bCs/>
                <w:sz w:val="18"/>
                <w:szCs w:val="18"/>
              </w:rPr>
              <w:t xml:space="preserve">      (28,569)</w:t>
            </w:r>
          </w:p>
        </w:tc>
        <w:tc>
          <w:tcPr>
            <w:tcW w:w="0" w:type="auto"/>
            <w:tcBorders>
              <w:top w:val="nil"/>
              <w:left w:val="nil"/>
              <w:bottom w:val="nil"/>
              <w:right w:val="nil"/>
            </w:tcBorders>
            <w:shd w:val="clear" w:color="auto" w:fill="auto"/>
            <w:vAlign w:val="bottom"/>
            <w:hideMark/>
          </w:tcPr>
          <w:p w14:paraId="32F49D46" w14:textId="77777777" w:rsidR="00B9311E" w:rsidRPr="00BD77D8" w:rsidRDefault="00B9311E" w:rsidP="00B9311E">
            <w:pPr>
              <w:spacing w:after="0" w:line="240" w:lineRule="auto"/>
              <w:jc w:val="right"/>
              <w:rPr>
                <w:sz w:val="18"/>
                <w:szCs w:val="18"/>
              </w:rPr>
            </w:pPr>
            <w:r w:rsidRPr="00BD77D8">
              <w:rPr>
                <w:sz w:val="18"/>
                <w:szCs w:val="18"/>
              </w:rPr>
              <w:t xml:space="preserve">             112 </w:t>
            </w:r>
          </w:p>
        </w:tc>
      </w:tr>
      <w:tr w:rsidR="00BD77D8" w:rsidRPr="00BD77D8" w14:paraId="7D169041" w14:textId="77777777" w:rsidTr="003057FB">
        <w:trPr>
          <w:trHeight w:val="269"/>
        </w:trPr>
        <w:tc>
          <w:tcPr>
            <w:tcW w:w="0" w:type="auto"/>
            <w:tcBorders>
              <w:top w:val="nil"/>
              <w:left w:val="nil"/>
              <w:bottom w:val="nil"/>
              <w:right w:val="nil"/>
            </w:tcBorders>
            <w:shd w:val="clear" w:color="auto" w:fill="auto"/>
            <w:noWrap/>
            <w:vAlign w:val="bottom"/>
            <w:hideMark/>
          </w:tcPr>
          <w:p w14:paraId="24A81D6F" w14:textId="77777777" w:rsidR="00B9311E" w:rsidRPr="00BD77D8" w:rsidRDefault="00B9311E" w:rsidP="00B9311E">
            <w:pPr>
              <w:spacing w:after="0" w:line="240" w:lineRule="auto"/>
              <w:rPr>
                <w:sz w:val="18"/>
                <w:szCs w:val="18"/>
              </w:rPr>
            </w:pPr>
            <w:r w:rsidRPr="00BD77D8">
              <w:rPr>
                <w:sz w:val="18"/>
                <w:szCs w:val="18"/>
              </w:rPr>
              <w:t xml:space="preserve"> Reversal of revaluation decrement </w:t>
            </w:r>
          </w:p>
        </w:tc>
        <w:tc>
          <w:tcPr>
            <w:tcW w:w="0" w:type="auto"/>
            <w:tcBorders>
              <w:top w:val="nil"/>
              <w:left w:val="nil"/>
              <w:bottom w:val="nil"/>
              <w:right w:val="nil"/>
            </w:tcBorders>
            <w:shd w:val="clear" w:color="auto" w:fill="auto"/>
            <w:noWrap/>
            <w:vAlign w:val="bottom"/>
            <w:hideMark/>
          </w:tcPr>
          <w:p w14:paraId="607DE5B1"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58E1A43F"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0" w:type="auto"/>
            <w:tcBorders>
              <w:top w:val="nil"/>
              <w:left w:val="nil"/>
              <w:bottom w:val="nil"/>
              <w:right w:val="nil"/>
            </w:tcBorders>
            <w:shd w:val="clear" w:color="auto" w:fill="auto"/>
            <w:vAlign w:val="bottom"/>
            <w:hideMark/>
          </w:tcPr>
          <w:p w14:paraId="6366E2C5" w14:textId="77777777" w:rsidR="00B9311E" w:rsidRPr="00BD77D8" w:rsidRDefault="00B9311E" w:rsidP="00B9311E">
            <w:pPr>
              <w:spacing w:after="0" w:line="240" w:lineRule="auto"/>
              <w:jc w:val="right"/>
              <w:rPr>
                <w:sz w:val="18"/>
                <w:szCs w:val="18"/>
              </w:rPr>
            </w:pPr>
            <w:r w:rsidRPr="00BD77D8">
              <w:rPr>
                <w:sz w:val="18"/>
                <w:szCs w:val="18"/>
              </w:rPr>
              <w:t xml:space="preserve">        (1,229)</w:t>
            </w:r>
          </w:p>
        </w:tc>
      </w:tr>
      <w:tr w:rsidR="00BD77D8" w:rsidRPr="00BD77D8" w14:paraId="5E24C0F4" w14:textId="77777777" w:rsidTr="003057FB">
        <w:trPr>
          <w:trHeight w:val="269"/>
        </w:trPr>
        <w:tc>
          <w:tcPr>
            <w:tcW w:w="0" w:type="auto"/>
            <w:tcBorders>
              <w:top w:val="nil"/>
              <w:left w:val="nil"/>
              <w:bottom w:val="nil"/>
              <w:right w:val="nil"/>
            </w:tcBorders>
            <w:shd w:val="clear" w:color="auto" w:fill="auto"/>
            <w:noWrap/>
            <w:vAlign w:val="bottom"/>
            <w:hideMark/>
          </w:tcPr>
          <w:p w14:paraId="65A91502" w14:textId="77777777" w:rsidR="00B9311E" w:rsidRPr="00BD77D8" w:rsidRDefault="00B9311E" w:rsidP="00B9311E">
            <w:pPr>
              <w:spacing w:after="0" w:line="240" w:lineRule="auto"/>
              <w:rPr>
                <w:sz w:val="18"/>
                <w:szCs w:val="18"/>
              </w:rPr>
            </w:pPr>
            <w:r w:rsidRPr="00BD77D8">
              <w:rPr>
                <w:sz w:val="18"/>
                <w:szCs w:val="18"/>
              </w:rPr>
              <w:t xml:space="preserve"> Depreciation and amortisation expense </w:t>
            </w:r>
          </w:p>
        </w:tc>
        <w:tc>
          <w:tcPr>
            <w:tcW w:w="0" w:type="auto"/>
            <w:tcBorders>
              <w:top w:val="nil"/>
              <w:left w:val="nil"/>
              <w:bottom w:val="nil"/>
              <w:right w:val="nil"/>
            </w:tcBorders>
            <w:shd w:val="clear" w:color="auto" w:fill="auto"/>
            <w:noWrap/>
            <w:vAlign w:val="bottom"/>
            <w:hideMark/>
          </w:tcPr>
          <w:p w14:paraId="2297D042"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351D4859" w14:textId="77777777" w:rsidR="00B9311E" w:rsidRPr="00BD77D8" w:rsidRDefault="00B9311E" w:rsidP="00B9311E">
            <w:pPr>
              <w:spacing w:after="0" w:line="240" w:lineRule="auto"/>
              <w:jc w:val="right"/>
              <w:rPr>
                <w:b/>
                <w:bCs/>
                <w:sz w:val="18"/>
                <w:szCs w:val="18"/>
              </w:rPr>
            </w:pPr>
            <w:r w:rsidRPr="00BD77D8">
              <w:rPr>
                <w:b/>
                <w:bCs/>
                <w:sz w:val="18"/>
                <w:szCs w:val="18"/>
              </w:rPr>
              <w:t xml:space="preserve">          3,784 </w:t>
            </w:r>
          </w:p>
        </w:tc>
        <w:tc>
          <w:tcPr>
            <w:tcW w:w="0" w:type="auto"/>
            <w:tcBorders>
              <w:top w:val="nil"/>
              <w:left w:val="nil"/>
              <w:bottom w:val="nil"/>
              <w:right w:val="nil"/>
            </w:tcBorders>
            <w:shd w:val="clear" w:color="auto" w:fill="auto"/>
            <w:vAlign w:val="bottom"/>
            <w:hideMark/>
          </w:tcPr>
          <w:p w14:paraId="3F6D460A" w14:textId="77777777" w:rsidR="00B9311E" w:rsidRPr="00BD77D8" w:rsidRDefault="00B9311E" w:rsidP="00B9311E">
            <w:pPr>
              <w:spacing w:after="0" w:line="240" w:lineRule="auto"/>
              <w:jc w:val="right"/>
              <w:rPr>
                <w:sz w:val="18"/>
                <w:szCs w:val="18"/>
              </w:rPr>
            </w:pPr>
            <w:r w:rsidRPr="00BD77D8">
              <w:rPr>
                <w:sz w:val="18"/>
                <w:szCs w:val="18"/>
              </w:rPr>
              <w:t xml:space="preserve">          5,051 </w:t>
            </w:r>
          </w:p>
        </w:tc>
      </w:tr>
      <w:tr w:rsidR="00BD77D8" w:rsidRPr="00BD77D8" w14:paraId="3A62BF2A" w14:textId="77777777" w:rsidTr="003057FB">
        <w:trPr>
          <w:trHeight w:val="269"/>
        </w:trPr>
        <w:tc>
          <w:tcPr>
            <w:tcW w:w="0" w:type="auto"/>
            <w:tcBorders>
              <w:top w:val="nil"/>
              <w:left w:val="nil"/>
              <w:bottom w:val="nil"/>
              <w:right w:val="nil"/>
            </w:tcBorders>
            <w:shd w:val="clear" w:color="auto" w:fill="auto"/>
            <w:noWrap/>
            <w:vAlign w:val="bottom"/>
            <w:hideMark/>
          </w:tcPr>
          <w:p w14:paraId="430B29E1" w14:textId="77777777" w:rsidR="00B9311E" w:rsidRPr="00BD77D8" w:rsidRDefault="00B9311E" w:rsidP="00B9311E">
            <w:pPr>
              <w:spacing w:after="0" w:line="240" w:lineRule="auto"/>
              <w:rPr>
                <w:sz w:val="18"/>
                <w:szCs w:val="18"/>
              </w:rPr>
            </w:pPr>
            <w:r w:rsidRPr="00BD77D8">
              <w:rPr>
                <w:sz w:val="18"/>
                <w:szCs w:val="18"/>
              </w:rPr>
              <w:t xml:space="preserve"> Loss (gain) on disposal of non-current assets </w:t>
            </w:r>
          </w:p>
        </w:tc>
        <w:tc>
          <w:tcPr>
            <w:tcW w:w="0" w:type="auto"/>
            <w:tcBorders>
              <w:top w:val="nil"/>
              <w:left w:val="nil"/>
              <w:bottom w:val="nil"/>
              <w:right w:val="nil"/>
            </w:tcBorders>
            <w:shd w:val="clear" w:color="auto" w:fill="auto"/>
            <w:noWrap/>
            <w:vAlign w:val="bottom"/>
            <w:hideMark/>
          </w:tcPr>
          <w:p w14:paraId="1E528364"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5E876752" w14:textId="77777777" w:rsidR="00B9311E" w:rsidRPr="00BD77D8" w:rsidRDefault="00B9311E" w:rsidP="00B9311E">
            <w:pPr>
              <w:spacing w:after="0" w:line="240" w:lineRule="auto"/>
              <w:jc w:val="right"/>
              <w:rPr>
                <w:b/>
                <w:bCs/>
                <w:sz w:val="18"/>
                <w:szCs w:val="18"/>
              </w:rPr>
            </w:pPr>
            <w:r w:rsidRPr="00BD77D8">
              <w:rPr>
                <w:b/>
                <w:bCs/>
                <w:sz w:val="18"/>
                <w:szCs w:val="18"/>
              </w:rPr>
              <w:t xml:space="preserve">                  3 </w:t>
            </w:r>
          </w:p>
        </w:tc>
        <w:tc>
          <w:tcPr>
            <w:tcW w:w="0" w:type="auto"/>
            <w:tcBorders>
              <w:top w:val="nil"/>
              <w:left w:val="nil"/>
              <w:bottom w:val="nil"/>
              <w:right w:val="nil"/>
            </w:tcBorders>
            <w:shd w:val="clear" w:color="auto" w:fill="auto"/>
            <w:vAlign w:val="bottom"/>
            <w:hideMark/>
          </w:tcPr>
          <w:p w14:paraId="0B93A662" w14:textId="77777777" w:rsidR="00B9311E" w:rsidRPr="00BD77D8" w:rsidRDefault="00B9311E" w:rsidP="00B9311E">
            <w:pPr>
              <w:spacing w:after="0" w:line="240" w:lineRule="auto"/>
              <w:jc w:val="right"/>
              <w:rPr>
                <w:sz w:val="18"/>
                <w:szCs w:val="18"/>
              </w:rPr>
            </w:pPr>
            <w:r w:rsidRPr="00BD77D8">
              <w:rPr>
                <w:sz w:val="18"/>
                <w:szCs w:val="18"/>
              </w:rPr>
              <w:t xml:space="preserve">             209 </w:t>
            </w:r>
          </w:p>
        </w:tc>
      </w:tr>
      <w:tr w:rsidR="00BD77D8" w:rsidRPr="00BD77D8" w14:paraId="6DBC20D2" w14:textId="77777777" w:rsidTr="003057FB">
        <w:trPr>
          <w:trHeight w:val="269"/>
        </w:trPr>
        <w:tc>
          <w:tcPr>
            <w:tcW w:w="0" w:type="auto"/>
            <w:tcBorders>
              <w:top w:val="nil"/>
              <w:left w:val="nil"/>
              <w:bottom w:val="nil"/>
              <w:right w:val="nil"/>
            </w:tcBorders>
            <w:shd w:val="clear" w:color="auto" w:fill="auto"/>
            <w:noWrap/>
            <w:vAlign w:val="bottom"/>
            <w:hideMark/>
          </w:tcPr>
          <w:p w14:paraId="794C859F" w14:textId="77777777" w:rsidR="00B9311E" w:rsidRPr="00BD77D8" w:rsidRDefault="00B9311E" w:rsidP="00B9311E">
            <w:pPr>
              <w:spacing w:after="0" w:line="240" w:lineRule="auto"/>
              <w:rPr>
                <w:sz w:val="18"/>
                <w:szCs w:val="18"/>
              </w:rPr>
            </w:pPr>
            <w:r w:rsidRPr="00BD77D8">
              <w:rPr>
                <w:sz w:val="18"/>
                <w:szCs w:val="18"/>
              </w:rPr>
              <w:t xml:space="preserve"> Impairment losses </w:t>
            </w:r>
          </w:p>
        </w:tc>
        <w:tc>
          <w:tcPr>
            <w:tcW w:w="0" w:type="auto"/>
            <w:tcBorders>
              <w:top w:val="nil"/>
              <w:left w:val="nil"/>
              <w:bottom w:val="nil"/>
              <w:right w:val="nil"/>
            </w:tcBorders>
            <w:shd w:val="clear" w:color="auto" w:fill="auto"/>
            <w:noWrap/>
            <w:vAlign w:val="bottom"/>
            <w:hideMark/>
          </w:tcPr>
          <w:p w14:paraId="07AF1D07"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63F9372F"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0" w:type="auto"/>
            <w:tcBorders>
              <w:top w:val="nil"/>
              <w:left w:val="nil"/>
              <w:bottom w:val="nil"/>
              <w:right w:val="nil"/>
            </w:tcBorders>
            <w:shd w:val="clear" w:color="auto" w:fill="auto"/>
            <w:vAlign w:val="bottom"/>
            <w:hideMark/>
          </w:tcPr>
          <w:p w14:paraId="6AC6F544" w14:textId="77777777" w:rsidR="00B9311E" w:rsidRPr="00BD77D8" w:rsidRDefault="00B9311E" w:rsidP="00B9311E">
            <w:pPr>
              <w:spacing w:after="0" w:line="240" w:lineRule="auto"/>
              <w:jc w:val="right"/>
              <w:rPr>
                <w:sz w:val="18"/>
                <w:szCs w:val="18"/>
              </w:rPr>
            </w:pPr>
            <w:r w:rsidRPr="00BD77D8">
              <w:rPr>
                <w:sz w:val="18"/>
                <w:szCs w:val="18"/>
              </w:rPr>
              <w:t xml:space="preserve">              (52)</w:t>
            </w:r>
          </w:p>
        </w:tc>
      </w:tr>
      <w:tr w:rsidR="00BD77D8" w:rsidRPr="00BD77D8" w14:paraId="0BCBD970" w14:textId="77777777" w:rsidTr="003057FB">
        <w:trPr>
          <w:trHeight w:val="269"/>
        </w:trPr>
        <w:tc>
          <w:tcPr>
            <w:tcW w:w="0" w:type="auto"/>
            <w:tcBorders>
              <w:top w:val="nil"/>
              <w:left w:val="nil"/>
              <w:bottom w:val="nil"/>
              <w:right w:val="nil"/>
            </w:tcBorders>
            <w:shd w:val="clear" w:color="auto" w:fill="auto"/>
            <w:noWrap/>
            <w:vAlign w:val="bottom"/>
            <w:hideMark/>
          </w:tcPr>
          <w:p w14:paraId="65440083" w14:textId="77777777" w:rsidR="00B9311E" w:rsidRPr="00BD77D8" w:rsidRDefault="00B9311E" w:rsidP="00B9311E">
            <w:pPr>
              <w:spacing w:after="0" w:line="240" w:lineRule="auto"/>
              <w:rPr>
                <w:sz w:val="18"/>
                <w:szCs w:val="18"/>
              </w:rPr>
            </w:pPr>
            <w:r w:rsidRPr="00BD77D8">
              <w:rPr>
                <w:sz w:val="18"/>
                <w:szCs w:val="18"/>
              </w:rPr>
              <w:t xml:space="preserve"> Write off of assets </w:t>
            </w:r>
          </w:p>
        </w:tc>
        <w:tc>
          <w:tcPr>
            <w:tcW w:w="0" w:type="auto"/>
            <w:tcBorders>
              <w:top w:val="nil"/>
              <w:left w:val="nil"/>
              <w:bottom w:val="nil"/>
              <w:right w:val="nil"/>
            </w:tcBorders>
            <w:shd w:val="clear" w:color="auto" w:fill="auto"/>
            <w:noWrap/>
            <w:vAlign w:val="bottom"/>
            <w:hideMark/>
          </w:tcPr>
          <w:p w14:paraId="7CD494E7" w14:textId="77777777" w:rsidR="00B9311E" w:rsidRPr="00BD77D8" w:rsidRDefault="00B9311E" w:rsidP="00B9311E">
            <w:pPr>
              <w:spacing w:after="0" w:line="240" w:lineRule="auto"/>
              <w:jc w:val="center"/>
              <w:rPr>
                <w:b/>
                <w:bCs/>
                <w:sz w:val="18"/>
                <w:szCs w:val="18"/>
              </w:rPr>
            </w:pPr>
            <w:r w:rsidRPr="00BD77D8">
              <w:rPr>
                <w:b/>
                <w:bCs/>
                <w:sz w:val="18"/>
                <w:szCs w:val="18"/>
              </w:rPr>
              <w:t xml:space="preserve"> B2-5 </w:t>
            </w:r>
          </w:p>
        </w:tc>
        <w:tc>
          <w:tcPr>
            <w:tcW w:w="0" w:type="auto"/>
            <w:tcBorders>
              <w:top w:val="nil"/>
              <w:left w:val="nil"/>
              <w:bottom w:val="nil"/>
              <w:right w:val="nil"/>
            </w:tcBorders>
            <w:shd w:val="clear" w:color="auto" w:fill="auto"/>
            <w:vAlign w:val="bottom"/>
            <w:hideMark/>
          </w:tcPr>
          <w:p w14:paraId="026150AB" w14:textId="77777777" w:rsidR="00B9311E" w:rsidRPr="00BD77D8" w:rsidRDefault="00B9311E" w:rsidP="00B9311E">
            <w:pPr>
              <w:spacing w:after="0" w:line="240" w:lineRule="auto"/>
              <w:jc w:val="right"/>
              <w:rPr>
                <w:b/>
                <w:bCs/>
                <w:sz w:val="18"/>
                <w:szCs w:val="18"/>
              </w:rPr>
            </w:pPr>
            <w:r w:rsidRPr="00BD77D8">
              <w:rPr>
                <w:b/>
                <w:bCs/>
                <w:sz w:val="18"/>
                <w:szCs w:val="18"/>
              </w:rPr>
              <w:t xml:space="preserve">             814 </w:t>
            </w:r>
          </w:p>
        </w:tc>
        <w:tc>
          <w:tcPr>
            <w:tcW w:w="0" w:type="auto"/>
            <w:tcBorders>
              <w:top w:val="nil"/>
              <w:left w:val="nil"/>
              <w:bottom w:val="nil"/>
              <w:right w:val="nil"/>
            </w:tcBorders>
            <w:shd w:val="clear" w:color="auto" w:fill="auto"/>
            <w:vAlign w:val="bottom"/>
            <w:hideMark/>
          </w:tcPr>
          <w:p w14:paraId="6A604F37"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3781EE33" w14:textId="77777777" w:rsidTr="003057FB">
        <w:trPr>
          <w:trHeight w:val="269"/>
        </w:trPr>
        <w:tc>
          <w:tcPr>
            <w:tcW w:w="0" w:type="auto"/>
            <w:tcBorders>
              <w:top w:val="nil"/>
              <w:left w:val="nil"/>
              <w:bottom w:val="nil"/>
              <w:right w:val="nil"/>
            </w:tcBorders>
            <w:shd w:val="clear" w:color="auto" w:fill="auto"/>
            <w:noWrap/>
            <w:vAlign w:val="bottom"/>
            <w:hideMark/>
          </w:tcPr>
          <w:p w14:paraId="266149BF" w14:textId="77777777" w:rsidR="00B9311E" w:rsidRPr="00BD77D8" w:rsidRDefault="00B9311E" w:rsidP="00B9311E">
            <w:pPr>
              <w:spacing w:after="0" w:line="240" w:lineRule="auto"/>
              <w:rPr>
                <w:b/>
                <w:bCs/>
                <w:i/>
                <w:iCs/>
                <w:sz w:val="18"/>
                <w:szCs w:val="18"/>
              </w:rPr>
            </w:pPr>
            <w:r w:rsidRPr="00BD77D8">
              <w:rPr>
                <w:i/>
                <w:iCs/>
                <w:sz w:val="18"/>
                <w:szCs w:val="18"/>
              </w:rPr>
              <w:t xml:space="preserve"> </w:t>
            </w:r>
            <w:r w:rsidRPr="00BD77D8">
              <w:rPr>
                <w:b/>
                <w:bCs/>
                <w:i/>
                <w:iCs/>
                <w:sz w:val="18"/>
                <w:szCs w:val="18"/>
              </w:rPr>
              <w:t xml:space="preserve">Changes in assets and liabilities </w:t>
            </w:r>
          </w:p>
        </w:tc>
        <w:tc>
          <w:tcPr>
            <w:tcW w:w="0" w:type="auto"/>
            <w:tcBorders>
              <w:top w:val="nil"/>
              <w:left w:val="nil"/>
              <w:bottom w:val="nil"/>
              <w:right w:val="nil"/>
            </w:tcBorders>
            <w:shd w:val="clear" w:color="auto" w:fill="auto"/>
            <w:noWrap/>
            <w:vAlign w:val="bottom"/>
            <w:hideMark/>
          </w:tcPr>
          <w:p w14:paraId="7D56F6BB" w14:textId="77777777" w:rsidR="00B9311E" w:rsidRPr="00BD77D8" w:rsidRDefault="00B9311E" w:rsidP="00B9311E">
            <w:pPr>
              <w:spacing w:after="0" w:line="240" w:lineRule="auto"/>
              <w:rPr>
                <w:i/>
                <w:iCs/>
                <w:sz w:val="18"/>
                <w:szCs w:val="18"/>
              </w:rPr>
            </w:pPr>
          </w:p>
        </w:tc>
        <w:tc>
          <w:tcPr>
            <w:tcW w:w="0" w:type="auto"/>
            <w:tcBorders>
              <w:top w:val="nil"/>
              <w:left w:val="nil"/>
              <w:bottom w:val="nil"/>
              <w:right w:val="nil"/>
            </w:tcBorders>
            <w:shd w:val="clear" w:color="000000" w:fill="FFFFFF"/>
            <w:vAlign w:val="bottom"/>
            <w:hideMark/>
          </w:tcPr>
          <w:p w14:paraId="0C4455AE" w14:textId="77777777" w:rsidR="00B9311E" w:rsidRPr="00BD77D8" w:rsidRDefault="00B9311E" w:rsidP="00B9311E">
            <w:pPr>
              <w:spacing w:after="0" w:line="240" w:lineRule="auto"/>
              <w:jc w:val="center"/>
              <w:rPr>
                <w:b/>
                <w:bCs/>
                <w:sz w:val="18"/>
                <w:szCs w:val="18"/>
              </w:rPr>
            </w:pPr>
            <w:r w:rsidRPr="00BD77D8">
              <w:rPr>
                <w:b/>
                <w:bCs/>
                <w:sz w:val="18"/>
                <w:szCs w:val="18"/>
              </w:rPr>
              <w:t> </w:t>
            </w:r>
          </w:p>
        </w:tc>
        <w:tc>
          <w:tcPr>
            <w:tcW w:w="0" w:type="auto"/>
            <w:tcBorders>
              <w:top w:val="nil"/>
              <w:left w:val="nil"/>
              <w:bottom w:val="nil"/>
              <w:right w:val="nil"/>
            </w:tcBorders>
            <w:shd w:val="clear" w:color="auto" w:fill="auto"/>
            <w:vAlign w:val="bottom"/>
            <w:hideMark/>
          </w:tcPr>
          <w:p w14:paraId="34979D7F" w14:textId="77777777" w:rsidR="00B9311E" w:rsidRPr="00BD77D8" w:rsidRDefault="00B9311E" w:rsidP="00B9311E">
            <w:pPr>
              <w:spacing w:after="0" w:line="240" w:lineRule="auto"/>
              <w:jc w:val="center"/>
              <w:rPr>
                <w:sz w:val="18"/>
                <w:szCs w:val="18"/>
              </w:rPr>
            </w:pPr>
          </w:p>
        </w:tc>
      </w:tr>
      <w:tr w:rsidR="00BD77D8" w:rsidRPr="00BD77D8" w14:paraId="024B536E" w14:textId="77777777" w:rsidTr="003057FB">
        <w:trPr>
          <w:trHeight w:val="269"/>
        </w:trPr>
        <w:tc>
          <w:tcPr>
            <w:tcW w:w="0" w:type="auto"/>
            <w:tcBorders>
              <w:top w:val="nil"/>
              <w:left w:val="nil"/>
              <w:bottom w:val="nil"/>
              <w:right w:val="nil"/>
            </w:tcBorders>
            <w:shd w:val="clear" w:color="auto" w:fill="auto"/>
            <w:noWrap/>
            <w:vAlign w:val="bottom"/>
            <w:hideMark/>
          </w:tcPr>
          <w:p w14:paraId="0E9BE4EF" w14:textId="77777777" w:rsidR="00B9311E" w:rsidRPr="00BD77D8" w:rsidRDefault="00B9311E" w:rsidP="00B9311E">
            <w:pPr>
              <w:spacing w:after="0" w:line="240" w:lineRule="auto"/>
              <w:rPr>
                <w:sz w:val="18"/>
                <w:szCs w:val="18"/>
              </w:rPr>
            </w:pPr>
            <w:r w:rsidRPr="00BD77D8">
              <w:rPr>
                <w:sz w:val="18"/>
                <w:szCs w:val="18"/>
              </w:rPr>
              <w:t xml:space="preserve"> (Increase) decrease in GST input tax credits receivable </w:t>
            </w:r>
          </w:p>
        </w:tc>
        <w:tc>
          <w:tcPr>
            <w:tcW w:w="0" w:type="auto"/>
            <w:tcBorders>
              <w:top w:val="nil"/>
              <w:left w:val="nil"/>
              <w:bottom w:val="nil"/>
              <w:right w:val="nil"/>
            </w:tcBorders>
            <w:shd w:val="clear" w:color="auto" w:fill="auto"/>
            <w:noWrap/>
            <w:vAlign w:val="bottom"/>
            <w:hideMark/>
          </w:tcPr>
          <w:p w14:paraId="0DAA6677"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5D299B33" w14:textId="77777777" w:rsidR="00B9311E" w:rsidRPr="00BD77D8" w:rsidRDefault="00B9311E" w:rsidP="00B9311E">
            <w:pPr>
              <w:spacing w:after="0" w:line="240" w:lineRule="auto"/>
              <w:jc w:val="right"/>
              <w:rPr>
                <w:b/>
                <w:bCs/>
                <w:sz w:val="18"/>
                <w:szCs w:val="18"/>
              </w:rPr>
            </w:pPr>
            <w:r w:rsidRPr="00BD77D8">
              <w:rPr>
                <w:b/>
                <w:bCs/>
                <w:sz w:val="18"/>
                <w:szCs w:val="18"/>
              </w:rPr>
              <w:t xml:space="preserve">            (228)</w:t>
            </w:r>
          </w:p>
        </w:tc>
        <w:tc>
          <w:tcPr>
            <w:tcW w:w="0" w:type="auto"/>
            <w:tcBorders>
              <w:top w:val="nil"/>
              <w:left w:val="nil"/>
              <w:bottom w:val="nil"/>
              <w:right w:val="nil"/>
            </w:tcBorders>
            <w:shd w:val="clear" w:color="auto" w:fill="auto"/>
            <w:vAlign w:val="bottom"/>
            <w:hideMark/>
          </w:tcPr>
          <w:p w14:paraId="2033E7AB" w14:textId="77777777" w:rsidR="00B9311E" w:rsidRPr="00BD77D8" w:rsidRDefault="00B9311E" w:rsidP="00B9311E">
            <w:pPr>
              <w:spacing w:after="0" w:line="240" w:lineRule="auto"/>
              <w:jc w:val="right"/>
              <w:rPr>
                <w:sz w:val="18"/>
                <w:szCs w:val="18"/>
              </w:rPr>
            </w:pPr>
            <w:r w:rsidRPr="00BD77D8">
              <w:rPr>
                <w:sz w:val="18"/>
                <w:szCs w:val="18"/>
              </w:rPr>
              <w:t xml:space="preserve">             672 </w:t>
            </w:r>
          </w:p>
        </w:tc>
      </w:tr>
      <w:tr w:rsidR="00BD77D8" w:rsidRPr="00BD77D8" w14:paraId="0178E914" w14:textId="77777777" w:rsidTr="003057FB">
        <w:trPr>
          <w:trHeight w:val="269"/>
        </w:trPr>
        <w:tc>
          <w:tcPr>
            <w:tcW w:w="0" w:type="auto"/>
            <w:tcBorders>
              <w:top w:val="nil"/>
              <w:left w:val="nil"/>
              <w:bottom w:val="nil"/>
              <w:right w:val="nil"/>
            </w:tcBorders>
            <w:shd w:val="clear" w:color="auto" w:fill="auto"/>
            <w:noWrap/>
            <w:vAlign w:val="bottom"/>
            <w:hideMark/>
          </w:tcPr>
          <w:p w14:paraId="1ECC614E" w14:textId="77777777" w:rsidR="00B9311E" w:rsidRPr="00BD77D8" w:rsidRDefault="00B9311E" w:rsidP="00B9311E">
            <w:pPr>
              <w:spacing w:after="0" w:line="240" w:lineRule="auto"/>
              <w:rPr>
                <w:sz w:val="18"/>
                <w:szCs w:val="18"/>
              </w:rPr>
            </w:pPr>
            <w:r w:rsidRPr="00BD77D8">
              <w:rPr>
                <w:sz w:val="18"/>
                <w:szCs w:val="18"/>
              </w:rPr>
              <w:t xml:space="preserve"> (Increase) decrease in trade receivables </w:t>
            </w:r>
          </w:p>
        </w:tc>
        <w:tc>
          <w:tcPr>
            <w:tcW w:w="0" w:type="auto"/>
            <w:tcBorders>
              <w:top w:val="nil"/>
              <w:left w:val="nil"/>
              <w:bottom w:val="nil"/>
              <w:right w:val="nil"/>
            </w:tcBorders>
            <w:shd w:val="clear" w:color="auto" w:fill="auto"/>
            <w:noWrap/>
            <w:vAlign w:val="bottom"/>
            <w:hideMark/>
          </w:tcPr>
          <w:p w14:paraId="21BDA59D"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03872BF7" w14:textId="77777777" w:rsidR="00B9311E" w:rsidRPr="00BD77D8" w:rsidRDefault="00B9311E" w:rsidP="00B9311E">
            <w:pPr>
              <w:spacing w:after="0" w:line="240" w:lineRule="auto"/>
              <w:jc w:val="right"/>
              <w:rPr>
                <w:b/>
                <w:bCs/>
                <w:sz w:val="18"/>
                <w:szCs w:val="18"/>
              </w:rPr>
            </w:pPr>
            <w:r w:rsidRPr="00BD77D8">
              <w:rPr>
                <w:b/>
                <w:bCs/>
                <w:sz w:val="18"/>
                <w:szCs w:val="18"/>
              </w:rPr>
              <w:t xml:space="preserve">        (1,025)</w:t>
            </w:r>
          </w:p>
        </w:tc>
        <w:tc>
          <w:tcPr>
            <w:tcW w:w="0" w:type="auto"/>
            <w:tcBorders>
              <w:top w:val="nil"/>
              <w:left w:val="nil"/>
              <w:bottom w:val="nil"/>
              <w:right w:val="nil"/>
            </w:tcBorders>
            <w:shd w:val="clear" w:color="auto" w:fill="auto"/>
            <w:vAlign w:val="bottom"/>
            <w:hideMark/>
          </w:tcPr>
          <w:p w14:paraId="73AE517C" w14:textId="77777777" w:rsidR="00B9311E" w:rsidRPr="00BD77D8" w:rsidRDefault="00B9311E" w:rsidP="00B9311E">
            <w:pPr>
              <w:spacing w:after="0" w:line="240" w:lineRule="auto"/>
              <w:jc w:val="right"/>
              <w:rPr>
                <w:sz w:val="18"/>
                <w:szCs w:val="18"/>
              </w:rPr>
            </w:pPr>
            <w:r w:rsidRPr="00BD77D8">
              <w:rPr>
                <w:sz w:val="18"/>
                <w:szCs w:val="18"/>
              </w:rPr>
              <w:t xml:space="preserve">             494 </w:t>
            </w:r>
          </w:p>
        </w:tc>
      </w:tr>
      <w:tr w:rsidR="00BD77D8" w:rsidRPr="00BD77D8" w14:paraId="7F2B8F3C" w14:textId="77777777" w:rsidTr="003057FB">
        <w:trPr>
          <w:trHeight w:val="269"/>
        </w:trPr>
        <w:tc>
          <w:tcPr>
            <w:tcW w:w="0" w:type="auto"/>
            <w:tcBorders>
              <w:top w:val="nil"/>
              <w:left w:val="nil"/>
              <w:bottom w:val="nil"/>
              <w:right w:val="nil"/>
            </w:tcBorders>
            <w:shd w:val="clear" w:color="auto" w:fill="auto"/>
            <w:noWrap/>
            <w:vAlign w:val="bottom"/>
            <w:hideMark/>
          </w:tcPr>
          <w:p w14:paraId="16924E74" w14:textId="77777777" w:rsidR="00B9311E" w:rsidRPr="00BD77D8" w:rsidRDefault="00B9311E" w:rsidP="00B9311E">
            <w:pPr>
              <w:spacing w:after="0" w:line="240" w:lineRule="auto"/>
              <w:rPr>
                <w:sz w:val="18"/>
                <w:szCs w:val="18"/>
              </w:rPr>
            </w:pPr>
            <w:r w:rsidRPr="00BD77D8">
              <w:rPr>
                <w:sz w:val="18"/>
                <w:szCs w:val="18"/>
              </w:rPr>
              <w:t xml:space="preserve"> (Increase) decrease in other current receivables </w:t>
            </w:r>
          </w:p>
        </w:tc>
        <w:tc>
          <w:tcPr>
            <w:tcW w:w="0" w:type="auto"/>
            <w:tcBorders>
              <w:top w:val="nil"/>
              <w:left w:val="nil"/>
              <w:bottom w:val="nil"/>
              <w:right w:val="nil"/>
            </w:tcBorders>
            <w:shd w:val="clear" w:color="auto" w:fill="auto"/>
            <w:noWrap/>
            <w:vAlign w:val="bottom"/>
            <w:hideMark/>
          </w:tcPr>
          <w:p w14:paraId="05D875BD"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5C29781D"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0" w:type="auto"/>
            <w:tcBorders>
              <w:top w:val="nil"/>
              <w:left w:val="nil"/>
              <w:bottom w:val="nil"/>
              <w:right w:val="nil"/>
            </w:tcBorders>
            <w:shd w:val="clear" w:color="auto" w:fill="auto"/>
            <w:vAlign w:val="bottom"/>
            <w:hideMark/>
          </w:tcPr>
          <w:p w14:paraId="3DF1C551" w14:textId="77777777" w:rsidR="00B9311E" w:rsidRPr="00BD77D8" w:rsidRDefault="00B9311E" w:rsidP="00B9311E">
            <w:pPr>
              <w:spacing w:after="0" w:line="240" w:lineRule="auto"/>
              <w:jc w:val="right"/>
              <w:rPr>
                <w:sz w:val="18"/>
                <w:szCs w:val="18"/>
              </w:rPr>
            </w:pPr>
            <w:r w:rsidRPr="00BD77D8">
              <w:rPr>
                <w:sz w:val="18"/>
                <w:szCs w:val="18"/>
              </w:rPr>
              <w:t xml:space="preserve">             182 </w:t>
            </w:r>
          </w:p>
        </w:tc>
      </w:tr>
      <w:tr w:rsidR="00BD77D8" w:rsidRPr="00BD77D8" w14:paraId="3BDE5005" w14:textId="77777777" w:rsidTr="003057FB">
        <w:trPr>
          <w:trHeight w:val="269"/>
        </w:trPr>
        <w:tc>
          <w:tcPr>
            <w:tcW w:w="0" w:type="auto"/>
            <w:tcBorders>
              <w:top w:val="nil"/>
              <w:left w:val="nil"/>
              <w:bottom w:val="nil"/>
              <w:right w:val="nil"/>
            </w:tcBorders>
            <w:shd w:val="clear" w:color="auto" w:fill="auto"/>
            <w:noWrap/>
            <w:vAlign w:val="bottom"/>
            <w:hideMark/>
          </w:tcPr>
          <w:p w14:paraId="4522F6B2" w14:textId="77777777" w:rsidR="00B9311E" w:rsidRPr="00BD77D8" w:rsidRDefault="00B9311E" w:rsidP="00B9311E">
            <w:pPr>
              <w:spacing w:after="0" w:line="240" w:lineRule="auto"/>
              <w:rPr>
                <w:sz w:val="18"/>
                <w:szCs w:val="18"/>
              </w:rPr>
            </w:pPr>
            <w:r w:rsidRPr="00BD77D8">
              <w:rPr>
                <w:sz w:val="18"/>
                <w:szCs w:val="18"/>
              </w:rPr>
              <w:t xml:space="preserve"> (Increase) decrease in other assets </w:t>
            </w:r>
          </w:p>
        </w:tc>
        <w:tc>
          <w:tcPr>
            <w:tcW w:w="0" w:type="auto"/>
            <w:tcBorders>
              <w:top w:val="nil"/>
              <w:left w:val="nil"/>
              <w:bottom w:val="nil"/>
              <w:right w:val="nil"/>
            </w:tcBorders>
            <w:shd w:val="clear" w:color="auto" w:fill="auto"/>
            <w:noWrap/>
            <w:vAlign w:val="bottom"/>
            <w:hideMark/>
          </w:tcPr>
          <w:p w14:paraId="695ED4EA"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761B156F" w14:textId="77777777" w:rsidR="00B9311E" w:rsidRPr="00BD77D8" w:rsidRDefault="00B9311E" w:rsidP="00B9311E">
            <w:pPr>
              <w:spacing w:after="0" w:line="240" w:lineRule="auto"/>
              <w:jc w:val="right"/>
              <w:rPr>
                <w:b/>
                <w:bCs/>
                <w:sz w:val="18"/>
                <w:szCs w:val="18"/>
              </w:rPr>
            </w:pPr>
            <w:r w:rsidRPr="00BD77D8">
              <w:rPr>
                <w:b/>
                <w:bCs/>
                <w:sz w:val="18"/>
                <w:szCs w:val="18"/>
              </w:rPr>
              <w:t xml:space="preserve">             791 </w:t>
            </w:r>
          </w:p>
        </w:tc>
        <w:tc>
          <w:tcPr>
            <w:tcW w:w="0" w:type="auto"/>
            <w:tcBorders>
              <w:top w:val="nil"/>
              <w:left w:val="nil"/>
              <w:bottom w:val="nil"/>
              <w:right w:val="nil"/>
            </w:tcBorders>
            <w:shd w:val="clear" w:color="auto" w:fill="auto"/>
            <w:vAlign w:val="bottom"/>
            <w:hideMark/>
          </w:tcPr>
          <w:p w14:paraId="081229E8" w14:textId="77777777" w:rsidR="00B9311E" w:rsidRPr="00BD77D8" w:rsidRDefault="00B9311E" w:rsidP="00B9311E">
            <w:pPr>
              <w:spacing w:after="0" w:line="240" w:lineRule="auto"/>
              <w:jc w:val="right"/>
              <w:rPr>
                <w:sz w:val="18"/>
                <w:szCs w:val="18"/>
              </w:rPr>
            </w:pPr>
            <w:r w:rsidRPr="00BD77D8">
              <w:rPr>
                <w:sz w:val="18"/>
                <w:szCs w:val="18"/>
              </w:rPr>
              <w:t xml:space="preserve">             572 </w:t>
            </w:r>
          </w:p>
        </w:tc>
      </w:tr>
      <w:tr w:rsidR="00BD77D8" w:rsidRPr="00BD77D8" w14:paraId="5049DE83" w14:textId="77777777" w:rsidTr="003057FB">
        <w:trPr>
          <w:trHeight w:val="269"/>
        </w:trPr>
        <w:tc>
          <w:tcPr>
            <w:tcW w:w="0" w:type="auto"/>
            <w:tcBorders>
              <w:top w:val="nil"/>
              <w:left w:val="nil"/>
              <w:bottom w:val="nil"/>
              <w:right w:val="nil"/>
            </w:tcBorders>
            <w:shd w:val="clear" w:color="auto" w:fill="auto"/>
            <w:noWrap/>
            <w:vAlign w:val="bottom"/>
            <w:hideMark/>
          </w:tcPr>
          <w:p w14:paraId="5AB0A622" w14:textId="77777777" w:rsidR="00B9311E" w:rsidRPr="00BD77D8" w:rsidRDefault="00B9311E" w:rsidP="00B9311E">
            <w:pPr>
              <w:spacing w:after="0" w:line="240" w:lineRule="auto"/>
              <w:rPr>
                <w:sz w:val="18"/>
                <w:szCs w:val="18"/>
              </w:rPr>
            </w:pPr>
            <w:r w:rsidRPr="00BD77D8">
              <w:rPr>
                <w:sz w:val="18"/>
                <w:szCs w:val="18"/>
              </w:rPr>
              <w:t xml:space="preserve"> Increase (decrease) in payables </w:t>
            </w:r>
          </w:p>
        </w:tc>
        <w:tc>
          <w:tcPr>
            <w:tcW w:w="0" w:type="auto"/>
            <w:tcBorders>
              <w:top w:val="nil"/>
              <w:left w:val="nil"/>
              <w:bottom w:val="nil"/>
              <w:right w:val="nil"/>
            </w:tcBorders>
            <w:shd w:val="clear" w:color="auto" w:fill="auto"/>
            <w:noWrap/>
            <w:vAlign w:val="bottom"/>
            <w:hideMark/>
          </w:tcPr>
          <w:p w14:paraId="45E249C8"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153558EC" w14:textId="77777777" w:rsidR="00B9311E" w:rsidRPr="00BD77D8" w:rsidRDefault="00B9311E" w:rsidP="00B9311E">
            <w:pPr>
              <w:spacing w:after="0" w:line="240" w:lineRule="auto"/>
              <w:jc w:val="right"/>
              <w:rPr>
                <w:b/>
                <w:bCs/>
                <w:sz w:val="18"/>
                <w:szCs w:val="18"/>
              </w:rPr>
            </w:pPr>
            <w:r w:rsidRPr="00BD77D8">
              <w:rPr>
                <w:b/>
                <w:bCs/>
                <w:sz w:val="18"/>
                <w:szCs w:val="18"/>
              </w:rPr>
              <w:t xml:space="preserve">      (11,263)</w:t>
            </w:r>
          </w:p>
        </w:tc>
        <w:tc>
          <w:tcPr>
            <w:tcW w:w="0" w:type="auto"/>
            <w:tcBorders>
              <w:top w:val="nil"/>
              <w:left w:val="nil"/>
              <w:bottom w:val="nil"/>
              <w:right w:val="nil"/>
            </w:tcBorders>
            <w:shd w:val="clear" w:color="auto" w:fill="auto"/>
            <w:vAlign w:val="bottom"/>
            <w:hideMark/>
          </w:tcPr>
          <w:p w14:paraId="3AA1125A" w14:textId="77777777" w:rsidR="00B9311E" w:rsidRPr="00BD77D8" w:rsidRDefault="00B9311E" w:rsidP="00B9311E">
            <w:pPr>
              <w:spacing w:after="0" w:line="240" w:lineRule="auto"/>
              <w:jc w:val="right"/>
              <w:rPr>
                <w:sz w:val="18"/>
                <w:szCs w:val="18"/>
              </w:rPr>
            </w:pPr>
            <w:r w:rsidRPr="00BD77D8">
              <w:rPr>
                <w:sz w:val="18"/>
                <w:szCs w:val="18"/>
              </w:rPr>
              <w:t xml:space="preserve">          4,235 </w:t>
            </w:r>
          </w:p>
        </w:tc>
      </w:tr>
      <w:tr w:rsidR="00BD77D8" w:rsidRPr="00BD77D8" w14:paraId="35FD413C" w14:textId="77777777" w:rsidTr="003057FB">
        <w:trPr>
          <w:trHeight w:val="269"/>
        </w:trPr>
        <w:tc>
          <w:tcPr>
            <w:tcW w:w="0" w:type="auto"/>
            <w:tcBorders>
              <w:top w:val="nil"/>
              <w:left w:val="nil"/>
              <w:bottom w:val="nil"/>
              <w:right w:val="nil"/>
            </w:tcBorders>
            <w:shd w:val="clear" w:color="auto" w:fill="auto"/>
            <w:noWrap/>
            <w:vAlign w:val="bottom"/>
            <w:hideMark/>
          </w:tcPr>
          <w:p w14:paraId="3CEA1CEF" w14:textId="77777777" w:rsidR="00B9311E" w:rsidRPr="00BD77D8" w:rsidRDefault="00B9311E" w:rsidP="00B9311E">
            <w:pPr>
              <w:spacing w:after="0" w:line="240" w:lineRule="auto"/>
              <w:rPr>
                <w:sz w:val="18"/>
                <w:szCs w:val="18"/>
              </w:rPr>
            </w:pPr>
            <w:r w:rsidRPr="00BD77D8">
              <w:rPr>
                <w:sz w:val="18"/>
                <w:szCs w:val="18"/>
              </w:rPr>
              <w:t xml:space="preserve"> Increase (decrease) in accrued employee benefits </w:t>
            </w:r>
          </w:p>
        </w:tc>
        <w:tc>
          <w:tcPr>
            <w:tcW w:w="0" w:type="auto"/>
            <w:tcBorders>
              <w:top w:val="nil"/>
              <w:left w:val="nil"/>
              <w:bottom w:val="nil"/>
              <w:right w:val="nil"/>
            </w:tcBorders>
            <w:shd w:val="clear" w:color="auto" w:fill="auto"/>
            <w:noWrap/>
            <w:vAlign w:val="bottom"/>
            <w:hideMark/>
          </w:tcPr>
          <w:p w14:paraId="7C64D264"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42E830CD" w14:textId="77777777" w:rsidR="00B9311E" w:rsidRPr="00BD77D8" w:rsidRDefault="00B9311E" w:rsidP="00B9311E">
            <w:pPr>
              <w:spacing w:after="0" w:line="240" w:lineRule="auto"/>
              <w:jc w:val="right"/>
              <w:rPr>
                <w:b/>
                <w:bCs/>
                <w:sz w:val="18"/>
                <w:szCs w:val="18"/>
              </w:rPr>
            </w:pPr>
            <w:r w:rsidRPr="00BD77D8">
              <w:rPr>
                <w:b/>
                <w:bCs/>
                <w:sz w:val="18"/>
                <w:szCs w:val="18"/>
              </w:rPr>
              <w:t xml:space="preserve">             450 </w:t>
            </w:r>
          </w:p>
        </w:tc>
        <w:tc>
          <w:tcPr>
            <w:tcW w:w="0" w:type="auto"/>
            <w:tcBorders>
              <w:top w:val="nil"/>
              <w:left w:val="nil"/>
              <w:bottom w:val="nil"/>
              <w:right w:val="nil"/>
            </w:tcBorders>
            <w:shd w:val="clear" w:color="auto" w:fill="auto"/>
            <w:vAlign w:val="bottom"/>
            <w:hideMark/>
          </w:tcPr>
          <w:p w14:paraId="60A506A8" w14:textId="77777777" w:rsidR="00B9311E" w:rsidRPr="00BD77D8" w:rsidRDefault="00B9311E" w:rsidP="00B9311E">
            <w:pPr>
              <w:spacing w:after="0" w:line="240" w:lineRule="auto"/>
              <w:jc w:val="right"/>
              <w:rPr>
                <w:sz w:val="18"/>
                <w:szCs w:val="18"/>
              </w:rPr>
            </w:pPr>
            <w:r w:rsidRPr="00BD77D8">
              <w:rPr>
                <w:sz w:val="18"/>
                <w:szCs w:val="18"/>
              </w:rPr>
              <w:t xml:space="preserve">            (647)</w:t>
            </w:r>
          </w:p>
        </w:tc>
      </w:tr>
      <w:tr w:rsidR="00BD77D8" w:rsidRPr="00BD77D8" w14:paraId="0414CB05" w14:textId="77777777" w:rsidTr="003057FB">
        <w:trPr>
          <w:trHeight w:val="269"/>
        </w:trPr>
        <w:tc>
          <w:tcPr>
            <w:tcW w:w="0" w:type="auto"/>
            <w:tcBorders>
              <w:top w:val="nil"/>
              <w:left w:val="nil"/>
              <w:bottom w:val="nil"/>
              <w:right w:val="nil"/>
            </w:tcBorders>
            <w:shd w:val="clear" w:color="auto" w:fill="auto"/>
            <w:noWrap/>
            <w:vAlign w:val="bottom"/>
            <w:hideMark/>
          </w:tcPr>
          <w:p w14:paraId="4FBC6B58" w14:textId="77777777" w:rsidR="00B9311E" w:rsidRPr="00BD77D8" w:rsidRDefault="00B9311E" w:rsidP="00B9311E">
            <w:pPr>
              <w:spacing w:after="0" w:line="240" w:lineRule="auto"/>
              <w:rPr>
                <w:sz w:val="18"/>
                <w:szCs w:val="18"/>
              </w:rPr>
            </w:pPr>
            <w:r w:rsidRPr="00BD77D8">
              <w:rPr>
                <w:sz w:val="18"/>
                <w:szCs w:val="18"/>
              </w:rPr>
              <w:t xml:space="preserve"> Increase (decrease) in provisions </w:t>
            </w:r>
          </w:p>
        </w:tc>
        <w:tc>
          <w:tcPr>
            <w:tcW w:w="0" w:type="auto"/>
            <w:tcBorders>
              <w:top w:val="nil"/>
              <w:left w:val="nil"/>
              <w:bottom w:val="nil"/>
              <w:right w:val="nil"/>
            </w:tcBorders>
            <w:shd w:val="clear" w:color="auto" w:fill="auto"/>
            <w:noWrap/>
            <w:vAlign w:val="bottom"/>
            <w:hideMark/>
          </w:tcPr>
          <w:p w14:paraId="0A6EF2ED"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5D6A2D69" w14:textId="77777777" w:rsidR="00B9311E" w:rsidRPr="00BD77D8" w:rsidRDefault="00B9311E" w:rsidP="00B9311E">
            <w:pPr>
              <w:spacing w:after="0" w:line="240" w:lineRule="auto"/>
              <w:jc w:val="right"/>
              <w:rPr>
                <w:b/>
                <w:bCs/>
                <w:sz w:val="18"/>
                <w:szCs w:val="18"/>
              </w:rPr>
            </w:pPr>
            <w:r w:rsidRPr="00BD77D8">
              <w:rPr>
                <w:b/>
                <w:bCs/>
                <w:sz w:val="18"/>
                <w:szCs w:val="18"/>
              </w:rPr>
              <w:t xml:space="preserve">            (119)</w:t>
            </w:r>
          </w:p>
        </w:tc>
        <w:tc>
          <w:tcPr>
            <w:tcW w:w="0" w:type="auto"/>
            <w:tcBorders>
              <w:top w:val="nil"/>
              <w:left w:val="nil"/>
              <w:bottom w:val="nil"/>
              <w:right w:val="nil"/>
            </w:tcBorders>
            <w:shd w:val="clear" w:color="auto" w:fill="auto"/>
            <w:vAlign w:val="bottom"/>
            <w:hideMark/>
          </w:tcPr>
          <w:p w14:paraId="4D5D01A4" w14:textId="77777777" w:rsidR="00B9311E" w:rsidRPr="00BD77D8" w:rsidRDefault="00B9311E" w:rsidP="00B9311E">
            <w:pPr>
              <w:spacing w:after="0" w:line="240" w:lineRule="auto"/>
              <w:jc w:val="right"/>
              <w:rPr>
                <w:sz w:val="18"/>
                <w:szCs w:val="18"/>
              </w:rPr>
            </w:pPr>
            <w:r w:rsidRPr="00BD77D8">
              <w:rPr>
                <w:sz w:val="18"/>
                <w:szCs w:val="18"/>
              </w:rPr>
              <w:t xml:space="preserve">        (2,382)</w:t>
            </w:r>
          </w:p>
        </w:tc>
      </w:tr>
      <w:tr w:rsidR="00BD77D8" w:rsidRPr="00BD77D8" w14:paraId="6C2E0550" w14:textId="77777777" w:rsidTr="003057FB">
        <w:trPr>
          <w:trHeight w:val="269"/>
        </w:trPr>
        <w:tc>
          <w:tcPr>
            <w:tcW w:w="0" w:type="auto"/>
            <w:tcBorders>
              <w:top w:val="nil"/>
              <w:left w:val="nil"/>
              <w:bottom w:val="nil"/>
              <w:right w:val="nil"/>
            </w:tcBorders>
            <w:shd w:val="clear" w:color="auto" w:fill="auto"/>
            <w:noWrap/>
            <w:vAlign w:val="bottom"/>
            <w:hideMark/>
          </w:tcPr>
          <w:p w14:paraId="2CBD3B83" w14:textId="77777777" w:rsidR="00B9311E" w:rsidRPr="00BD77D8" w:rsidRDefault="00B9311E" w:rsidP="00B9311E">
            <w:pPr>
              <w:spacing w:after="0" w:line="240" w:lineRule="auto"/>
              <w:rPr>
                <w:sz w:val="18"/>
                <w:szCs w:val="18"/>
              </w:rPr>
            </w:pPr>
            <w:r w:rsidRPr="00BD77D8">
              <w:rPr>
                <w:sz w:val="18"/>
                <w:szCs w:val="18"/>
              </w:rPr>
              <w:t xml:space="preserve"> Increase (decrease) in other liabilities </w:t>
            </w:r>
          </w:p>
        </w:tc>
        <w:tc>
          <w:tcPr>
            <w:tcW w:w="0" w:type="auto"/>
            <w:tcBorders>
              <w:top w:val="nil"/>
              <w:left w:val="nil"/>
              <w:bottom w:val="nil"/>
              <w:right w:val="nil"/>
            </w:tcBorders>
            <w:shd w:val="clear" w:color="auto" w:fill="auto"/>
            <w:noWrap/>
            <w:vAlign w:val="bottom"/>
            <w:hideMark/>
          </w:tcPr>
          <w:p w14:paraId="72A0C902"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vAlign w:val="bottom"/>
            <w:hideMark/>
          </w:tcPr>
          <w:p w14:paraId="1D4C4951" w14:textId="77777777" w:rsidR="00B9311E" w:rsidRPr="00BD77D8" w:rsidRDefault="00B9311E" w:rsidP="00B9311E">
            <w:pPr>
              <w:spacing w:after="0" w:line="240" w:lineRule="auto"/>
              <w:jc w:val="right"/>
              <w:rPr>
                <w:b/>
                <w:bCs/>
                <w:sz w:val="18"/>
                <w:szCs w:val="18"/>
              </w:rPr>
            </w:pPr>
            <w:r w:rsidRPr="00BD77D8">
              <w:rPr>
                <w:b/>
                <w:bCs/>
                <w:sz w:val="18"/>
                <w:szCs w:val="18"/>
              </w:rPr>
              <w:t xml:space="preserve">             491 </w:t>
            </w:r>
          </w:p>
        </w:tc>
        <w:tc>
          <w:tcPr>
            <w:tcW w:w="0" w:type="auto"/>
            <w:tcBorders>
              <w:top w:val="nil"/>
              <w:left w:val="nil"/>
              <w:bottom w:val="nil"/>
              <w:right w:val="nil"/>
            </w:tcBorders>
            <w:shd w:val="clear" w:color="auto" w:fill="auto"/>
            <w:vAlign w:val="bottom"/>
            <w:hideMark/>
          </w:tcPr>
          <w:p w14:paraId="12A55802" w14:textId="77777777" w:rsidR="00B9311E" w:rsidRPr="00BD77D8" w:rsidRDefault="00B9311E" w:rsidP="00B9311E">
            <w:pPr>
              <w:spacing w:after="0" w:line="240" w:lineRule="auto"/>
              <w:jc w:val="right"/>
              <w:rPr>
                <w:sz w:val="18"/>
                <w:szCs w:val="18"/>
              </w:rPr>
            </w:pPr>
            <w:r w:rsidRPr="00BD77D8">
              <w:rPr>
                <w:sz w:val="18"/>
                <w:szCs w:val="18"/>
              </w:rPr>
              <w:t xml:space="preserve">        (8,984)</w:t>
            </w:r>
          </w:p>
        </w:tc>
      </w:tr>
      <w:tr w:rsidR="00BD77D8" w:rsidRPr="00BD77D8" w14:paraId="2EBCF9FA" w14:textId="77777777" w:rsidTr="003057FB">
        <w:trPr>
          <w:trHeight w:val="269"/>
        </w:trPr>
        <w:tc>
          <w:tcPr>
            <w:tcW w:w="0" w:type="auto"/>
            <w:tcBorders>
              <w:top w:val="nil"/>
              <w:left w:val="nil"/>
              <w:bottom w:val="nil"/>
              <w:right w:val="nil"/>
            </w:tcBorders>
            <w:shd w:val="clear" w:color="auto" w:fill="auto"/>
            <w:noWrap/>
            <w:vAlign w:val="bottom"/>
            <w:hideMark/>
          </w:tcPr>
          <w:p w14:paraId="3C8EBDEE" w14:textId="77777777" w:rsidR="00B9311E" w:rsidRPr="00BD77D8" w:rsidRDefault="00B9311E" w:rsidP="00B9311E">
            <w:pPr>
              <w:spacing w:after="0" w:line="240" w:lineRule="auto"/>
              <w:rPr>
                <w:b/>
                <w:bCs/>
                <w:sz w:val="18"/>
                <w:szCs w:val="18"/>
              </w:rPr>
            </w:pPr>
            <w:r w:rsidRPr="00BD77D8">
              <w:rPr>
                <w:b/>
                <w:bCs/>
                <w:sz w:val="18"/>
                <w:szCs w:val="18"/>
              </w:rPr>
              <w:t xml:space="preserve"> Net Cash Provided by (Used in) Operating Activities </w:t>
            </w:r>
          </w:p>
        </w:tc>
        <w:tc>
          <w:tcPr>
            <w:tcW w:w="0" w:type="auto"/>
            <w:tcBorders>
              <w:top w:val="nil"/>
              <w:left w:val="nil"/>
              <w:bottom w:val="nil"/>
              <w:right w:val="nil"/>
            </w:tcBorders>
            <w:shd w:val="clear" w:color="auto" w:fill="auto"/>
            <w:noWrap/>
            <w:vAlign w:val="bottom"/>
            <w:hideMark/>
          </w:tcPr>
          <w:p w14:paraId="4B1934A5" w14:textId="77777777" w:rsidR="00B9311E" w:rsidRPr="00BD77D8" w:rsidRDefault="00B9311E" w:rsidP="00B9311E">
            <w:pPr>
              <w:spacing w:after="0" w:line="240" w:lineRule="auto"/>
              <w:rPr>
                <w:b/>
                <w:bCs/>
                <w:sz w:val="18"/>
                <w:szCs w:val="18"/>
              </w:rPr>
            </w:pPr>
          </w:p>
        </w:tc>
        <w:tc>
          <w:tcPr>
            <w:tcW w:w="0" w:type="auto"/>
            <w:tcBorders>
              <w:top w:val="single" w:sz="4" w:space="0" w:color="auto"/>
              <w:left w:val="nil"/>
              <w:bottom w:val="single" w:sz="4" w:space="0" w:color="auto"/>
              <w:right w:val="nil"/>
            </w:tcBorders>
            <w:shd w:val="clear" w:color="auto" w:fill="auto"/>
            <w:vAlign w:val="bottom"/>
            <w:hideMark/>
          </w:tcPr>
          <w:p w14:paraId="210567F9" w14:textId="77777777" w:rsidR="00B9311E" w:rsidRPr="00BD77D8" w:rsidRDefault="00B9311E" w:rsidP="00B9311E">
            <w:pPr>
              <w:spacing w:after="0" w:line="240" w:lineRule="auto"/>
              <w:jc w:val="right"/>
              <w:rPr>
                <w:b/>
                <w:bCs/>
                <w:sz w:val="18"/>
                <w:szCs w:val="18"/>
              </w:rPr>
            </w:pPr>
            <w:r w:rsidRPr="00BD77D8">
              <w:rPr>
                <w:b/>
                <w:bCs/>
                <w:sz w:val="18"/>
                <w:szCs w:val="18"/>
              </w:rPr>
              <w:t xml:space="preserve">        (3,680)</w:t>
            </w:r>
          </w:p>
        </w:tc>
        <w:tc>
          <w:tcPr>
            <w:tcW w:w="0" w:type="auto"/>
            <w:tcBorders>
              <w:top w:val="single" w:sz="4" w:space="0" w:color="auto"/>
              <w:left w:val="nil"/>
              <w:bottom w:val="single" w:sz="4" w:space="0" w:color="auto"/>
              <w:right w:val="nil"/>
            </w:tcBorders>
            <w:shd w:val="clear" w:color="auto" w:fill="auto"/>
            <w:vAlign w:val="bottom"/>
            <w:hideMark/>
          </w:tcPr>
          <w:p w14:paraId="6772809D" w14:textId="77777777" w:rsidR="00B9311E" w:rsidRPr="00BD77D8" w:rsidRDefault="00B9311E" w:rsidP="00B9311E">
            <w:pPr>
              <w:spacing w:after="0" w:line="240" w:lineRule="auto"/>
              <w:jc w:val="right"/>
              <w:rPr>
                <w:b/>
                <w:bCs/>
                <w:sz w:val="18"/>
                <w:szCs w:val="18"/>
              </w:rPr>
            </w:pPr>
            <w:r w:rsidRPr="00BD77D8">
              <w:rPr>
                <w:b/>
                <w:bCs/>
                <w:sz w:val="18"/>
                <w:szCs w:val="18"/>
              </w:rPr>
              <w:t xml:space="preserve">          1,016 </w:t>
            </w:r>
          </w:p>
        </w:tc>
      </w:tr>
    </w:tbl>
    <w:p w14:paraId="6F6B0E1E" w14:textId="77777777" w:rsidR="00B9311E" w:rsidRPr="00BD77D8" w:rsidRDefault="00B9311E" w:rsidP="00587E62">
      <w:pPr>
        <w:spacing w:before="240" w:after="0" w:line="180" w:lineRule="atLeast"/>
        <w:textAlignment w:val="baseline"/>
        <w:rPr>
          <w:rFonts w:eastAsia="Arial"/>
          <w:b/>
          <w:bCs/>
          <w:spacing w:val="2"/>
          <w:sz w:val="18"/>
          <w:szCs w:val="18"/>
          <w:lang w:eastAsia="en-US"/>
        </w:rPr>
      </w:pPr>
      <w:r w:rsidRPr="00BD77D8">
        <w:rPr>
          <w:rFonts w:eastAsia="Arial"/>
          <w:b/>
          <w:bCs/>
          <w:spacing w:val="2"/>
          <w:sz w:val="18"/>
          <w:szCs w:val="18"/>
          <w:lang w:eastAsia="en-US"/>
        </w:rPr>
        <w:t xml:space="preserve">CF-2 </w:t>
      </w:r>
      <w:proofErr w:type="gramStart"/>
      <w:r w:rsidRPr="00BD77D8">
        <w:rPr>
          <w:rFonts w:eastAsia="Arial"/>
          <w:b/>
          <w:bCs/>
          <w:spacing w:val="2"/>
          <w:sz w:val="18"/>
          <w:szCs w:val="18"/>
          <w:lang w:eastAsia="en-US"/>
        </w:rPr>
        <w:t>Non-cash</w:t>
      </w:r>
      <w:proofErr w:type="gramEnd"/>
      <w:r w:rsidRPr="00BD77D8">
        <w:rPr>
          <w:rFonts w:eastAsia="Arial"/>
          <w:b/>
          <w:bCs/>
          <w:spacing w:val="2"/>
          <w:sz w:val="18"/>
          <w:szCs w:val="18"/>
          <w:lang w:eastAsia="en-US"/>
        </w:rPr>
        <w:t xml:space="preserve"> investing and financing activities</w:t>
      </w:r>
    </w:p>
    <w:p w14:paraId="7F7BDA42" w14:textId="77777777" w:rsidR="00B9311E" w:rsidRPr="00BD77D8" w:rsidRDefault="00B9311E" w:rsidP="00A0538E">
      <w:pPr>
        <w:spacing w:before="120" w:after="0" w:line="205" w:lineRule="exact"/>
        <w:textAlignment w:val="baseline"/>
        <w:rPr>
          <w:rFonts w:eastAsia="Arial"/>
          <w:b/>
          <w:bCs/>
          <w:iCs/>
          <w:spacing w:val="-3"/>
          <w:sz w:val="16"/>
          <w:szCs w:val="16"/>
          <w:lang w:eastAsia="en-US"/>
        </w:rPr>
      </w:pPr>
      <w:r w:rsidRPr="00BD77D8">
        <w:rPr>
          <w:rFonts w:eastAsia="Arial"/>
          <w:spacing w:val="2"/>
          <w:sz w:val="18"/>
          <w:szCs w:val="18"/>
          <w:lang w:eastAsia="en-US"/>
        </w:rPr>
        <w:t>Assets and liabilities received or donated/transferred by the department are recognised as revenues (refer Note B1-3) or expenses (refer Note B2-3) as applicable.</w:t>
      </w:r>
      <w:r w:rsidRPr="00BD77D8">
        <w:rPr>
          <w:rFonts w:eastAsia="PMingLiU"/>
          <w:sz w:val="18"/>
          <w:szCs w:val="22"/>
          <w:lang w:eastAsia="en-US"/>
        </w:rPr>
        <w:t xml:space="preserve"> </w:t>
      </w:r>
      <w:r w:rsidRPr="00BD77D8">
        <w:rPr>
          <w:rFonts w:eastAsia="Arial"/>
          <w:spacing w:val="2"/>
          <w:sz w:val="18"/>
          <w:szCs w:val="18"/>
          <w:lang w:eastAsia="en-US"/>
        </w:rPr>
        <w:t>In 2021-22 there were nil assets and liabilities received or donated/transferred recognised through the Controlled accounts. The department transferred land and property to the Torres Shire Council recognised through the Administered accounts (refer Statement of Changes in Equity).</w:t>
      </w:r>
    </w:p>
    <w:p w14:paraId="2067F967" w14:textId="77777777" w:rsidR="00B9311E" w:rsidRPr="00BD77D8" w:rsidRDefault="00B9311E" w:rsidP="00A0538E">
      <w:pPr>
        <w:spacing w:before="2640" w:after="0" w:line="205" w:lineRule="exact"/>
        <w:textAlignment w:val="baseline"/>
        <w:rPr>
          <w:rFonts w:eastAsia="Arial"/>
          <w:iCs/>
          <w:spacing w:val="-3"/>
          <w:sz w:val="16"/>
          <w:szCs w:val="16"/>
          <w:lang w:eastAsia="en-US"/>
        </w:rPr>
      </w:pPr>
      <w:r w:rsidRPr="00BD77D8">
        <w:rPr>
          <w:rFonts w:eastAsia="Arial"/>
          <w:iCs/>
          <w:spacing w:val="-3"/>
          <w:sz w:val="16"/>
          <w:szCs w:val="16"/>
          <w:lang w:eastAsia="en-US"/>
        </w:rPr>
        <w:t>The accompanying notes form part of these financial statements.</w:t>
      </w:r>
    </w:p>
    <w:p w14:paraId="48A06205" w14:textId="6CD77E5C" w:rsidR="00DE382E" w:rsidRPr="00BD77D8" w:rsidRDefault="00DE382E" w:rsidP="00A0538E">
      <w:pPr>
        <w:spacing w:before="1320" w:after="0" w:line="205" w:lineRule="exact"/>
        <w:textAlignment w:val="baseline"/>
        <w:rPr>
          <w:rFonts w:eastAsia="PMingLiU"/>
          <w:sz w:val="18"/>
          <w:szCs w:val="18"/>
          <w:lang w:eastAsia="en-US"/>
        </w:rPr>
        <w:sectPr w:rsidR="00DE382E" w:rsidRPr="00BD77D8" w:rsidSect="006337B5">
          <w:type w:val="nextColumn"/>
          <w:pgSz w:w="11909" w:h="16838"/>
          <w:pgMar w:top="794" w:right="794" w:bottom="794" w:left="794" w:header="720" w:footer="720" w:gutter="0"/>
          <w:cols w:space="720"/>
        </w:sectPr>
      </w:pP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r>
      <w:r w:rsidRPr="00BD77D8">
        <w:rPr>
          <w:rFonts w:eastAsia="Arial"/>
          <w:iCs/>
          <w:spacing w:val="-3"/>
          <w:sz w:val="16"/>
          <w:szCs w:val="16"/>
          <w:lang w:eastAsia="en-US"/>
        </w:rPr>
        <w:tab/>
        <w:t>Page 10 of 45</w:t>
      </w:r>
    </w:p>
    <w:p w14:paraId="4BDD3142" w14:textId="77777777" w:rsidR="00B9311E" w:rsidRPr="00BD77D8" w:rsidRDefault="00B9311E" w:rsidP="00B9311E">
      <w:pPr>
        <w:spacing w:after="0" w:line="206" w:lineRule="exact"/>
        <w:textAlignment w:val="baseline"/>
        <w:rPr>
          <w:rFonts w:eastAsia="Arial"/>
          <w:b/>
          <w:bCs/>
          <w:sz w:val="18"/>
          <w:szCs w:val="18"/>
          <w:lang w:eastAsia="en-US"/>
        </w:rPr>
      </w:pPr>
      <w:bookmarkStart w:id="53" w:name="RANGE!A1:C38"/>
      <w:bookmarkEnd w:id="53"/>
      <w:r w:rsidRPr="00BD77D8">
        <w:rPr>
          <w:rFonts w:eastAsia="Arial"/>
          <w:b/>
          <w:bCs/>
          <w:sz w:val="18"/>
          <w:szCs w:val="18"/>
          <w:lang w:eastAsia="en-US"/>
        </w:rPr>
        <w:lastRenderedPageBreak/>
        <w:t>Department of Seniors, Disability Services and Aboriginal and Torres Strait Islander Partnerships</w:t>
      </w:r>
    </w:p>
    <w:p w14:paraId="7FB789D7" w14:textId="77777777" w:rsidR="00B9311E" w:rsidRPr="00BD77D8" w:rsidRDefault="00B9311E" w:rsidP="00F70507">
      <w:pPr>
        <w:spacing w:after="0" w:line="206" w:lineRule="exact"/>
        <w:textAlignment w:val="baseline"/>
        <w:rPr>
          <w:rFonts w:eastAsia="Arial"/>
          <w:b/>
          <w:bCs/>
          <w:sz w:val="18"/>
          <w:szCs w:val="18"/>
          <w:lang w:eastAsia="en-US"/>
        </w:rPr>
      </w:pPr>
      <w:bookmarkStart w:id="54" w:name="_Toc111494799"/>
      <w:bookmarkStart w:id="55" w:name="_Toc111540671"/>
      <w:bookmarkStart w:id="56" w:name="_Toc111559234"/>
      <w:bookmarkStart w:id="57" w:name="_Toc113196506"/>
      <w:bookmarkStart w:id="58" w:name="_Toc113196854"/>
      <w:bookmarkStart w:id="59" w:name="_Toc113261984"/>
      <w:r w:rsidRPr="00BD77D8">
        <w:rPr>
          <w:rFonts w:eastAsia="Arial"/>
          <w:b/>
          <w:bCs/>
          <w:sz w:val="18"/>
          <w:szCs w:val="18"/>
          <w:lang w:eastAsia="en-US"/>
        </w:rPr>
        <w:t>Notes to the Financial Statements</w:t>
      </w:r>
      <w:bookmarkEnd w:id="54"/>
      <w:bookmarkEnd w:id="55"/>
      <w:bookmarkEnd w:id="56"/>
      <w:bookmarkEnd w:id="57"/>
      <w:bookmarkEnd w:id="58"/>
      <w:bookmarkEnd w:id="59"/>
    </w:p>
    <w:p w14:paraId="3F2FE747"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2BC87778" w14:textId="77777777" w:rsidR="00B9311E" w:rsidRPr="00BD77D8" w:rsidRDefault="00B9311E" w:rsidP="00B9311E">
      <w:pPr>
        <w:pBdr>
          <w:bottom w:val="single" w:sz="4" w:space="1" w:color="auto"/>
        </w:pBdr>
        <w:spacing w:after="0" w:line="206" w:lineRule="exact"/>
        <w:textAlignment w:val="baseline"/>
        <w:rPr>
          <w:rFonts w:eastAsia="Arial"/>
          <w:bCs/>
          <w:sz w:val="18"/>
          <w:szCs w:val="18"/>
          <w:lang w:eastAsia="en-US"/>
        </w:rPr>
      </w:pPr>
    </w:p>
    <w:p w14:paraId="2561DEEA" w14:textId="14EB93AF" w:rsidR="00B9311E" w:rsidRPr="00BD77D8" w:rsidRDefault="00B9311E" w:rsidP="00E47A6E">
      <w:pPr>
        <w:spacing w:before="200"/>
        <w:rPr>
          <w:rFonts w:eastAsia="Arial"/>
          <w:b/>
          <w:bCs/>
          <w:sz w:val="22"/>
          <w:szCs w:val="22"/>
          <w:lang w:eastAsia="en-US"/>
        </w:rPr>
      </w:pPr>
      <w:bookmarkStart w:id="60" w:name="_Toc111494800"/>
      <w:bookmarkStart w:id="61" w:name="_Toc111540672"/>
      <w:bookmarkStart w:id="62" w:name="_Toc111559235"/>
      <w:bookmarkStart w:id="63" w:name="_Toc113196507"/>
      <w:bookmarkStart w:id="64" w:name="_Toc113196855"/>
      <w:bookmarkStart w:id="65" w:name="_Toc113261985"/>
      <w:bookmarkStart w:id="66" w:name="_Toc113349139"/>
      <w:bookmarkStart w:id="67" w:name="_Toc113358064"/>
      <w:bookmarkStart w:id="68" w:name="_Hlk98334574"/>
      <w:r w:rsidRPr="00BD77D8">
        <w:rPr>
          <w:rFonts w:eastAsia="Arial"/>
          <w:b/>
          <w:bCs/>
          <w:sz w:val="22"/>
          <w:szCs w:val="22"/>
          <w:lang w:eastAsia="en-US"/>
        </w:rPr>
        <w:t>A1 Departmental Objectives</w:t>
      </w:r>
      <w:bookmarkEnd w:id="60"/>
      <w:bookmarkEnd w:id="61"/>
      <w:bookmarkEnd w:id="62"/>
      <w:bookmarkEnd w:id="63"/>
      <w:bookmarkEnd w:id="64"/>
      <w:bookmarkEnd w:id="65"/>
      <w:bookmarkEnd w:id="66"/>
      <w:bookmarkEnd w:id="67"/>
    </w:p>
    <w:p w14:paraId="36B17C05" w14:textId="77777777" w:rsidR="00B9311E" w:rsidRPr="00BD77D8" w:rsidRDefault="00B9311E" w:rsidP="00587E62">
      <w:pPr>
        <w:spacing w:after="240" w:line="180" w:lineRule="atLeast"/>
        <w:textAlignment w:val="baseline"/>
        <w:rPr>
          <w:rFonts w:eastAsia="Arial"/>
          <w:b/>
          <w:bCs/>
          <w:sz w:val="18"/>
          <w:szCs w:val="18"/>
          <w:lang w:eastAsia="en-US"/>
        </w:rPr>
      </w:pPr>
      <w:r w:rsidRPr="00BD77D8">
        <w:rPr>
          <w:rFonts w:eastAsia="Arial"/>
          <w:sz w:val="18"/>
          <w:szCs w:val="18"/>
          <w:lang w:eastAsia="en-US"/>
        </w:rPr>
        <w:t>The Department of Seniors, Disability Services and Aboriginal and Torres Strait Islander Partnerships' vision is to partner with people of all ages, abilities and backgrounds so that they can thrive culturally, socially and economically. The department's purpose is to improve the social and economic wellbeing of Queensland seniors and people of all abilities by delivering quality targeted support, and to lead change through enhanced relationships and improved decision-making across government, to enable Aboriginal and Torres Islander Queenslanders to truly thrive.</w:t>
      </w:r>
    </w:p>
    <w:p w14:paraId="6D9F7EA5" w14:textId="77777777" w:rsidR="00B9311E" w:rsidRPr="00BD77D8" w:rsidRDefault="00B9311E" w:rsidP="00587E62">
      <w:pPr>
        <w:spacing w:after="240" w:line="180" w:lineRule="atLeast"/>
        <w:ind w:right="74"/>
        <w:textAlignment w:val="baseline"/>
        <w:rPr>
          <w:rFonts w:eastAsia="Arial"/>
          <w:b/>
          <w:bCs/>
          <w:sz w:val="18"/>
          <w:szCs w:val="18"/>
          <w:lang w:eastAsia="en-US"/>
        </w:rPr>
      </w:pPr>
      <w:r w:rsidRPr="00BD77D8">
        <w:rPr>
          <w:rFonts w:eastAsia="Arial"/>
          <w:sz w:val="18"/>
          <w:szCs w:val="18"/>
          <w:lang w:eastAsia="en-US"/>
        </w:rPr>
        <w:t>The Department of Seniors, Disability Services and Aboriginal and Torres Strait Islander Partnerships delivers its services through the following major service areas:</w:t>
      </w:r>
    </w:p>
    <w:p w14:paraId="6588FE6D" w14:textId="77777777" w:rsidR="00B9311E" w:rsidRPr="00BD77D8" w:rsidRDefault="00B9311E" w:rsidP="003954C5">
      <w:pPr>
        <w:numPr>
          <w:ilvl w:val="0"/>
          <w:numId w:val="74"/>
        </w:numPr>
        <w:spacing w:after="240" w:line="180" w:lineRule="atLeast"/>
        <w:ind w:left="720" w:right="432" w:hanging="720"/>
        <w:textAlignment w:val="baseline"/>
        <w:rPr>
          <w:rFonts w:eastAsia="Arial"/>
          <w:b/>
          <w:bCs/>
          <w:spacing w:val="-2"/>
          <w:sz w:val="18"/>
          <w:szCs w:val="18"/>
          <w:lang w:eastAsia="en-US"/>
        </w:rPr>
      </w:pPr>
      <w:r w:rsidRPr="00BD77D8">
        <w:rPr>
          <w:rFonts w:eastAsia="Arial"/>
          <w:spacing w:val="-2"/>
          <w:sz w:val="18"/>
          <w:szCs w:val="18"/>
          <w:lang w:eastAsia="en-US"/>
        </w:rPr>
        <w:t>Seniors Services: develop programs and services for seniors that reduce the cost of living, enhance wellbeing, support community participation and prevent and address elder abuse. Age-friendly communities assist seniors to contribute economically, socially and culturally to their communities.</w:t>
      </w:r>
    </w:p>
    <w:p w14:paraId="299BA648" w14:textId="77777777" w:rsidR="00B9311E" w:rsidRPr="00BD77D8" w:rsidRDefault="00B9311E" w:rsidP="003954C5">
      <w:pPr>
        <w:numPr>
          <w:ilvl w:val="0"/>
          <w:numId w:val="74"/>
        </w:numPr>
        <w:spacing w:after="240" w:line="180" w:lineRule="atLeast"/>
        <w:ind w:left="720" w:right="72" w:hanging="720"/>
        <w:textAlignment w:val="baseline"/>
        <w:rPr>
          <w:rFonts w:eastAsia="Arial"/>
          <w:b/>
          <w:bCs/>
          <w:sz w:val="18"/>
          <w:szCs w:val="18"/>
          <w:lang w:eastAsia="en-US"/>
        </w:rPr>
      </w:pPr>
      <w:r w:rsidRPr="00BD77D8">
        <w:rPr>
          <w:rFonts w:eastAsia="Arial"/>
          <w:sz w:val="18"/>
          <w:szCs w:val="18"/>
          <w:lang w:eastAsia="en-US"/>
        </w:rPr>
        <w:t>Disability Services: enable people to access disability services that assist them with the core activities of daily living and achieving their goals, as part of inclusive communities, and to contribute to systems that safeguard and protect the rights of people with disability.</w:t>
      </w:r>
    </w:p>
    <w:p w14:paraId="60BF17D6" w14:textId="77777777" w:rsidR="00B9311E" w:rsidRPr="00BD77D8" w:rsidRDefault="00B9311E" w:rsidP="003954C5">
      <w:pPr>
        <w:numPr>
          <w:ilvl w:val="0"/>
          <w:numId w:val="74"/>
        </w:numPr>
        <w:spacing w:after="240" w:line="180" w:lineRule="atLeast"/>
        <w:ind w:left="720" w:right="432" w:hanging="720"/>
        <w:textAlignment w:val="baseline"/>
        <w:rPr>
          <w:rFonts w:eastAsia="Arial"/>
          <w:b/>
          <w:bCs/>
          <w:sz w:val="18"/>
          <w:szCs w:val="18"/>
          <w:lang w:eastAsia="en-US"/>
        </w:rPr>
      </w:pPr>
      <w:r w:rsidRPr="00BD77D8">
        <w:rPr>
          <w:rFonts w:eastAsia="Arial"/>
          <w:sz w:val="18"/>
          <w:szCs w:val="18"/>
          <w:lang w:eastAsia="en-US"/>
        </w:rPr>
        <w:t>Economic Participation: increase the economic participation of Aboriginal peoples and Torres Strait Islander peoples.</w:t>
      </w:r>
    </w:p>
    <w:p w14:paraId="5C348771" w14:textId="77777777" w:rsidR="00B9311E" w:rsidRPr="00BD77D8" w:rsidRDefault="00B9311E" w:rsidP="003954C5">
      <w:pPr>
        <w:numPr>
          <w:ilvl w:val="0"/>
          <w:numId w:val="74"/>
        </w:numPr>
        <w:spacing w:after="240" w:line="180" w:lineRule="atLeast"/>
        <w:ind w:left="720" w:right="216" w:hanging="720"/>
        <w:textAlignment w:val="baseline"/>
        <w:rPr>
          <w:rFonts w:eastAsia="Arial"/>
          <w:b/>
          <w:bCs/>
          <w:sz w:val="18"/>
          <w:szCs w:val="18"/>
          <w:lang w:eastAsia="en-US"/>
        </w:rPr>
      </w:pPr>
      <w:r w:rsidRPr="00BD77D8">
        <w:rPr>
          <w:rFonts w:eastAsia="Arial"/>
          <w:sz w:val="18"/>
          <w:szCs w:val="18"/>
          <w:lang w:eastAsia="en-US"/>
        </w:rPr>
        <w:t>Community Participation: increase the community participation of Aboriginal peoples and Torres Strait Islander peoples.</w:t>
      </w:r>
    </w:p>
    <w:p w14:paraId="476B7A0F" w14:textId="77777777" w:rsidR="00B9311E" w:rsidRPr="00BD77D8" w:rsidRDefault="00B9311E" w:rsidP="00587E62">
      <w:pPr>
        <w:spacing w:after="240" w:line="180" w:lineRule="atLeast"/>
        <w:ind w:right="142"/>
        <w:textAlignment w:val="baseline"/>
        <w:rPr>
          <w:rFonts w:eastAsia="Arial"/>
          <w:b/>
          <w:bCs/>
          <w:sz w:val="18"/>
          <w:szCs w:val="18"/>
          <w:lang w:eastAsia="en-US"/>
        </w:rPr>
      </w:pPr>
      <w:r w:rsidRPr="00BD77D8">
        <w:rPr>
          <w:rFonts w:eastAsia="Arial"/>
          <w:sz w:val="18"/>
          <w:szCs w:val="18"/>
          <w:lang w:eastAsia="en-US"/>
        </w:rPr>
        <w:t>The department is funded for the departmental services it delivers principally by parliamentary appropriations. It also provides the following on a fee for service basis:</w:t>
      </w:r>
    </w:p>
    <w:p w14:paraId="20965DDC" w14:textId="77777777" w:rsidR="00B9311E" w:rsidRPr="00BD77D8" w:rsidRDefault="00B9311E" w:rsidP="003954C5">
      <w:pPr>
        <w:numPr>
          <w:ilvl w:val="0"/>
          <w:numId w:val="74"/>
        </w:numPr>
        <w:spacing w:after="240" w:line="180" w:lineRule="atLeast"/>
        <w:ind w:left="720" w:right="646" w:hanging="720"/>
        <w:textAlignment w:val="baseline"/>
        <w:rPr>
          <w:rFonts w:eastAsia="Arial"/>
          <w:b/>
          <w:bCs/>
          <w:sz w:val="18"/>
          <w:szCs w:val="18"/>
          <w:lang w:eastAsia="en-US"/>
        </w:rPr>
      </w:pPr>
      <w:r w:rsidRPr="00BD77D8">
        <w:rPr>
          <w:rFonts w:eastAsia="Arial"/>
          <w:sz w:val="18"/>
          <w:szCs w:val="18"/>
          <w:lang w:eastAsia="en-US"/>
        </w:rPr>
        <w:t>Application fees for an assessment of persons seeking engagement to work in disability services delivered or funded by the department.</w:t>
      </w:r>
    </w:p>
    <w:p w14:paraId="3D68AEC1" w14:textId="77777777" w:rsidR="00B9311E" w:rsidRPr="00BD77D8" w:rsidRDefault="00B9311E" w:rsidP="00173D76">
      <w:pPr>
        <w:rPr>
          <w:rFonts w:eastAsia="Arial"/>
          <w:b/>
          <w:bCs/>
          <w:sz w:val="22"/>
          <w:szCs w:val="22"/>
          <w:lang w:eastAsia="en-US"/>
        </w:rPr>
      </w:pPr>
      <w:bookmarkStart w:id="69" w:name="_Toc111494801"/>
      <w:bookmarkStart w:id="70" w:name="_Toc111540673"/>
      <w:bookmarkStart w:id="71" w:name="_Toc111559236"/>
      <w:bookmarkStart w:id="72" w:name="_Toc113196508"/>
      <w:bookmarkStart w:id="73" w:name="_Toc113196856"/>
      <w:bookmarkStart w:id="74" w:name="_Toc113261986"/>
      <w:bookmarkStart w:id="75" w:name="_Toc113349140"/>
      <w:bookmarkStart w:id="76" w:name="_Toc113358065"/>
      <w:bookmarkEnd w:id="68"/>
      <w:r w:rsidRPr="00BD77D8">
        <w:rPr>
          <w:rFonts w:eastAsia="Arial"/>
          <w:b/>
          <w:bCs/>
          <w:sz w:val="22"/>
          <w:szCs w:val="22"/>
          <w:lang w:eastAsia="en-US"/>
        </w:rPr>
        <w:t>A2 Basis of Financial Statement Preparation</w:t>
      </w:r>
      <w:bookmarkEnd w:id="69"/>
      <w:bookmarkEnd w:id="70"/>
      <w:bookmarkEnd w:id="71"/>
      <w:bookmarkEnd w:id="72"/>
      <w:bookmarkEnd w:id="73"/>
      <w:bookmarkEnd w:id="74"/>
      <w:bookmarkEnd w:id="75"/>
      <w:bookmarkEnd w:id="76"/>
    </w:p>
    <w:p w14:paraId="7F0328A5" w14:textId="77777777" w:rsidR="00B9311E" w:rsidRPr="00BD77D8" w:rsidRDefault="00B9311E" w:rsidP="00587E62">
      <w:pPr>
        <w:spacing w:after="240" w:line="180" w:lineRule="atLeast"/>
        <w:textAlignment w:val="baseline"/>
        <w:rPr>
          <w:rFonts w:eastAsia="Arial"/>
          <w:b/>
          <w:bCs/>
          <w:spacing w:val="2"/>
          <w:sz w:val="18"/>
          <w:szCs w:val="18"/>
          <w:lang w:eastAsia="en-US"/>
        </w:rPr>
      </w:pPr>
      <w:r w:rsidRPr="00BD77D8">
        <w:rPr>
          <w:rFonts w:eastAsia="Arial"/>
          <w:b/>
          <w:bCs/>
          <w:spacing w:val="2"/>
          <w:sz w:val="18"/>
          <w:szCs w:val="18"/>
          <w:lang w:eastAsia="en-US"/>
        </w:rPr>
        <w:t>A2-1 General Information</w:t>
      </w:r>
    </w:p>
    <w:p w14:paraId="7634A4E5" w14:textId="77777777" w:rsidR="00B9311E" w:rsidRPr="00BD77D8" w:rsidRDefault="00B9311E" w:rsidP="00587E62">
      <w:pPr>
        <w:spacing w:after="240" w:line="180" w:lineRule="atLeast"/>
        <w:ind w:right="72"/>
        <w:textAlignment w:val="baseline"/>
        <w:rPr>
          <w:rFonts w:eastAsia="Arial"/>
          <w:b/>
          <w:bCs/>
          <w:sz w:val="18"/>
          <w:szCs w:val="18"/>
          <w:lang w:eastAsia="en-US"/>
        </w:rPr>
      </w:pPr>
      <w:r w:rsidRPr="00BD77D8">
        <w:rPr>
          <w:rFonts w:eastAsia="Arial"/>
          <w:sz w:val="18"/>
          <w:szCs w:val="18"/>
          <w:lang w:eastAsia="en-US"/>
        </w:rPr>
        <w:t xml:space="preserve">The Department of Seniors, Disability Services and Aboriginal and Torres Strait Islander Partnerships (the department) is a State Government department established under the </w:t>
      </w:r>
      <w:r w:rsidRPr="00BD77D8">
        <w:rPr>
          <w:rFonts w:eastAsia="Arial"/>
          <w:i/>
          <w:iCs/>
          <w:sz w:val="18"/>
          <w:szCs w:val="18"/>
          <w:lang w:eastAsia="en-US"/>
        </w:rPr>
        <w:t>Public Service Act 2008</w:t>
      </w:r>
      <w:r w:rsidRPr="00BD77D8">
        <w:rPr>
          <w:rFonts w:eastAsia="Arial"/>
          <w:sz w:val="18"/>
          <w:szCs w:val="18"/>
          <w:lang w:eastAsia="en-US"/>
        </w:rPr>
        <w:t xml:space="preserve"> and controlled by the State of Queensland, which is the ultimate parent. The department was formed from the former Department of Communities, Disability Services and Seniors and the former Department of Aboriginal and Torres Strait Islander Partnerships.</w:t>
      </w:r>
    </w:p>
    <w:p w14:paraId="072EA2B9" w14:textId="77777777" w:rsidR="00B9311E" w:rsidRPr="00BD77D8" w:rsidRDefault="00B9311E" w:rsidP="00587E62">
      <w:pPr>
        <w:spacing w:after="240" w:line="180" w:lineRule="atLeast"/>
        <w:textAlignment w:val="baseline"/>
        <w:rPr>
          <w:rFonts w:eastAsia="Arial"/>
          <w:b/>
          <w:bCs/>
          <w:sz w:val="18"/>
          <w:szCs w:val="18"/>
          <w:lang w:eastAsia="en-US"/>
        </w:rPr>
      </w:pPr>
      <w:r w:rsidRPr="00BD77D8">
        <w:rPr>
          <w:rFonts w:eastAsia="Arial"/>
          <w:sz w:val="18"/>
          <w:szCs w:val="18"/>
          <w:lang w:eastAsia="en-US"/>
        </w:rPr>
        <w:t>The head office of the department is 1 William Street, Brisbane QLD 4000.</w:t>
      </w:r>
    </w:p>
    <w:p w14:paraId="6A3A808B" w14:textId="77777777" w:rsidR="00B9311E" w:rsidRPr="00BD77D8" w:rsidRDefault="00B9311E" w:rsidP="00587E62">
      <w:pPr>
        <w:spacing w:after="240" w:line="180" w:lineRule="atLeast"/>
        <w:textAlignment w:val="baseline"/>
        <w:rPr>
          <w:rFonts w:eastAsia="Arial"/>
          <w:b/>
          <w:bCs/>
          <w:spacing w:val="1"/>
          <w:sz w:val="18"/>
          <w:szCs w:val="18"/>
          <w:lang w:eastAsia="en-US"/>
        </w:rPr>
      </w:pPr>
      <w:r w:rsidRPr="00BD77D8">
        <w:rPr>
          <w:rFonts w:eastAsia="Arial"/>
          <w:b/>
          <w:bCs/>
          <w:spacing w:val="1"/>
          <w:sz w:val="18"/>
          <w:szCs w:val="18"/>
          <w:lang w:eastAsia="en-US"/>
        </w:rPr>
        <w:t>A2-2 Compliance with Prescribed Requirements</w:t>
      </w:r>
    </w:p>
    <w:p w14:paraId="114D2BC0" w14:textId="77777777" w:rsidR="00B9311E" w:rsidRPr="00BD77D8" w:rsidRDefault="00B9311E" w:rsidP="00587E62">
      <w:pPr>
        <w:spacing w:after="240" w:line="180" w:lineRule="atLeast"/>
        <w:ind w:right="432"/>
        <w:textAlignment w:val="baseline"/>
        <w:rPr>
          <w:rFonts w:eastAsia="Arial"/>
          <w:b/>
          <w:bCs/>
          <w:sz w:val="18"/>
          <w:szCs w:val="18"/>
          <w:lang w:eastAsia="en-US"/>
        </w:rPr>
      </w:pPr>
      <w:r w:rsidRPr="00BD77D8">
        <w:rPr>
          <w:rFonts w:eastAsia="Arial"/>
          <w:sz w:val="18"/>
          <w:szCs w:val="18"/>
          <w:lang w:eastAsia="en-US"/>
        </w:rPr>
        <w:t xml:space="preserve">The department has prepared these financial statements in compliance with section 38 of the </w:t>
      </w:r>
      <w:r w:rsidRPr="00BD77D8">
        <w:rPr>
          <w:rFonts w:eastAsia="Arial"/>
          <w:i/>
          <w:sz w:val="18"/>
          <w:szCs w:val="18"/>
          <w:lang w:eastAsia="en-US"/>
        </w:rPr>
        <w:t>Financial and Performance Management Standard 2019</w:t>
      </w:r>
      <w:r w:rsidRPr="00BD77D8">
        <w:rPr>
          <w:rFonts w:eastAsia="Arial"/>
          <w:sz w:val="18"/>
          <w:szCs w:val="18"/>
          <w:lang w:eastAsia="en-US"/>
        </w:rPr>
        <w:t>. The financial statements comply with Queensland Treasury's Minimum Reporting Requirements for reporting periods beginning on or after 1 July 2021.</w:t>
      </w:r>
    </w:p>
    <w:p w14:paraId="4504D426" w14:textId="77777777" w:rsidR="00B9311E" w:rsidRPr="00BD77D8" w:rsidRDefault="00B9311E" w:rsidP="00587E62">
      <w:pPr>
        <w:spacing w:after="240" w:line="180" w:lineRule="atLeast"/>
        <w:ind w:right="432"/>
        <w:textAlignment w:val="baseline"/>
        <w:rPr>
          <w:rFonts w:eastAsia="Arial"/>
          <w:b/>
          <w:bCs/>
          <w:sz w:val="18"/>
          <w:szCs w:val="18"/>
          <w:lang w:eastAsia="en-US"/>
        </w:rPr>
      </w:pPr>
      <w:r w:rsidRPr="00BD77D8">
        <w:rPr>
          <w:rFonts w:eastAsia="Arial"/>
          <w:sz w:val="18"/>
          <w:szCs w:val="18"/>
          <w:lang w:eastAsia="en-US"/>
        </w:rPr>
        <w:t>The department is a not-for-profit entity and these general-purpose financial statements are prepared on an accrual basis (except for the Statement of Cash Flow which is prepared on a cash basis) in accordance with Australian Accounting Standards and Interpretations applicable to not-for-profit entities.</w:t>
      </w:r>
    </w:p>
    <w:p w14:paraId="1C00FF14" w14:textId="77777777" w:rsidR="00B9311E" w:rsidRPr="00BD77D8" w:rsidRDefault="00B9311E" w:rsidP="00587E62">
      <w:pPr>
        <w:spacing w:after="180" w:line="180" w:lineRule="atLeast"/>
        <w:rPr>
          <w:rFonts w:eastAsia="Arial"/>
          <w:b/>
          <w:bCs/>
          <w:spacing w:val="3"/>
          <w:sz w:val="18"/>
          <w:szCs w:val="18"/>
          <w:lang w:eastAsia="en-US"/>
        </w:rPr>
      </w:pPr>
      <w:r w:rsidRPr="00BD77D8">
        <w:rPr>
          <w:rFonts w:eastAsia="Arial"/>
          <w:b/>
          <w:bCs/>
          <w:spacing w:val="3"/>
          <w:sz w:val="18"/>
          <w:szCs w:val="18"/>
          <w:lang w:eastAsia="en-US"/>
        </w:rPr>
        <w:t>A2-3 Presentation</w:t>
      </w:r>
    </w:p>
    <w:p w14:paraId="3E0C4EEE" w14:textId="77777777" w:rsidR="00B9311E" w:rsidRPr="00BD77D8" w:rsidRDefault="00B9311E" w:rsidP="00587E62">
      <w:pPr>
        <w:spacing w:after="180" w:line="180" w:lineRule="atLeast"/>
        <w:rPr>
          <w:rFonts w:eastAsia="Arial"/>
          <w:b/>
          <w:bCs/>
          <w:spacing w:val="3"/>
          <w:sz w:val="18"/>
          <w:szCs w:val="18"/>
          <w:lang w:eastAsia="en-US"/>
        </w:rPr>
      </w:pPr>
      <w:r w:rsidRPr="00BD77D8">
        <w:rPr>
          <w:rFonts w:eastAsia="Arial"/>
          <w:b/>
          <w:bCs/>
          <w:spacing w:val="3"/>
          <w:sz w:val="18"/>
          <w:szCs w:val="18"/>
          <w:lang w:eastAsia="en-US"/>
        </w:rPr>
        <w:t>Currency and Rounding</w:t>
      </w:r>
    </w:p>
    <w:p w14:paraId="2CB2631D" w14:textId="77777777" w:rsidR="00B9311E" w:rsidRPr="00BD77D8" w:rsidRDefault="00B9311E" w:rsidP="00B9311E">
      <w:pPr>
        <w:spacing w:after="0" w:line="180" w:lineRule="atLeast"/>
        <w:rPr>
          <w:rFonts w:eastAsia="Arial"/>
          <w:b/>
          <w:spacing w:val="3"/>
          <w:sz w:val="18"/>
          <w:szCs w:val="18"/>
          <w:lang w:eastAsia="en-US"/>
        </w:rPr>
      </w:pPr>
      <w:r w:rsidRPr="00BD77D8">
        <w:rPr>
          <w:rFonts w:eastAsia="Arial"/>
          <w:spacing w:val="3"/>
          <w:sz w:val="18"/>
          <w:szCs w:val="18"/>
          <w:lang w:eastAsia="en-US"/>
        </w:rPr>
        <w:t>Amounts included in the financial statements are in Australian dollars and rounded to the nearest $1,000 or, where that amount is $500 or less, to zero, unless disclosure of the full amount is specifically required.</w:t>
      </w:r>
    </w:p>
    <w:p w14:paraId="7950340D" w14:textId="25966C58" w:rsidR="00DE382E" w:rsidRPr="00BD77D8" w:rsidRDefault="00DE382E" w:rsidP="00313C5C">
      <w:pPr>
        <w:spacing w:before="600" w:after="0" w:line="240" w:lineRule="auto"/>
        <w:rPr>
          <w:rFonts w:eastAsia="Arial"/>
          <w:bCs/>
          <w:sz w:val="18"/>
          <w:szCs w:val="18"/>
          <w:lang w:eastAsia="en-US"/>
        </w:rPr>
      </w:pP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t>Page 11 of 45</w:t>
      </w:r>
      <w:r w:rsidR="00B9311E" w:rsidRPr="00BD77D8">
        <w:rPr>
          <w:rFonts w:eastAsia="Arial"/>
          <w:bCs/>
          <w:sz w:val="18"/>
          <w:szCs w:val="18"/>
          <w:lang w:eastAsia="en-US"/>
        </w:rPr>
        <w:br w:type="page"/>
      </w:r>
    </w:p>
    <w:p w14:paraId="72ABDB4E"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460937D2"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6AAF501F"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62A1B77C" w14:textId="77777777" w:rsidR="00B9311E" w:rsidRPr="00BD77D8" w:rsidRDefault="00B9311E" w:rsidP="00B9311E">
      <w:pPr>
        <w:pBdr>
          <w:bottom w:val="single" w:sz="4" w:space="1" w:color="auto"/>
        </w:pBdr>
        <w:spacing w:after="0" w:line="206" w:lineRule="exact"/>
        <w:textAlignment w:val="baseline"/>
        <w:rPr>
          <w:rFonts w:eastAsia="Arial"/>
          <w:bCs/>
          <w:sz w:val="18"/>
          <w:szCs w:val="18"/>
          <w:lang w:eastAsia="en-US"/>
        </w:rPr>
      </w:pPr>
    </w:p>
    <w:p w14:paraId="01FB0D5C" w14:textId="77777777" w:rsidR="00B9311E" w:rsidRPr="00BD77D8" w:rsidRDefault="00B9311E" w:rsidP="00E47A6E">
      <w:pPr>
        <w:spacing w:before="240" w:line="180" w:lineRule="atLeast"/>
        <w:rPr>
          <w:rFonts w:eastAsia="Arial"/>
          <w:b/>
          <w:bCs/>
          <w:spacing w:val="3"/>
          <w:sz w:val="22"/>
          <w:szCs w:val="22"/>
          <w:lang w:eastAsia="en-US"/>
        </w:rPr>
      </w:pPr>
      <w:r w:rsidRPr="00BD77D8">
        <w:rPr>
          <w:rFonts w:eastAsia="Arial"/>
          <w:b/>
          <w:bCs/>
          <w:spacing w:val="3"/>
          <w:sz w:val="22"/>
          <w:szCs w:val="22"/>
          <w:lang w:eastAsia="en-US"/>
        </w:rPr>
        <w:t>A2 Basis of financial Statements Preparation (Continued)</w:t>
      </w:r>
    </w:p>
    <w:p w14:paraId="7BB30CD0" w14:textId="77777777" w:rsidR="00B9311E" w:rsidRPr="00BD77D8" w:rsidRDefault="00B9311E" w:rsidP="00587E62">
      <w:pPr>
        <w:spacing w:line="180" w:lineRule="atLeast"/>
        <w:rPr>
          <w:rFonts w:eastAsia="Arial"/>
          <w:b/>
          <w:bCs/>
          <w:spacing w:val="3"/>
          <w:sz w:val="18"/>
          <w:szCs w:val="18"/>
          <w:lang w:eastAsia="en-US"/>
        </w:rPr>
      </w:pPr>
      <w:r w:rsidRPr="00BD77D8">
        <w:rPr>
          <w:rFonts w:eastAsia="Arial"/>
          <w:b/>
          <w:bCs/>
          <w:spacing w:val="3"/>
          <w:sz w:val="18"/>
          <w:szCs w:val="18"/>
          <w:lang w:eastAsia="en-US"/>
        </w:rPr>
        <w:t>A2-3 Presentation (Continued)</w:t>
      </w:r>
    </w:p>
    <w:p w14:paraId="4A842D55" w14:textId="77777777" w:rsidR="00B9311E" w:rsidRPr="00BD77D8" w:rsidRDefault="00B9311E" w:rsidP="00587E62">
      <w:pPr>
        <w:spacing w:line="180" w:lineRule="atLeast"/>
        <w:rPr>
          <w:rFonts w:eastAsia="Arial"/>
          <w:b/>
          <w:bCs/>
          <w:spacing w:val="3"/>
          <w:sz w:val="18"/>
          <w:szCs w:val="18"/>
          <w:lang w:eastAsia="en-US"/>
        </w:rPr>
      </w:pPr>
      <w:r w:rsidRPr="00BD77D8">
        <w:rPr>
          <w:rFonts w:eastAsia="Arial"/>
          <w:b/>
          <w:bCs/>
          <w:spacing w:val="3"/>
          <w:sz w:val="18"/>
          <w:szCs w:val="18"/>
          <w:lang w:eastAsia="en-US"/>
        </w:rPr>
        <w:t>Comparatives</w:t>
      </w:r>
    </w:p>
    <w:p w14:paraId="6C89B70D" w14:textId="77777777" w:rsidR="00B9311E" w:rsidRPr="00BD77D8" w:rsidRDefault="00B9311E" w:rsidP="00587E62">
      <w:pPr>
        <w:spacing w:line="180" w:lineRule="atLeast"/>
        <w:rPr>
          <w:rFonts w:eastAsia="Arial"/>
          <w:b/>
          <w:spacing w:val="3"/>
          <w:sz w:val="18"/>
          <w:szCs w:val="18"/>
          <w:lang w:eastAsia="en-US"/>
        </w:rPr>
      </w:pPr>
      <w:r w:rsidRPr="00BD77D8">
        <w:rPr>
          <w:rFonts w:eastAsia="Arial"/>
          <w:spacing w:val="3"/>
          <w:sz w:val="18"/>
          <w:szCs w:val="18"/>
          <w:lang w:eastAsia="en-US"/>
        </w:rPr>
        <w:t>Comparative information reflects the audited 2020-21 financial statements except where restated for a change in accounting policy as detailed at Note F3.</w:t>
      </w:r>
    </w:p>
    <w:p w14:paraId="14EB4D17" w14:textId="77777777" w:rsidR="00B9311E" w:rsidRPr="00BD77D8" w:rsidRDefault="00B9311E" w:rsidP="00587E62">
      <w:pPr>
        <w:spacing w:line="180" w:lineRule="atLeast"/>
        <w:rPr>
          <w:rFonts w:eastAsia="Arial"/>
          <w:b/>
          <w:bCs/>
          <w:spacing w:val="3"/>
          <w:sz w:val="18"/>
          <w:szCs w:val="18"/>
          <w:lang w:eastAsia="en-US"/>
        </w:rPr>
      </w:pPr>
      <w:r w:rsidRPr="00BD77D8">
        <w:rPr>
          <w:rFonts w:eastAsia="Arial"/>
          <w:b/>
          <w:bCs/>
          <w:spacing w:val="3"/>
          <w:sz w:val="18"/>
          <w:szCs w:val="18"/>
          <w:lang w:eastAsia="en-US"/>
        </w:rPr>
        <w:t>Current/Non-Current Classification</w:t>
      </w:r>
    </w:p>
    <w:p w14:paraId="708A7BBC" w14:textId="77777777" w:rsidR="00B9311E" w:rsidRPr="00BD77D8" w:rsidRDefault="00B9311E" w:rsidP="00587E62">
      <w:pPr>
        <w:spacing w:line="180" w:lineRule="atLeast"/>
        <w:rPr>
          <w:rFonts w:eastAsia="Arial"/>
          <w:b/>
          <w:spacing w:val="3"/>
          <w:sz w:val="18"/>
          <w:szCs w:val="18"/>
          <w:lang w:eastAsia="en-US"/>
        </w:rPr>
      </w:pPr>
      <w:r w:rsidRPr="00BD77D8">
        <w:rPr>
          <w:rFonts w:eastAsia="Arial"/>
          <w:spacing w:val="3"/>
          <w:sz w:val="18"/>
          <w:szCs w:val="18"/>
          <w:lang w:eastAsia="en-US"/>
        </w:rPr>
        <w:t>Assets and liabilities are classified as either 'current' or 'non-current' in the statement of financial performance and associated notes.</w:t>
      </w:r>
    </w:p>
    <w:p w14:paraId="704F7B79" w14:textId="77777777" w:rsidR="00B9311E" w:rsidRPr="00BD77D8" w:rsidRDefault="00B9311E" w:rsidP="00B9311E">
      <w:pPr>
        <w:spacing w:after="0" w:line="180" w:lineRule="atLeast"/>
        <w:rPr>
          <w:rFonts w:eastAsia="Arial"/>
          <w:b/>
          <w:spacing w:val="3"/>
          <w:sz w:val="18"/>
          <w:szCs w:val="18"/>
          <w:lang w:eastAsia="en-US"/>
        </w:rPr>
      </w:pPr>
      <w:r w:rsidRPr="00BD77D8">
        <w:rPr>
          <w:rFonts w:eastAsia="Arial"/>
          <w:spacing w:val="3"/>
          <w:sz w:val="18"/>
          <w:szCs w:val="18"/>
          <w:lang w:eastAsia="en-US"/>
        </w:rPr>
        <w:t>Assets are classified as 'current' where their carrying amount is expected to be realised within 12 months after the reporting date. Liabilities are classified as 'current' when they are due to be settled within 12 months after the reporting date, or the department does not have an unconditional right to defer settlement to beyond 12 months after the reporting date.</w:t>
      </w:r>
    </w:p>
    <w:p w14:paraId="3440CDA4" w14:textId="77777777" w:rsidR="00B9311E" w:rsidRPr="00BD77D8" w:rsidRDefault="00B9311E" w:rsidP="00587E62">
      <w:pPr>
        <w:spacing w:line="180" w:lineRule="atLeast"/>
        <w:rPr>
          <w:rFonts w:eastAsia="Arial"/>
          <w:b/>
          <w:bCs/>
          <w:sz w:val="18"/>
          <w:szCs w:val="18"/>
          <w:lang w:eastAsia="en-US"/>
        </w:rPr>
      </w:pPr>
      <w:r w:rsidRPr="00BD77D8">
        <w:rPr>
          <w:rFonts w:eastAsia="Arial"/>
          <w:sz w:val="18"/>
          <w:szCs w:val="18"/>
          <w:lang w:eastAsia="en-US"/>
        </w:rPr>
        <w:t xml:space="preserve">All other assets and liabilities are classified as non-current. </w:t>
      </w:r>
    </w:p>
    <w:p w14:paraId="351DC9A5" w14:textId="47CAF8F9" w:rsidR="00B9311E" w:rsidRPr="00BD77D8" w:rsidRDefault="00B9311E" w:rsidP="00587E62">
      <w:pPr>
        <w:spacing w:line="180" w:lineRule="atLeast"/>
        <w:rPr>
          <w:rFonts w:eastAsia="Arial"/>
          <w:b/>
          <w:bCs/>
          <w:spacing w:val="3"/>
          <w:sz w:val="18"/>
          <w:szCs w:val="18"/>
          <w:lang w:eastAsia="en-US"/>
        </w:rPr>
      </w:pPr>
      <w:r w:rsidRPr="00BD77D8">
        <w:rPr>
          <w:rFonts w:eastAsia="Arial"/>
          <w:b/>
          <w:bCs/>
          <w:spacing w:val="3"/>
          <w:sz w:val="18"/>
          <w:szCs w:val="18"/>
          <w:lang w:eastAsia="en-US"/>
        </w:rPr>
        <w:t>A2-4 Authorisation of Financial Statements for Issue</w:t>
      </w:r>
    </w:p>
    <w:p w14:paraId="34A19FDF" w14:textId="77777777" w:rsidR="00B9311E" w:rsidRPr="00BD77D8" w:rsidRDefault="00B9311E" w:rsidP="00587E62">
      <w:pPr>
        <w:spacing w:line="180" w:lineRule="atLeast"/>
        <w:textAlignment w:val="baseline"/>
        <w:rPr>
          <w:rFonts w:eastAsia="Arial"/>
          <w:b/>
          <w:bCs/>
          <w:sz w:val="18"/>
          <w:szCs w:val="18"/>
          <w:lang w:eastAsia="en-US"/>
        </w:rPr>
      </w:pPr>
      <w:r w:rsidRPr="00BD77D8">
        <w:rPr>
          <w:rFonts w:eastAsia="Arial"/>
          <w:sz w:val="18"/>
          <w:szCs w:val="18"/>
          <w:lang w:eastAsia="en-US"/>
        </w:rPr>
        <w:t>The financial statements are authorised for issue by the Director-General and Chief Finance Officer at the date of signing the Management Certificate.</w:t>
      </w:r>
    </w:p>
    <w:p w14:paraId="1F0F6B5C" w14:textId="77777777" w:rsidR="00B9311E" w:rsidRPr="00BD77D8" w:rsidRDefault="00B9311E" w:rsidP="00587E62">
      <w:pPr>
        <w:spacing w:line="180" w:lineRule="atLeast"/>
        <w:rPr>
          <w:rFonts w:eastAsia="Arial"/>
          <w:b/>
          <w:bCs/>
          <w:spacing w:val="3"/>
          <w:sz w:val="18"/>
          <w:szCs w:val="18"/>
          <w:lang w:eastAsia="en-US"/>
        </w:rPr>
      </w:pPr>
      <w:r w:rsidRPr="00BD77D8">
        <w:rPr>
          <w:rFonts w:eastAsia="Arial"/>
          <w:b/>
          <w:bCs/>
          <w:spacing w:val="3"/>
          <w:sz w:val="18"/>
          <w:szCs w:val="18"/>
          <w:lang w:eastAsia="en-US"/>
        </w:rPr>
        <w:t>A2-5 The Reporting Entity</w:t>
      </w:r>
    </w:p>
    <w:p w14:paraId="016C3D63" w14:textId="77777777" w:rsidR="00B9311E" w:rsidRPr="00BD77D8" w:rsidRDefault="00B9311E" w:rsidP="00B9311E">
      <w:pPr>
        <w:spacing w:after="0" w:line="180" w:lineRule="atLeast"/>
        <w:ind w:right="288"/>
        <w:textAlignment w:val="baseline"/>
        <w:rPr>
          <w:rFonts w:eastAsia="Arial"/>
          <w:b/>
          <w:bCs/>
          <w:sz w:val="18"/>
          <w:szCs w:val="18"/>
          <w:lang w:eastAsia="en-US"/>
        </w:rPr>
      </w:pPr>
      <w:r w:rsidRPr="00BD77D8">
        <w:rPr>
          <w:rFonts w:eastAsia="Arial"/>
          <w:sz w:val="18"/>
          <w:szCs w:val="18"/>
          <w:lang w:eastAsia="en-US"/>
        </w:rPr>
        <w:t>The reporting entity is the Department of Seniors, Disability Services and Aboriginal and Torres Strait Islander Partnerships. The financial statements include all income, expenses, assets, liabilities and equity of the department.</w:t>
      </w:r>
    </w:p>
    <w:p w14:paraId="307BB6B6" w14:textId="77777777" w:rsidR="00B9311E" w:rsidRPr="00BD77D8" w:rsidRDefault="00B9311E" w:rsidP="00587E62">
      <w:pPr>
        <w:spacing w:line="180" w:lineRule="atLeast"/>
        <w:ind w:right="144"/>
        <w:textAlignment w:val="baseline"/>
        <w:rPr>
          <w:rFonts w:eastAsia="Arial"/>
          <w:b/>
          <w:bCs/>
          <w:sz w:val="18"/>
          <w:szCs w:val="18"/>
          <w:lang w:eastAsia="en-US"/>
        </w:rPr>
      </w:pPr>
      <w:r w:rsidRPr="00BD77D8">
        <w:rPr>
          <w:rFonts w:eastAsia="Arial"/>
          <w:sz w:val="18"/>
          <w:szCs w:val="18"/>
          <w:lang w:eastAsia="en-US"/>
        </w:rPr>
        <w:t>The department has not entered into any contractual arrangements which involve the sharing of control or significant influence over another entity. As a result, the department has determined that it does not control any other entity and has no interests in unconsolidated structured entities.</w:t>
      </w:r>
    </w:p>
    <w:p w14:paraId="1EADB3DE" w14:textId="77777777" w:rsidR="00B9311E" w:rsidRPr="00BD77D8" w:rsidRDefault="00B9311E" w:rsidP="00587E62">
      <w:pPr>
        <w:spacing w:line="180" w:lineRule="atLeast"/>
        <w:rPr>
          <w:rFonts w:eastAsia="Arial"/>
          <w:b/>
          <w:bCs/>
          <w:spacing w:val="3"/>
          <w:sz w:val="18"/>
          <w:szCs w:val="18"/>
          <w:lang w:eastAsia="en-US"/>
        </w:rPr>
      </w:pPr>
      <w:r w:rsidRPr="00BD77D8">
        <w:rPr>
          <w:rFonts w:eastAsia="Arial"/>
          <w:b/>
          <w:bCs/>
          <w:spacing w:val="3"/>
          <w:sz w:val="18"/>
          <w:szCs w:val="18"/>
          <w:lang w:eastAsia="en-US"/>
        </w:rPr>
        <w:t>A2-6 Basis of Measurement</w:t>
      </w:r>
    </w:p>
    <w:p w14:paraId="31C4E634" w14:textId="77777777" w:rsidR="00B9311E" w:rsidRPr="00BD77D8" w:rsidRDefault="00B9311E" w:rsidP="00587E62">
      <w:pPr>
        <w:spacing w:line="180" w:lineRule="atLeast"/>
        <w:ind w:right="216"/>
        <w:textAlignment w:val="baseline"/>
        <w:rPr>
          <w:rFonts w:eastAsia="Arial"/>
          <w:b/>
          <w:bCs/>
          <w:sz w:val="18"/>
          <w:szCs w:val="18"/>
          <w:lang w:eastAsia="en-US"/>
        </w:rPr>
      </w:pPr>
      <w:r w:rsidRPr="00BD77D8">
        <w:rPr>
          <w:rFonts w:eastAsia="Arial"/>
          <w:sz w:val="18"/>
          <w:szCs w:val="18"/>
          <w:lang w:eastAsia="en-US"/>
        </w:rPr>
        <w:t>Historical cost is used as the measurement basis in this financial report except for land and buildings which are measured at fair value.</w:t>
      </w:r>
    </w:p>
    <w:p w14:paraId="0AA8313B" w14:textId="77777777" w:rsidR="00B9311E" w:rsidRPr="00BD77D8" w:rsidRDefault="00B9311E" w:rsidP="00587E62">
      <w:pPr>
        <w:spacing w:line="180" w:lineRule="atLeast"/>
        <w:textAlignment w:val="baseline"/>
        <w:rPr>
          <w:rFonts w:eastAsia="Arial"/>
          <w:b/>
          <w:bCs/>
          <w:sz w:val="18"/>
          <w:szCs w:val="18"/>
          <w:lang w:eastAsia="en-US"/>
        </w:rPr>
      </w:pPr>
      <w:r w:rsidRPr="00BD77D8">
        <w:rPr>
          <w:rFonts w:eastAsia="Arial"/>
          <w:b/>
          <w:bCs/>
          <w:sz w:val="18"/>
          <w:szCs w:val="18"/>
          <w:lang w:eastAsia="en-US"/>
        </w:rPr>
        <w:t>Historical Cost</w:t>
      </w:r>
    </w:p>
    <w:p w14:paraId="3C4D47BE" w14:textId="77777777" w:rsidR="00B9311E" w:rsidRPr="00BD77D8" w:rsidRDefault="00B9311E" w:rsidP="00587E62">
      <w:pPr>
        <w:spacing w:line="180" w:lineRule="atLeast"/>
        <w:ind w:right="144"/>
        <w:textAlignment w:val="baseline"/>
        <w:rPr>
          <w:rFonts w:eastAsia="Arial"/>
          <w:b/>
          <w:bCs/>
          <w:sz w:val="18"/>
          <w:szCs w:val="18"/>
          <w:lang w:eastAsia="en-US"/>
        </w:rPr>
      </w:pPr>
      <w:r w:rsidRPr="00BD77D8">
        <w:rPr>
          <w:rFonts w:eastAsia="Arial"/>
          <w:sz w:val="18"/>
          <w:szCs w:val="18"/>
          <w:lang w:eastAsia="en-US"/>
        </w:rPr>
        <w:t>Under historical cost, assets are recorded at the amount of cash or cash equivalents paid or the fair value of the consideration given to acquire assets at the time of their acquisition. Liabilities are recorded at the amount of proceeds received in exchange for the obligation or at the amounts of cash or cash equivalents expected to be paid to satisfy the liability in the normal course of business.</w:t>
      </w:r>
    </w:p>
    <w:p w14:paraId="78581144" w14:textId="77777777" w:rsidR="00B9311E" w:rsidRPr="00BD77D8" w:rsidRDefault="00B9311E" w:rsidP="00587E62">
      <w:pPr>
        <w:spacing w:line="180" w:lineRule="atLeast"/>
        <w:textAlignment w:val="baseline"/>
        <w:rPr>
          <w:rFonts w:eastAsia="Arial"/>
          <w:b/>
          <w:bCs/>
          <w:sz w:val="18"/>
          <w:szCs w:val="18"/>
          <w:lang w:eastAsia="en-US"/>
        </w:rPr>
      </w:pPr>
      <w:r w:rsidRPr="00BD77D8">
        <w:rPr>
          <w:rFonts w:eastAsia="Arial"/>
          <w:b/>
          <w:bCs/>
          <w:sz w:val="18"/>
          <w:szCs w:val="18"/>
          <w:lang w:eastAsia="en-US"/>
        </w:rPr>
        <w:t>Fair Value</w:t>
      </w:r>
    </w:p>
    <w:p w14:paraId="1582529E" w14:textId="77777777" w:rsidR="00B9311E" w:rsidRPr="00BD77D8" w:rsidRDefault="00B9311E" w:rsidP="00587E62">
      <w:pPr>
        <w:spacing w:line="180" w:lineRule="atLeast"/>
        <w:textAlignment w:val="baseline"/>
        <w:rPr>
          <w:rFonts w:eastAsia="Arial"/>
          <w:b/>
          <w:bCs/>
          <w:sz w:val="18"/>
          <w:szCs w:val="18"/>
          <w:lang w:eastAsia="en-US"/>
        </w:rPr>
      </w:pPr>
      <w:r w:rsidRPr="00BD77D8">
        <w:rPr>
          <w:rFonts w:eastAsia="Arial"/>
          <w:sz w:val="18"/>
          <w:szCs w:val="18"/>
          <w:lang w:eastAsia="en-US"/>
        </w:rPr>
        <w:t>Fair value is the price that would be received to sell an asset or paid to transfer a liability in an orderly transaction between market participants at the measurement date under current market conditions (</w:t>
      </w:r>
      <w:proofErr w:type="gramStart"/>
      <w:r w:rsidRPr="00BD77D8">
        <w:rPr>
          <w:rFonts w:eastAsia="Arial"/>
          <w:sz w:val="18"/>
          <w:szCs w:val="18"/>
          <w:lang w:eastAsia="en-US"/>
        </w:rPr>
        <w:t>i.e.</w:t>
      </w:r>
      <w:proofErr w:type="gramEnd"/>
      <w:r w:rsidRPr="00BD77D8">
        <w:rPr>
          <w:rFonts w:eastAsia="Arial"/>
          <w:sz w:val="18"/>
          <w:szCs w:val="18"/>
          <w:lang w:eastAsia="en-US"/>
        </w:rPr>
        <w:t xml:space="preserve"> an exit price) regardless of whether that price is directly derived from observable inputs or estimated using another valuation technique. Where fair value is used, the fair value approach is disclosed. Refer to Note C4-7 for further information about fair value measurement by the department.</w:t>
      </w:r>
    </w:p>
    <w:p w14:paraId="24AFCE7D" w14:textId="77777777" w:rsidR="00B9311E" w:rsidRPr="00BD77D8" w:rsidRDefault="00B9311E" w:rsidP="00587E62">
      <w:pPr>
        <w:spacing w:line="180" w:lineRule="atLeast"/>
        <w:textAlignment w:val="baseline"/>
        <w:rPr>
          <w:rFonts w:eastAsia="Arial"/>
          <w:b/>
          <w:bCs/>
          <w:spacing w:val="1"/>
          <w:sz w:val="18"/>
          <w:szCs w:val="18"/>
          <w:lang w:eastAsia="en-US"/>
        </w:rPr>
      </w:pPr>
      <w:r w:rsidRPr="00BD77D8">
        <w:rPr>
          <w:rFonts w:eastAsia="Arial"/>
          <w:b/>
          <w:bCs/>
          <w:spacing w:val="1"/>
          <w:sz w:val="18"/>
          <w:szCs w:val="18"/>
          <w:lang w:eastAsia="en-US"/>
        </w:rPr>
        <w:t>A2-7 Controlled and Administered Transactions and Balances</w:t>
      </w:r>
    </w:p>
    <w:p w14:paraId="6FD2332C" w14:textId="77777777" w:rsidR="00B9311E" w:rsidRPr="00BD77D8" w:rsidRDefault="00B9311E" w:rsidP="00587E62">
      <w:pPr>
        <w:spacing w:line="180" w:lineRule="atLeast"/>
        <w:ind w:right="72"/>
        <w:textAlignment w:val="baseline"/>
        <w:rPr>
          <w:rFonts w:eastAsia="Arial"/>
          <w:b/>
          <w:bCs/>
          <w:sz w:val="18"/>
          <w:szCs w:val="18"/>
          <w:lang w:eastAsia="en-US"/>
        </w:rPr>
      </w:pPr>
      <w:r w:rsidRPr="00BD77D8">
        <w:rPr>
          <w:rFonts w:eastAsia="Arial"/>
          <w:sz w:val="18"/>
          <w:szCs w:val="18"/>
          <w:lang w:eastAsia="en-US"/>
        </w:rPr>
        <w:t>Transactions and balances are controlled by the department where they can be deployed for the achievement of the departmental objectives.</w:t>
      </w:r>
    </w:p>
    <w:p w14:paraId="5E9F125C" w14:textId="77777777" w:rsidR="00B9311E" w:rsidRPr="00BD77D8" w:rsidRDefault="00B9311E" w:rsidP="00587E62">
      <w:pPr>
        <w:spacing w:line="180" w:lineRule="atLeast"/>
        <w:ind w:right="216"/>
        <w:textAlignment w:val="baseline"/>
        <w:rPr>
          <w:rFonts w:eastAsia="Arial"/>
          <w:b/>
          <w:bCs/>
          <w:sz w:val="18"/>
          <w:szCs w:val="18"/>
          <w:lang w:eastAsia="en-US"/>
        </w:rPr>
      </w:pPr>
      <w:r w:rsidRPr="00BD77D8">
        <w:rPr>
          <w:rFonts w:eastAsia="Arial"/>
          <w:sz w:val="18"/>
          <w:szCs w:val="18"/>
          <w:lang w:eastAsia="en-US"/>
        </w:rPr>
        <w:t>The department administers, but does not control, certain activities on behalf of the Queensland Government. In doing so, it has responsibility for administering those activities (and related transactions and balances) efficiently and effectively but does not have the discretion to deploy those resources for the achievement of the department's own objectives.</w:t>
      </w:r>
    </w:p>
    <w:p w14:paraId="110E360D" w14:textId="77777777" w:rsidR="00B9311E" w:rsidRPr="00BD77D8" w:rsidRDefault="00B9311E" w:rsidP="00B9311E">
      <w:pPr>
        <w:spacing w:after="0" w:line="180" w:lineRule="atLeast"/>
        <w:ind w:right="72"/>
        <w:textAlignment w:val="baseline"/>
        <w:rPr>
          <w:rFonts w:eastAsia="Arial"/>
          <w:b/>
          <w:bCs/>
          <w:sz w:val="18"/>
          <w:szCs w:val="18"/>
          <w:lang w:eastAsia="en-US"/>
        </w:rPr>
      </w:pPr>
      <w:r w:rsidRPr="00BD77D8">
        <w:rPr>
          <w:rFonts w:eastAsia="Arial"/>
          <w:sz w:val="18"/>
          <w:szCs w:val="18"/>
          <w:lang w:eastAsia="en-US"/>
        </w:rPr>
        <w:t>The department has elected to report the administered transactions and balances as notes within the agency’s overall financial statements. Accounting policies applicable to administered items are consistent with the equivalent policies for controlled items, unless stated otherwise.</w:t>
      </w:r>
    </w:p>
    <w:p w14:paraId="693C3E5A" w14:textId="01CE9EBB" w:rsidR="00B9311E" w:rsidRPr="00BD77D8" w:rsidRDefault="00DE382E" w:rsidP="00B9311E">
      <w:pPr>
        <w:tabs>
          <w:tab w:val="left" w:pos="648"/>
        </w:tabs>
        <w:spacing w:after="0" w:line="180" w:lineRule="atLeast"/>
        <w:textAlignment w:val="baseline"/>
        <w:rPr>
          <w:rFonts w:eastAsia="Arial"/>
          <w:sz w:val="18"/>
          <w:szCs w:val="18"/>
          <w:lang w:eastAsia="en-US"/>
        </w:rPr>
      </w:pP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b/>
          <w:bCs/>
          <w:sz w:val="18"/>
          <w:szCs w:val="18"/>
          <w:lang w:eastAsia="en-US"/>
        </w:rPr>
        <w:tab/>
      </w:r>
      <w:r w:rsidRPr="00BD77D8">
        <w:rPr>
          <w:rFonts w:eastAsia="Arial"/>
          <w:sz w:val="18"/>
          <w:szCs w:val="18"/>
          <w:lang w:eastAsia="en-US"/>
        </w:rPr>
        <w:t>Page 12 of 45</w:t>
      </w:r>
    </w:p>
    <w:p w14:paraId="126AF8C9" w14:textId="77777777" w:rsidR="00B9311E" w:rsidRPr="00BD77D8" w:rsidRDefault="00B9311E" w:rsidP="00587E62">
      <w:pPr>
        <w:spacing w:before="120" w:after="0" w:line="206"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2CD6E28E"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4ABE2984"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7C4B952D" w14:textId="77777777" w:rsidR="00B9311E" w:rsidRPr="00BD77D8" w:rsidRDefault="00B9311E" w:rsidP="00B9311E">
      <w:pPr>
        <w:pBdr>
          <w:bottom w:val="single" w:sz="4" w:space="1" w:color="auto"/>
        </w:pBdr>
        <w:spacing w:after="0" w:line="206" w:lineRule="exact"/>
        <w:textAlignment w:val="baseline"/>
        <w:rPr>
          <w:rFonts w:eastAsia="Arial"/>
          <w:b/>
          <w:bCs/>
          <w:sz w:val="18"/>
          <w:szCs w:val="18"/>
          <w:lang w:eastAsia="en-US"/>
        </w:rPr>
      </w:pPr>
    </w:p>
    <w:p w14:paraId="6CE9AC6A" w14:textId="77777777" w:rsidR="00B9311E" w:rsidRPr="00BD77D8" w:rsidRDefault="00B9311E" w:rsidP="00E47A6E">
      <w:pPr>
        <w:spacing w:before="240" w:line="180" w:lineRule="atLeast"/>
        <w:rPr>
          <w:rFonts w:eastAsia="Arial"/>
          <w:b/>
          <w:bCs/>
          <w:spacing w:val="3"/>
          <w:sz w:val="22"/>
          <w:szCs w:val="22"/>
          <w:lang w:eastAsia="en-US"/>
        </w:rPr>
      </w:pPr>
      <w:r w:rsidRPr="00BD77D8">
        <w:rPr>
          <w:rFonts w:eastAsia="Arial"/>
          <w:b/>
          <w:bCs/>
          <w:spacing w:val="3"/>
          <w:sz w:val="22"/>
          <w:szCs w:val="22"/>
          <w:lang w:eastAsia="en-US"/>
        </w:rPr>
        <w:t>A2 Basis of financial Statements Preparation (Continued)</w:t>
      </w:r>
    </w:p>
    <w:p w14:paraId="194A4201" w14:textId="77777777" w:rsidR="00B9311E" w:rsidRPr="00BD77D8" w:rsidRDefault="00B9311E" w:rsidP="00587E62">
      <w:pPr>
        <w:spacing w:line="180" w:lineRule="atLeast"/>
        <w:textAlignment w:val="baseline"/>
        <w:rPr>
          <w:rFonts w:eastAsia="Arial"/>
          <w:b/>
          <w:bCs/>
          <w:spacing w:val="1"/>
          <w:sz w:val="18"/>
          <w:szCs w:val="18"/>
          <w:lang w:eastAsia="en-US"/>
        </w:rPr>
      </w:pPr>
      <w:r w:rsidRPr="00BD77D8">
        <w:rPr>
          <w:rFonts w:eastAsia="Arial"/>
          <w:b/>
          <w:bCs/>
          <w:spacing w:val="1"/>
          <w:sz w:val="18"/>
          <w:szCs w:val="18"/>
          <w:lang w:eastAsia="en-US"/>
        </w:rPr>
        <w:t>A2-7 Controlled and Administered Transactions and Balances (continued)</w:t>
      </w:r>
    </w:p>
    <w:p w14:paraId="4693A88F" w14:textId="77777777" w:rsidR="00B9311E" w:rsidRPr="00BD77D8" w:rsidRDefault="00B9311E" w:rsidP="00587E62">
      <w:pPr>
        <w:spacing w:line="180" w:lineRule="atLeast"/>
        <w:textAlignment w:val="baseline"/>
        <w:rPr>
          <w:rFonts w:eastAsia="Arial"/>
          <w:b/>
          <w:bCs/>
          <w:sz w:val="18"/>
          <w:szCs w:val="18"/>
          <w:lang w:eastAsia="en-US"/>
        </w:rPr>
      </w:pPr>
      <w:r w:rsidRPr="00BD77D8">
        <w:rPr>
          <w:rFonts w:eastAsia="Arial"/>
          <w:sz w:val="18"/>
          <w:szCs w:val="18"/>
          <w:lang w:eastAsia="en-US"/>
        </w:rPr>
        <w:t>The department's administered ledger is used for the following purposes:</w:t>
      </w:r>
    </w:p>
    <w:p w14:paraId="4FB5C5DC" w14:textId="77777777" w:rsidR="00B9311E" w:rsidRPr="00BD77D8" w:rsidRDefault="00B9311E" w:rsidP="003954C5">
      <w:pPr>
        <w:numPr>
          <w:ilvl w:val="0"/>
          <w:numId w:val="75"/>
        </w:numPr>
        <w:spacing w:line="180" w:lineRule="atLeast"/>
        <w:ind w:left="648" w:right="720" w:hanging="648"/>
        <w:textAlignment w:val="baseline"/>
        <w:rPr>
          <w:rFonts w:eastAsia="Arial"/>
          <w:b/>
          <w:bCs/>
          <w:sz w:val="18"/>
          <w:szCs w:val="18"/>
          <w:lang w:eastAsia="en-US"/>
        </w:rPr>
      </w:pPr>
      <w:r w:rsidRPr="00BD77D8">
        <w:rPr>
          <w:rFonts w:eastAsia="Arial"/>
          <w:sz w:val="18"/>
          <w:szCs w:val="18"/>
          <w:lang w:eastAsia="en-US"/>
        </w:rPr>
        <w:t>The payment to the National Disability Insurance Agency under the National Disability Insurance Scheme.</w:t>
      </w:r>
    </w:p>
    <w:p w14:paraId="0B793EF4" w14:textId="77777777" w:rsidR="00B9311E" w:rsidRPr="00BD77D8" w:rsidRDefault="00B9311E" w:rsidP="003954C5">
      <w:pPr>
        <w:numPr>
          <w:ilvl w:val="0"/>
          <w:numId w:val="75"/>
        </w:numPr>
        <w:spacing w:line="180" w:lineRule="atLeast"/>
        <w:ind w:left="648" w:hanging="648"/>
        <w:textAlignment w:val="baseline"/>
        <w:rPr>
          <w:rFonts w:eastAsia="Arial"/>
          <w:b/>
          <w:bCs/>
          <w:sz w:val="18"/>
          <w:szCs w:val="18"/>
          <w:lang w:eastAsia="en-US"/>
        </w:rPr>
      </w:pPr>
      <w:r w:rsidRPr="00BD77D8">
        <w:rPr>
          <w:rFonts w:eastAsia="Arial"/>
          <w:sz w:val="18"/>
          <w:szCs w:val="18"/>
          <w:lang w:eastAsia="en-US"/>
        </w:rPr>
        <w:t>The payment of concessions, such as rebates on household expenses, to eligible recipients.</w:t>
      </w:r>
    </w:p>
    <w:p w14:paraId="1525FA21" w14:textId="77777777" w:rsidR="00B9311E" w:rsidRPr="00BD77D8" w:rsidRDefault="00B9311E" w:rsidP="003954C5">
      <w:pPr>
        <w:numPr>
          <w:ilvl w:val="0"/>
          <w:numId w:val="75"/>
        </w:numPr>
        <w:spacing w:line="180" w:lineRule="atLeast"/>
        <w:ind w:left="648" w:right="360" w:hanging="648"/>
        <w:textAlignment w:val="baseline"/>
        <w:rPr>
          <w:rFonts w:eastAsia="Arial"/>
          <w:b/>
          <w:bCs/>
          <w:sz w:val="18"/>
          <w:szCs w:val="18"/>
          <w:lang w:eastAsia="en-US"/>
        </w:rPr>
      </w:pPr>
      <w:r w:rsidRPr="00BD77D8">
        <w:rPr>
          <w:rFonts w:eastAsia="Arial"/>
          <w:sz w:val="18"/>
          <w:szCs w:val="18"/>
          <w:lang w:eastAsia="en-US"/>
        </w:rPr>
        <w:t>The payment to the Western Cape Community Trust to provide and benefit the general welfare of the communities described under the Western Cape Co-Existence Agreement, including the Aboriginal communities and Traditional Owners of Western Cape York Peninsula.</w:t>
      </w:r>
    </w:p>
    <w:p w14:paraId="3D59D482" w14:textId="77777777" w:rsidR="00B9311E" w:rsidRPr="00BD77D8" w:rsidRDefault="00B9311E" w:rsidP="003954C5">
      <w:pPr>
        <w:numPr>
          <w:ilvl w:val="0"/>
          <w:numId w:val="75"/>
        </w:numPr>
        <w:spacing w:line="180" w:lineRule="atLeast"/>
        <w:ind w:left="648" w:right="504" w:hanging="648"/>
        <w:textAlignment w:val="baseline"/>
        <w:rPr>
          <w:rFonts w:eastAsia="Arial"/>
          <w:b/>
          <w:bCs/>
          <w:sz w:val="18"/>
          <w:szCs w:val="18"/>
          <w:lang w:eastAsia="en-US"/>
        </w:rPr>
      </w:pPr>
      <w:r w:rsidRPr="00BD77D8">
        <w:rPr>
          <w:rFonts w:eastAsia="Arial"/>
          <w:sz w:val="18"/>
          <w:szCs w:val="18"/>
          <w:lang w:eastAsia="en-US"/>
        </w:rPr>
        <w:t>The payment to the Family Responsibilities Commission to support welfare reform and responsible standards of behaviour, local authority and wellbeing.</w:t>
      </w:r>
    </w:p>
    <w:p w14:paraId="6D1B5FF7" w14:textId="77777777" w:rsidR="00B9311E" w:rsidRPr="00BD77D8" w:rsidRDefault="00B9311E" w:rsidP="00587E62">
      <w:pPr>
        <w:spacing w:line="180" w:lineRule="atLeast"/>
        <w:textAlignment w:val="baseline"/>
        <w:rPr>
          <w:rFonts w:eastAsia="Arial"/>
          <w:b/>
          <w:bCs/>
          <w:spacing w:val="4"/>
          <w:sz w:val="18"/>
          <w:szCs w:val="18"/>
          <w:lang w:eastAsia="en-US"/>
        </w:rPr>
      </w:pPr>
      <w:r w:rsidRPr="00BD77D8">
        <w:rPr>
          <w:rFonts w:eastAsia="Arial"/>
          <w:b/>
          <w:bCs/>
          <w:spacing w:val="4"/>
          <w:sz w:val="18"/>
          <w:szCs w:val="18"/>
          <w:lang w:eastAsia="en-US"/>
        </w:rPr>
        <w:t>A2-8 Taxation</w:t>
      </w:r>
    </w:p>
    <w:p w14:paraId="256EFE9D" w14:textId="77777777" w:rsidR="00B9311E" w:rsidRPr="00BD77D8" w:rsidRDefault="00B9311E" w:rsidP="00587E62">
      <w:pPr>
        <w:spacing w:line="180" w:lineRule="atLeast"/>
        <w:ind w:right="357"/>
        <w:textAlignment w:val="baseline"/>
        <w:rPr>
          <w:rFonts w:eastAsia="Arial"/>
          <w:b/>
          <w:bCs/>
          <w:sz w:val="18"/>
          <w:szCs w:val="18"/>
          <w:lang w:eastAsia="en-US"/>
        </w:rPr>
      </w:pPr>
      <w:r w:rsidRPr="00BD77D8">
        <w:rPr>
          <w:rFonts w:eastAsia="Arial"/>
          <w:sz w:val="18"/>
          <w:szCs w:val="18"/>
          <w:lang w:eastAsia="en-US"/>
        </w:rPr>
        <w:t xml:space="preserve">The department is a </w:t>
      </w:r>
      <w:proofErr w:type="gramStart"/>
      <w:r w:rsidRPr="00BD77D8">
        <w:rPr>
          <w:rFonts w:eastAsia="Arial"/>
          <w:sz w:val="18"/>
          <w:szCs w:val="18"/>
          <w:lang w:eastAsia="en-US"/>
        </w:rPr>
        <w:t>State</w:t>
      </w:r>
      <w:proofErr w:type="gramEnd"/>
      <w:r w:rsidRPr="00BD77D8">
        <w:rPr>
          <w:rFonts w:eastAsia="Arial"/>
          <w:sz w:val="18"/>
          <w:szCs w:val="18"/>
          <w:lang w:eastAsia="en-US"/>
        </w:rPr>
        <w:t xml:space="preserve"> body as defined under the </w:t>
      </w:r>
      <w:r w:rsidRPr="00BD77D8">
        <w:rPr>
          <w:rFonts w:eastAsia="Arial"/>
          <w:i/>
          <w:sz w:val="18"/>
          <w:szCs w:val="18"/>
          <w:lang w:eastAsia="en-US"/>
        </w:rPr>
        <w:t xml:space="preserve">Income Tax Assessment Act 1936 </w:t>
      </w:r>
      <w:r w:rsidRPr="00BD77D8">
        <w:rPr>
          <w:rFonts w:eastAsia="Arial"/>
          <w:sz w:val="18"/>
          <w:szCs w:val="18"/>
          <w:lang w:eastAsia="en-US"/>
        </w:rPr>
        <w:t>and is exempt from Commonwealth taxation with the exception of Fringe Benefits Tax (FBT) and Goods and Services Tax (GST). FBT and GST are the only taxes accounted for by the department. GST credits receivable from, and GST payable to, the Australian Taxation Office (ATO) are recognised (refer to Note C2).</w:t>
      </w:r>
    </w:p>
    <w:p w14:paraId="31EF77FA" w14:textId="77777777" w:rsidR="00B9311E" w:rsidRPr="00BD77D8" w:rsidRDefault="00B9311E" w:rsidP="00587E62">
      <w:pPr>
        <w:spacing w:line="180" w:lineRule="atLeast"/>
        <w:rPr>
          <w:rFonts w:eastAsia="Arial"/>
          <w:b/>
          <w:bCs/>
          <w:sz w:val="22"/>
          <w:szCs w:val="22"/>
          <w:lang w:eastAsia="en-US"/>
        </w:rPr>
      </w:pPr>
      <w:bookmarkStart w:id="77" w:name="_Toc111494802"/>
      <w:bookmarkStart w:id="78" w:name="_Toc111540674"/>
      <w:bookmarkStart w:id="79" w:name="_Toc111559237"/>
      <w:bookmarkStart w:id="80" w:name="_Toc113196509"/>
      <w:bookmarkStart w:id="81" w:name="_Toc113196857"/>
      <w:bookmarkStart w:id="82" w:name="_Toc113261987"/>
      <w:bookmarkStart w:id="83" w:name="_Toc113349141"/>
      <w:bookmarkStart w:id="84" w:name="_Toc113358066"/>
      <w:r w:rsidRPr="00BD77D8">
        <w:rPr>
          <w:rFonts w:eastAsia="Arial"/>
          <w:b/>
          <w:bCs/>
          <w:sz w:val="22"/>
          <w:szCs w:val="22"/>
          <w:lang w:eastAsia="en-US"/>
        </w:rPr>
        <w:t>A3 National Disability Insurance Scheme</w:t>
      </w:r>
      <w:bookmarkEnd w:id="77"/>
      <w:bookmarkEnd w:id="78"/>
      <w:bookmarkEnd w:id="79"/>
      <w:bookmarkEnd w:id="80"/>
      <w:bookmarkEnd w:id="81"/>
      <w:bookmarkEnd w:id="82"/>
      <w:bookmarkEnd w:id="83"/>
      <w:bookmarkEnd w:id="84"/>
    </w:p>
    <w:p w14:paraId="394730F1" w14:textId="77777777" w:rsidR="00B9311E" w:rsidRPr="00BD77D8" w:rsidRDefault="00B9311E" w:rsidP="00587E62">
      <w:pPr>
        <w:spacing w:line="180" w:lineRule="atLeast"/>
        <w:ind w:right="72"/>
        <w:textAlignment w:val="baseline"/>
        <w:rPr>
          <w:rFonts w:eastAsia="Arial"/>
          <w:b/>
          <w:bCs/>
          <w:sz w:val="18"/>
          <w:szCs w:val="18"/>
          <w:lang w:eastAsia="en-US"/>
        </w:rPr>
      </w:pPr>
      <w:r w:rsidRPr="00BD77D8">
        <w:rPr>
          <w:rFonts w:eastAsia="Arial"/>
          <w:sz w:val="18"/>
          <w:szCs w:val="18"/>
          <w:lang w:eastAsia="en-US"/>
        </w:rPr>
        <w:t xml:space="preserve">Full scheme arrangements under the Bilateral Agreement between the Commonwealth and State of Queensland on the National Disability Insurance Scheme (Full Scheme Agreement) commenced from 1 October 2020. Under the Full Scheme Agreement, Queensland has committed to paying its fixed and capped full scheme annual contribution of $2.128 Billion, indexed at 4% per annum. </w:t>
      </w:r>
    </w:p>
    <w:p w14:paraId="1968478B" w14:textId="77777777" w:rsidR="00B9311E" w:rsidRPr="00BD77D8" w:rsidRDefault="00B9311E" w:rsidP="00587E62">
      <w:pPr>
        <w:spacing w:line="180" w:lineRule="atLeast"/>
        <w:rPr>
          <w:rFonts w:eastAsia="Arial"/>
          <w:b/>
          <w:bCs/>
          <w:sz w:val="22"/>
          <w:szCs w:val="22"/>
          <w:lang w:eastAsia="en-US"/>
        </w:rPr>
      </w:pPr>
      <w:bookmarkStart w:id="85" w:name="_Toc111494803"/>
      <w:bookmarkStart w:id="86" w:name="_Toc111540675"/>
      <w:bookmarkStart w:id="87" w:name="_Toc111559238"/>
      <w:bookmarkStart w:id="88" w:name="_Toc113196510"/>
      <w:bookmarkStart w:id="89" w:name="_Toc113196858"/>
      <w:bookmarkStart w:id="90" w:name="_Toc113261988"/>
      <w:bookmarkStart w:id="91" w:name="_Toc113349142"/>
      <w:bookmarkStart w:id="92" w:name="_Toc113358067"/>
      <w:r w:rsidRPr="00BD77D8">
        <w:rPr>
          <w:rFonts w:eastAsia="Arial"/>
          <w:b/>
          <w:bCs/>
          <w:sz w:val="22"/>
          <w:szCs w:val="22"/>
          <w:lang w:eastAsia="en-US"/>
        </w:rPr>
        <w:t>A4 Machinery-of-Government (</w:t>
      </w:r>
      <w:proofErr w:type="spellStart"/>
      <w:r w:rsidRPr="00BD77D8">
        <w:rPr>
          <w:rFonts w:eastAsia="Arial"/>
          <w:b/>
          <w:bCs/>
          <w:sz w:val="22"/>
          <w:szCs w:val="22"/>
          <w:lang w:eastAsia="en-US"/>
        </w:rPr>
        <w:t>MoG</w:t>
      </w:r>
      <w:proofErr w:type="spellEnd"/>
      <w:r w:rsidRPr="00BD77D8">
        <w:rPr>
          <w:rFonts w:eastAsia="Arial"/>
          <w:b/>
          <w:bCs/>
          <w:sz w:val="22"/>
          <w:szCs w:val="22"/>
          <w:lang w:eastAsia="en-US"/>
        </w:rPr>
        <w:t>) Changes</w:t>
      </w:r>
      <w:bookmarkEnd w:id="85"/>
      <w:bookmarkEnd w:id="86"/>
      <w:bookmarkEnd w:id="87"/>
      <w:bookmarkEnd w:id="88"/>
      <w:bookmarkEnd w:id="89"/>
      <w:bookmarkEnd w:id="90"/>
      <w:bookmarkEnd w:id="91"/>
      <w:bookmarkEnd w:id="92"/>
    </w:p>
    <w:p w14:paraId="5B838BCC" w14:textId="77777777" w:rsidR="00B9311E" w:rsidRPr="00BD77D8" w:rsidRDefault="00B9311E" w:rsidP="00587E62">
      <w:pPr>
        <w:spacing w:line="240" w:lineRule="auto"/>
        <w:rPr>
          <w:rFonts w:eastAsia="PMingLiU"/>
          <w:b/>
          <w:bCs/>
          <w:sz w:val="18"/>
          <w:szCs w:val="22"/>
          <w:lang w:eastAsia="en-US"/>
        </w:rPr>
      </w:pPr>
      <w:r w:rsidRPr="00BD77D8">
        <w:rPr>
          <w:rFonts w:eastAsia="PMingLiU"/>
          <w:sz w:val="18"/>
          <w:szCs w:val="22"/>
          <w:lang w:eastAsia="en-US"/>
        </w:rPr>
        <w:t>Community Services activities were transferred to the Department of Communities, Housing and Digital Economy as part of Machinery-of-Government changes effective from 1 December 2020.</w:t>
      </w:r>
    </w:p>
    <w:p w14:paraId="1983B528" w14:textId="77777777" w:rsidR="00B9311E" w:rsidRPr="00BD77D8" w:rsidRDefault="00B9311E" w:rsidP="00587E62">
      <w:pPr>
        <w:spacing w:line="240" w:lineRule="auto"/>
        <w:rPr>
          <w:rFonts w:eastAsia="PMingLiU"/>
          <w:b/>
          <w:bCs/>
          <w:sz w:val="18"/>
          <w:szCs w:val="22"/>
          <w:lang w:eastAsia="en-US"/>
        </w:rPr>
      </w:pPr>
      <w:r w:rsidRPr="00BD77D8">
        <w:rPr>
          <w:rFonts w:eastAsia="PMingLiU"/>
          <w:sz w:val="18"/>
          <w:szCs w:val="22"/>
          <w:lang w:eastAsia="en-US"/>
        </w:rPr>
        <w:t>On 24 June 2022 a final transfer of assets to the Department of Communities, Housing and Digital Economy totalling $0.013M was completed (refer to Statement of Changes in Equity and Note C4-1).</w:t>
      </w:r>
    </w:p>
    <w:p w14:paraId="0B3BF823" w14:textId="77777777" w:rsidR="00B9311E" w:rsidRPr="00BD77D8" w:rsidRDefault="00B9311E" w:rsidP="00B9311E">
      <w:pPr>
        <w:spacing w:after="0" w:line="240" w:lineRule="auto"/>
        <w:rPr>
          <w:rFonts w:eastAsia="PMingLiU"/>
          <w:b/>
          <w:bCs/>
          <w:sz w:val="18"/>
          <w:szCs w:val="22"/>
          <w:lang w:eastAsia="en-US"/>
        </w:rPr>
      </w:pPr>
      <w:r w:rsidRPr="00BD77D8">
        <w:rPr>
          <w:rFonts w:eastAsia="PMingLiU"/>
          <w:sz w:val="18"/>
          <w:szCs w:val="22"/>
          <w:lang w:eastAsia="en-US"/>
        </w:rPr>
        <w:t xml:space="preserve">The Community Services activities continued to operate within the Department’s financial and human resource systems during 2021-22 until the Department of Communities, Housing and Digital Economy (DCHDE) established its own systems. DCHDE reimbursed the department for those Community Services costs incurred: ($17.645M) for 2021-22 ($52.029M in 2020-21). Those transactions are not incorporated into the department’s financial results.  </w:t>
      </w:r>
    </w:p>
    <w:p w14:paraId="1F37747B" w14:textId="0A66F760" w:rsidR="00B9311E" w:rsidRPr="00BD77D8" w:rsidRDefault="00DE382E" w:rsidP="008977D0">
      <w:pPr>
        <w:spacing w:before="3000" w:after="0" w:line="240" w:lineRule="auto"/>
        <w:rPr>
          <w:sz w:val="24"/>
          <w:szCs w:val="24"/>
          <w:lang w:eastAsia="en-US"/>
        </w:rPr>
      </w:pP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24"/>
          <w:szCs w:val="24"/>
          <w:lang w:eastAsia="en-US"/>
        </w:rPr>
        <w:tab/>
      </w:r>
      <w:r w:rsidRPr="00BD77D8">
        <w:rPr>
          <w:rFonts w:eastAsia="PMingLiU"/>
          <w:sz w:val="18"/>
          <w:szCs w:val="18"/>
          <w:lang w:eastAsia="en-US"/>
        </w:rPr>
        <w:t>Page 13 of 45</w:t>
      </w:r>
      <w:r w:rsidR="00B9311E" w:rsidRPr="00BD77D8">
        <w:rPr>
          <w:rFonts w:eastAsia="PMingLiU"/>
          <w:sz w:val="24"/>
          <w:szCs w:val="24"/>
          <w:lang w:eastAsia="en-US"/>
        </w:rPr>
        <w:br w:type="page"/>
      </w:r>
    </w:p>
    <w:p w14:paraId="2D7C5F1D"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17599981"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6362A5A7"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5A79F5EC" w14:textId="77777777" w:rsidR="00B9311E" w:rsidRPr="00BD77D8" w:rsidRDefault="00B9311E" w:rsidP="00B9311E">
      <w:pPr>
        <w:pBdr>
          <w:bottom w:val="single" w:sz="4" w:space="1" w:color="auto"/>
        </w:pBdr>
        <w:spacing w:after="0" w:line="206" w:lineRule="exact"/>
        <w:textAlignment w:val="baseline"/>
        <w:rPr>
          <w:rFonts w:eastAsia="Arial"/>
          <w:bCs/>
          <w:sz w:val="18"/>
          <w:szCs w:val="18"/>
          <w:lang w:eastAsia="en-US"/>
        </w:rPr>
      </w:pPr>
    </w:p>
    <w:p w14:paraId="4F4225AF" w14:textId="4E811B88" w:rsidR="00B9311E" w:rsidRPr="00BD77D8" w:rsidRDefault="00B9311E" w:rsidP="00E47A6E">
      <w:pPr>
        <w:spacing w:before="240"/>
        <w:rPr>
          <w:rFonts w:eastAsia="PMingLiU"/>
          <w:sz w:val="18"/>
          <w:szCs w:val="22"/>
          <w:lang w:eastAsia="en-US"/>
        </w:rPr>
      </w:pPr>
      <w:bookmarkStart w:id="93" w:name="_Toc111494804"/>
      <w:bookmarkStart w:id="94" w:name="_Toc111540676"/>
      <w:bookmarkStart w:id="95" w:name="_Toc111559239"/>
      <w:bookmarkStart w:id="96" w:name="_Toc113196511"/>
      <w:bookmarkStart w:id="97" w:name="_Toc113196859"/>
      <w:bookmarkStart w:id="98" w:name="_Toc113261989"/>
      <w:bookmarkStart w:id="99" w:name="_Toc113349143"/>
      <w:bookmarkStart w:id="100" w:name="_Toc113358068"/>
      <w:r w:rsidRPr="00BD77D8">
        <w:rPr>
          <w:b/>
          <w:bCs/>
          <w:sz w:val="24"/>
          <w:szCs w:val="24"/>
          <w:lang w:eastAsia="en-US"/>
        </w:rPr>
        <w:t>Our Performance</w:t>
      </w:r>
      <w:bookmarkEnd w:id="93"/>
      <w:bookmarkEnd w:id="94"/>
      <w:bookmarkEnd w:id="95"/>
      <w:bookmarkEnd w:id="96"/>
      <w:bookmarkEnd w:id="97"/>
      <w:bookmarkEnd w:id="98"/>
      <w:bookmarkEnd w:id="99"/>
      <w:bookmarkEnd w:id="100"/>
    </w:p>
    <w:p w14:paraId="37AC852A" w14:textId="77777777" w:rsidR="00B9311E" w:rsidRPr="00BD77D8" w:rsidRDefault="00B9311E" w:rsidP="00587E62">
      <w:pPr>
        <w:spacing w:after="240" w:line="180" w:lineRule="atLeast"/>
        <w:rPr>
          <w:b/>
          <w:bCs/>
          <w:sz w:val="22"/>
          <w:szCs w:val="22"/>
          <w:lang w:eastAsia="en-US"/>
        </w:rPr>
      </w:pPr>
      <w:bookmarkStart w:id="101" w:name="_Toc111494805"/>
      <w:bookmarkStart w:id="102" w:name="_Toc111540677"/>
      <w:bookmarkStart w:id="103" w:name="_Toc111559240"/>
      <w:bookmarkStart w:id="104" w:name="_Toc113196512"/>
      <w:bookmarkStart w:id="105" w:name="_Toc113196860"/>
      <w:bookmarkStart w:id="106" w:name="_Toc113261990"/>
      <w:bookmarkStart w:id="107" w:name="_Toc113349144"/>
      <w:bookmarkStart w:id="108" w:name="_Toc113358069"/>
      <w:r w:rsidRPr="00BD77D8">
        <w:rPr>
          <w:b/>
          <w:bCs/>
          <w:sz w:val="22"/>
          <w:szCs w:val="22"/>
          <w:lang w:eastAsia="en-US"/>
        </w:rPr>
        <w:t>B1 Revenue</w:t>
      </w:r>
      <w:bookmarkEnd w:id="101"/>
      <w:bookmarkEnd w:id="102"/>
      <w:bookmarkEnd w:id="103"/>
      <w:bookmarkEnd w:id="104"/>
      <w:bookmarkEnd w:id="105"/>
      <w:bookmarkEnd w:id="106"/>
      <w:bookmarkEnd w:id="107"/>
      <w:bookmarkEnd w:id="108"/>
    </w:p>
    <w:p w14:paraId="1953614F" w14:textId="77777777" w:rsidR="00B9311E" w:rsidRPr="00BD77D8" w:rsidRDefault="00B9311E" w:rsidP="00B9311E">
      <w:pPr>
        <w:spacing w:after="0" w:line="240" w:lineRule="auto"/>
        <w:rPr>
          <w:rFonts w:eastAsia="PMingLiU"/>
          <w:b/>
          <w:bCs/>
          <w:sz w:val="18"/>
          <w:szCs w:val="22"/>
          <w:lang w:eastAsia="en-US"/>
        </w:rPr>
      </w:pPr>
      <w:r w:rsidRPr="00BD77D8">
        <w:rPr>
          <w:rFonts w:eastAsia="PMingLiU"/>
          <w:b/>
          <w:bCs/>
          <w:sz w:val="18"/>
          <w:szCs w:val="22"/>
          <w:lang w:eastAsia="en-US"/>
        </w:rPr>
        <w:t>B1-1 Appropriation Revenue</w:t>
      </w:r>
    </w:p>
    <w:tbl>
      <w:tblPr>
        <w:tblW w:w="10348" w:type="dxa"/>
        <w:tblCellMar>
          <w:left w:w="0" w:type="dxa"/>
          <w:right w:w="0" w:type="dxa"/>
        </w:tblCellMar>
        <w:tblLook w:val="04A0" w:firstRow="1" w:lastRow="0" w:firstColumn="1" w:lastColumn="0" w:noHBand="0" w:noVBand="1"/>
      </w:tblPr>
      <w:tblGrid>
        <w:gridCol w:w="7808"/>
        <w:gridCol w:w="1216"/>
        <w:gridCol w:w="1324"/>
      </w:tblGrid>
      <w:tr w:rsidR="00BD77D8" w:rsidRPr="00BD77D8" w14:paraId="325E74D3" w14:textId="77777777" w:rsidTr="003057FB">
        <w:trPr>
          <w:trHeight w:val="256"/>
        </w:trPr>
        <w:tc>
          <w:tcPr>
            <w:tcW w:w="0" w:type="auto"/>
            <w:tcBorders>
              <w:top w:val="nil"/>
              <w:left w:val="nil"/>
              <w:bottom w:val="nil"/>
              <w:right w:val="nil"/>
            </w:tcBorders>
            <w:shd w:val="clear" w:color="auto" w:fill="auto"/>
            <w:noWrap/>
            <w:vAlign w:val="bottom"/>
            <w:hideMark/>
          </w:tcPr>
          <w:p w14:paraId="2EC8C048" w14:textId="77777777" w:rsidR="00B9311E" w:rsidRPr="00BD77D8" w:rsidRDefault="00B9311E" w:rsidP="00B9311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hideMark/>
          </w:tcPr>
          <w:p w14:paraId="668566EA" w14:textId="77777777" w:rsidR="00B9311E" w:rsidRPr="00BD77D8" w:rsidRDefault="00B9311E" w:rsidP="00B9311E">
            <w:pPr>
              <w:spacing w:after="0" w:line="240" w:lineRule="auto"/>
              <w:jc w:val="right"/>
              <w:rPr>
                <w:b/>
                <w:bCs/>
                <w:sz w:val="18"/>
                <w:szCs w:val="18"/>
              </w:rPr>
            </w:pPr>
            <w:r w:rsidRPr="00BD77D8">
              <w:rPr>
                <w:b/>
                <w:bCs/>
                <w:sz w:val="18"/>
                <w:szCs w:val="18"/>
              </w:rPr>
              <w:t xml:space="preserve">           2022 </w:t>
            </w:r>
          </w:p>
        </w:tc>
        <w:tc>
          <w:tcPr>
            <w:tcW w:w="1308" w:type="dxa"/>
            <w:tcBorders>
              <w:top w:val="nil"/>
              <w:left w:val="nil"/>
              <w:bottom w:val="nil"/>
              <w:right w:val="nil"/>
            </w:tcBorders>
            <w:shd w:val="clear" w:color="auto" w:fill="auto"/>
            <w:noWrap/>
            <w:hideMark/>
          </w:tcPr>
          <w:p w14:paraId="26CA1A44" w14:textId="77777777" w:rsidR="00B9311E" w:rsidRPr="00BD77D8" w:rsidRDefault="00B9311E" w:rsidP="00B9311E">
            <w:pPr>
              <w:spacing w:after="0" w:line="240" w:lineRule="auto"/>
              <w:jc w:val="right"/>
              <w:rPr>
                <w:b/>
                <w:bCs/>
                <w:sz w:val="18"/>
                <w:szCs w:val="18"/>
              </w:rPr>
            </w:pPr>
            <w:r w:rsidRPr="00BD77D8">
              <w:rPr>
                <w:b/>
                <w:bCs/>
                <w:sz w:val="18"/>
                <w:szCs w:val="18"/>
              </w:rPr>
              <w:t xml:space="preserve">           2021 </w:t>
            </w:r>
          </w:p>
        </w:tc>
      </w:tr>
      <w:tr w:rsidR="00BD77D8" w:rsidRPr="00BD77D8" w14:paraId="77C301E9" w14:textId="77777777" w:rsidTr="003057FB">
        <w:trPr>
          <w:trHeight w:val="256"/>
        </w:trPr>
        <w:tc>
          <w:tcPr>
            <w:tcW w:w="0" w:type="auto"/>
            <w:tcBorders>
              <w:top w:val="nil"/>
              <w:left w:val="nil"/>
              <w:bottom w:val="nil"/>
              <w:right w:val="nil"/>
            </w:tcBorders>
            <w:shd w:val="clear" w:color="auto" w:fill="auto"/>
            <w:noWrap/>
            <w:vAlign w:val="bottom"/>
            <w:hideMark/>
          </w:tcPr>
          <w:p w14:paraId="6CB49F7C" w14:textId="77777777" w:rsidR="00B9311E" w:rsidRPr="00BD77D8" w:rsidRDefault="00B9311E" w:rsidP="00B9311E">
            <w:pPr>
              <w:spacing w:after="0" w:line="240" w:lineRule="auto"/>
              <w:jc w:val="right"/>
              <w:rPr>
                <w:b/>
                <w:bCs/>
                <w:sz w:val="18"/>
                <w:szCs w:val="18"/>
              </w:rPr>
            </w:pPr>
          </w:p>
        </w:tc>
        <w:tc>
          <w:tcPr>
            <w:tcW w:w="0" w:type="auto"/>
            <w:tcBorders>
              <w:top w:val="nil"/>
              <w:left w:val="nil"/>
              <w:bottom w:val="single" w:sz="4" w:space="0" w:color="auto"/>
              <w:right w:val="nil"/>
            </w:tcBorders>
            <w:shd w:val="clear" w:color="auto" w:fill="auto"/>
            <w:noWrap/>
            <w:hideMark/>
          </w:tcPr>
          <w:p w14:paraId="68575A45"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308" w:type="dxa"/>
            <w:tcBorders>
              <w:top w:val="nil"/>
              <w:left w:val="nil"/>
              <w:bottom w:val="single" w:sz="4" w:space="0" w:color="auto"/>
              <w:right w:val="nil"/>
            </w:tcBorders>
            <w:shd w:val="clear" w:color="auto" w:fill="auto"/>
            <w:noWrap/>
            <w:hideMark/>
          </w:tcPr>
          <w:p w14:paraId="7A2EFD94"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2E2A7AC7" w14:textId="77777777" w:rsidTr="003057FB">
        <w:trPr>
          <w:trHeight w:val="256"/>
        </w:trPr>
        <w:tc>
          <w:tcPr>
            <w:tcW w:w="0" w:type="auto"/>
            <w:tcBorders>
              <w:top w:val="nil"/>
              <w:left w:val="nil"/>
              <w:bottom w:val="nil"/>
              <w:right w:val="nil"/>
            </w:tcBorders>
            <w:shd w:val="clear" w:color="auto" w:fill="auto"/>
            <w:vAlign w:val="bottom"/>
            <w:hideMark/>
          </w:tcPr>
          <w:p w14:paraId="0F2D3E42" w14:textId="77777777" w:rsidR="00B9311E" w:rsidRPr="00BD77D8" w:rsidRDefault="00B9311E" w:rsidP="00B9311E">
            <w:pPr>
              <w:spacing w:after="0" w:line="240" w:lineRule="auto"/>
              <w:rPr>
                <w:b/>
                <w:bCs/>
                <w:sz w:val="18"/>
                <w:szCs w:val="18"/>
              </w:rPr>
            </w:pPr>
            <w:r w:rsidRPr="00BD77D8">
              <w:rPr>
                <w:b/>
                <w:bCs/>
                <w:sz w:val="18"/>
                <w:szCs w:val="18"/>
              </w:rPr>
              <w:t xml:space="preserve">Reconciliation of Payments from Consolidated Fund to Appropriation </w:t>
            </w:r>
            <w:r w:rsidRPr="00BD77D8">
              <w:rPr>
                <w:b/>
                <w:bCs/>
                <w:sz w:val="18"/>
                <w:szCs w:val="18"/>
              </w:rPr>
              <w:br/>
              <w:t>Revenue Recognised in Operating Result</w:t>
            </w:r>
          </w:p>
        </w:tc>
        <w:tc>
          <w:tcPr>
            <w:tcW w:w="0" w:type="auto"/>
            <w:tcBorders>
              <w:top w:val="nil"/>
              <w:left w:val="nil"/>
              <w:bottom w:val="nil"/>
              <w:right w:val="nil"/>
            </w:tcBorders>
            <w:shd w:val="clear" w:color="auto" w:fill="auto"/>
            <w:noWrap/>
            <w:vAlign w:val="bottom"/>
            <w:hideMark/>
          </w:tcPr>
          <w:p w14:paraId="55BA3222" w14:textId="77777777" w:rsidR="00B9311E" w:rsidRPr="00BD77D8" w:rsidRDefault="00B9311E" w:rsidP="00B9311E">
            <w:pPr>
              <w:spacing w:after="0" w:line="240" w:lineRule="auto"/>
              <w:rPr>
                <w:b/>
                <w:bCs/>
                <w:sz w:val="18"/>
                <w:szCs w:val="18"/>
              </w:rPr>
            </w:pPr>
          </w:p>
        </w:tc>
        <w:tc>
          <w:tcPr>
            <w:tcW w:w="1308" w:type="dxa"/>
            <w:tcBorders>
              <w:top w:val="nil"/>
              <w:left w:val="nil"/>
              <w:bottom w:val="nil"/>
              <w:right w:val="nil"/>
            </w:tcBorders>
            <w:shd w:val="clear" w:color="auto" w:fill="auto"/>
            <w:noWrap/>
            <w:vAlign w:val="bottom"/>
            <w:hideMark/>
          </w:tcPr>
          <w:p w14:paraId="6322191E" w14:textId="77777777" w:rsidR="00B9311E" w:rsidRPr="00BD77D8" w:rsidRDefault="00B9311E" w:rsidP="00B9311E">
            <w:pPr>
              <w:spacing w:after="0" w:line="240" w:lineRule="auto"/>
              <w:jc w:val="center"/>
              <w:rPr>
                <w:rFonts w:ascii="Times New Roman" w:hAnsi="Times New Roman" w:cs="Times New Roman"/>
                <w:sz w:val="20"/>
                <w:szCs w:val="20"/>
              </w:rPr>
            </w:pPr>
          </w:p>
        </w:tc>
      </w:tr>
      <w:tr w:rsidR="00BD77D8" w:rsidRPr="00BD77D8" w14:paraId="3291535B" w14:textId="77777777" w:rsidTr="003057FB">
        <w:trPr>
          <w:trHeight w:val="256"/>
        </w:trPr>
        <w:tc>
          <w:tcPr>
            <w:tcW w:w="0" w:type="auto"/>
            <w:tcBorders>
              <w:top w:val="nil"/>
              <w:left w:val="nil"/>
              <w:bottom w:val="nil"/>
              <w:right w:val="nil"/>
            </w:tcBorders>
            <w:shd w:val="clear" w:color="auto" w:fill="auto"/>
            <w:noWrap/>
            <w:vAlign w:val="bottom"/>
            <w:hideMark/>
          </w:tcPr>
          <w:p w14:paraId="2EB4E6D5" w14:textId="77777777" w:rsidR="00B9311E" w:rsidRPr="00BD77D8" w:rsidRDefault="00B9311E" w:rsidP="00B9311E">
            <w:pPr>
              <w:spacing w:after="0" w:line="240" w:lineRule="auto"/>
              <w:rPr>
                <w:sz w:val="18"/>
                <w:szCs w:val="18"/>
              </w:rPr>
            </w:pPr>
            <w:r w:rsidRPr="00BD77D8">
              <w:rPr>
                <w:sz w:val="18"/>
                <w:szCs w:val="18"/>
              </w:rPr>
              <w:t>Budgeted appropriation revenue</w:t>
            </w:r>
          </w:p>
        </w:tc>
        <w:tc>
          <w:tcPr>
            <w:tcW w:w="0" w:type="auto"/>
            <w:tcBorders>
              <w:top w:val="nil"/>
              <w:left w:val="nil"/>
              <w:bottom w:val="nil"/>
              <w:right w:val="nil"/>
            </w:tcBorders>
            <w:shd w:val="clear" w:color="auto" w:fill="auto"/>
            <w:vAlign w:val="center"/>
            <w:hideMark/>
          </w:tcPr>
          <w:p w14:paraId="6D08383E" w14:textId="77777777" w:rsidR="00B9311E" w:rsidRPr="00BD77D8" w:rsidRDefault="00B9311E" w:rsidP="00B9311E">
            <w:pPr>
              <w:spacing w:after="0" w:line="240" w:lineRule="auto"/>
              <w:jc w:val="right"/>
              <w:rPr>
                <w:sz w:val="18"/>
                <w:szCs w:val="18"/>
              </w:rPr>
            </w:pPr>
            <w:r w:rsidRPr="00BD77D8">
              <w:rPr>
                <w:sz w:val="18"/>
                <w:szCs w:val="18"/>
              </w:rPr>
              <w:t xml:space="preserve">     295,216 </w:t>
            </w:r>
          </w:p>
        </w:tc>
        <w:tc>
          <w:tcPr>
            <w:tcW w:w="1308" w:type="dxa"/>
            <w:tcBorders>
              <w:top w:val="nil"/>
              <w:left w:val="nil"/>
              <w:bottom w:val="nil"/>
              <w:right w:val="nil"/>
            </w:tcBorders>
            <w:shd w:val="clear" w:color="auto" w:fill="auto"/>
            <w:vAlign w:val="center"/>
            <w:hideMark/>
          </w:tcPr>
          <w:p w14:paraId="6F628B92" w14:textId="77777777" w:rsidR="00B9311E" w:rsidRPr="00BD77D8" w:rsidRDefault="00B9311E" w:rsidP="00B9311E">
            <w:pPr>
              <w:spacing w:after="0" w:line="240" w:lineRule="auto"/>
              <w:jc w:val="right"/>
              <w:rPr>
                <w:sz w:val="18"/>
                <w:szCs w:val="18"/>
              </w:rPr>
            </w:pPr>
            <w:r w:rsidRPr="00BD77D8">
              <w:rPr>
                <w:sz w:val="18"/>
                <w:szCs w:val="18"/>
              </w:rPr>
              <w:t xml:space="preserve">     328,408 </w:t>
            </w:r>
          </w:p>
        </w:tc>
      </w:tr>
      <w:tr w:rsidR="00BD77D8" w:rsidRPr="00BD77D8" w14:paraId="6CB8700C" w14:textId="77777777" w:rsidTr="003057FB">
        <w:trPr>
          <w:trHeight w:val="256"/>
        </w:trPr>
        <w:tc>
          <w:tcPr>
            <w:tcW w:w="0" w:type="auto"/>
            <w:tcBorders>
              <w:top w:val="nil"/>
              <w:left w:val="nil"/>
              <w:bottom w:val="nil"/>
              <w:right w:val="nil"/>
            </w:tcBorders>
            <w:shd w:val="clear" w:color="auto" w:fill="auto"/>
            <w:noWrap/>
            <w:vAlign w:val="bottom"/>
            <w:hideMark/>
          </w:tcPr>
          <w:p w14:paraId="0C379285" w14:textId="77777777" w:rsidR="00B9311E" w:rsidRPr="00BD77D8" w:rsidRDefault="00B9311E" w:rsidP="00B9311E">
            <w:pPr>
              <w:spacing w:after="0" w:line="240" w:lineRule="auto"/>
              <w:rPr>
                <w:sz w:val="18"/>
                <w:szCs w:val="18"/>
              </w:rPr>
            </w:pPr>
            <w:r w:rsidRPr="00BD77D8">
              <w:rPr>
                <w:sz w:val="18"/>
                <w:szCs w:val="18"/>
              </w:rPr>
              <w:t>Treasurer's transfers</w:t>
            </w:r>
          </w:p>
        </w:tc>
        <w:tc>
          <w:tcPr>
            <w:tcW w:w="0" w:type="auto"/>
            <w:tcBorders>
              <w:top w:val="nil"/>
              <w:left w:val="nil"/>
              <w:bottom w:val="nil"/>
              <w:right w:val="nil"/>
            </w:tcBorders>
            <w:shd w:val="clear" w:color="auto" w:fill="auto"/>
            <w:vAlign w:val="center"/>
            <w:hideMark/>
          </w:tcPr>
          <w:p w14:paraId="4AFC9E3B"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308" w:type="dxa"/>
            <w:tcBorders>
              <w:top w:val="nil"/>
              <w:left w:val="nil"/>
              <w:bottom w:val="nil"/>
              <w:right w:val="nil"/>
            </w:tcBorders>
            <w:shd w:val="clear" w:color="auto" w:fill="auto"/>
            <w:vAlign w:val="center"/>
            <w:hideMark/>
          </w:tcPr>
          <w:p w14:paraId="584F13D3" w14:textId="77777777" w:rsidR="00B9311E" w:rsidRPr="00BD77D8" w:rsidRDefault="00B9311E" w:rsidP="00B9311E">
            <w:pPr>
              <w:spacing w:after="0" w:line="240" w:lineRule="auto"/>
              <w:jc w:val="right"/>
              <w:rPr>
                <w:sz w:val="18"/>
                <w:szCs w:val="18"/>
              </w:rPr>
            </w:pPr>
            <w:r w:rsidRPr="00BD77D8">
              <w:rPr>
                <w:sz w:val="18"/>
                <w:szCs w:val="18"/>
              </w:rPr>
              <w:t xml:space="preserve">        (5,520)</w:t>
            </w:r>
          </w:p>
        </w:tc>
      </w:tr>
      <w:tr w:rsidR="00BD77D8" w:rsidRPr="00BD77D8" w14:paraId="37292CE0" w14:textId="77777777" w:rsidTr="003057FB">
        <w:trPr>
          <w:trHeight w:val="256"/>
        </w:trPr>
        <w:tc>
          <w:tcPr>
            <w:tcW w:w="0" w:type="auto"/>
            <w:tcBorders>
              <w:top w:val="nil"/>
              <w:left w:val="nil"/>
              <w:bottom w:val="nil"/>
              <w:right w:val="nil"/>
            </w:tcBorders>
            <w:shd w:val="clear" w:color="auto" w:fill="auto"/>
            <w:noWrap/>
            <w:vAlign w:val="bottom"/>
            <w:hideMark/>
          </w:tcPr>
          <w:p w14:paraId="7AAF79DC" w14:textId="77777777" w:rsidR="00B9311E" w:rsidRPr="00BD77D8" w:rsidRDefault="00B9311E" w:rsidP="00B9311E">
            <w:pPr>
              <w:spacing w:after="0" w:line="240" w:lineRule="auto"/>
              <w:rPr>
                <w:sz w:val="18"/>
                <w:szCs w:val="18"/>
              </w:rPr>
            </w:pPr>
            <w:r w:rsidRPr="00BD77D8">
              <w:rPr>
                <w:sz w:val="18"/>
                <w:szCs w:val="18"/>
              </w:rPr>
              <w:t>Lapsed appropriation revenue</w:t>
            </w:r>
          </w:p>
        </w:tc>
        <w:tc>
          <w:tcPr>
            <w:tcW w:w="0" w:type="auto"/>
            <w:tcBorders>
              <w:top w:val="nil"/>
              <w:left w:val="nil"/>
              <w:bottom w:val="nil"/>
              <w:right w:val="nil"/>
            </w:tcBorders>
            <w:shd w:val="clear" w:color="auto" w:fill="auto"/>
            <w:vAlign w:val="center"/>
            <w:hideMark/>
          </w:tcPr>
          <w:p w14:paraId="38E2F6B7" w14:textId="77777777" w:rsidR="00B9311E" w:rsidRPr="00BD77D8" w:rsidRDefault="00B9311E" w:rsidP="00B9311E">
            <w:pPr>
              <w:spacing w:after="0" w:line="240" w:lineRule="auto"/>
              <w:jc w:val="right"/>
              <w:rPr>
                <w:sz w:val="18"/>
                <w:szCs w:val="18"/>
              </w:rPr>
            </w:pPr>
            <w:r w:rsidRPr="00BD77D8">
              <w:rPr>
                <w:sz w:val="18"/>
                <w:szCs w:val="18"/>
              </w:rPr>
              <w:t xml:space="preserve">      (20,675)</w:t>
            </w:r>
          </w:p>
        </w:tc>
        <w:tc>
          <w:tcPr>
            <w:tcW w:w="1308" w:type="dxa"/>
            <w:tcBorders>
              <w:top w:val="nil"/>
              <w:left w:val="nil"/>
              <w:bottom w:val="nil"/>
              <w:right w:val="nil"/>
            </w:tcBorders>
            <w:shd w:val="clear" w:color="auto" w:fill="auto"/>
            <w:vAlign w:val="center"/>
            <w:hideMark/>
          </w:tcPr>
          <w:p w14:paraId="761FA5D1" w14:textId="77777777" w:rsidR="00B9311E" w:rsidRPr="00BD77D8" w:rsidRDefault="00B9311E" w:rsidP="00B9311E">
            <w:pPr>
              <w:spacing w:after="0" w:line="240" w:lineRule="auto"/>
              <w:jc w:val="right"/>
              <w:rPr>
                <w:sz w:val="18"/>
                <w:szCs w:val="18"/>
              </w:rPr>
            </w:pPr>
            <w:r w:rsidRPr="00BD77D8">
              <w:rPr>
                <w:sz w:val="18"/>
                <w:szCs w:val="18"/>
              </w:rPr>
              <w:t xml:space="preserve">        (6,262)</w:t>
            </w:r>
          </w:p>
        </w:tc>
      </w:tr>
      <w:tr w:rsidR="00BD77D8" w:rsidRPr="00BD77D8" w14:paraId="25A52774" w14:textId="77777777" w:rsidTr="003057FB">
        <w:trPr>
          <w:trHeight w:val="256"/>
        </w:trPr>
        <w:tc>
          <w:tcPr>
            <w:tcW w:w="0" w:type="auto"/>
            <w:tcBorders>
              <w:top w:val="nil"/>
              <w:left w:val="nil"/>
              <w:bottom w:val="nil"/>
              <w:right w:val="nil"/>
            </w:tcBorders>
            <w:shd w:val="clear" w:color="auto" w:fill="auto"/>
            <w:noWrap/>
            <w:vAlign w:val="bottom"/>
            <w:hideMark/>
          </w:tcPr>
          <w:p w14:paraId="41AB6138" w14:textId="77777777" w:rsidR="00B9311E" w:rsidRPr="00BD77D8" w:rsidRDefault="00B9311E" w:rsidP="00B9311E">
            <w:pPr>
              <w:spacing w:after="0" w:line="240" w:lineRule="auto"/>
              <w:rPr>
                <w:b/>
                <w:bCs/>
                <w:sz w:val="18"/>
                <w:szCs w:val="18"/>
              </w:rPr>
            </w:pPr>
            <w:r w:rsidRPr="00BD77D8">
              <w:rPr>
                <w:b/>
                <w:bCs/>
                <w:sz w:val="18"/>
                <w:szCs w:val="18"/>
              </w:rPr>
              <w:t>Total Appropriation Receipts (cash)</w:t>
            </w:r>
          </w:p>
        </w:tc>
        <w:tc>
          <w:tcPr>
            <w:tcW w:w="0" w:type="auto"/>
            <w:tcBorders>
              <w:top w:val="single" w:sz="4" w:space="0" w:color="auto"/>
              <w:left w:val="nil"/>
              <w:bottom w:val="single" w:sz="4" w:space="0" w:color="auto"/>
              <w:right w:val="nil"/>
            </w:tcBorders>
            <w:shd w:val="clear" w:color="auto" w:fill="auto"/>
            <w:vAlign w:val="center"/>
            <w:hideMark/>
          </w:tcPr>
          <w:p w14:paraId="66BD84FF" w14:textId="77777777" w:rsidR="00B9311E" w:rsidRPr="00BD77D8" w:rsidRDefault="00B9311E" w:rsidP="00B9311E">
            <w:pPr>
              <w:spacing w:after="0" w:line="240" w:lineRule="auto"/>
              <w:jc w:val="right"/>
              <w:rPr>
                <w:b/>
                <w:bCs/>
                <w:sz w:val="18"/>
                <w:szCs w:val="18"/>
              </w:rPr>
            </w:pPr>
            <w:r w:rsidRPr="00BD77D8">
              <w:rPr>
                <w:b/>
                <w:bCs/>
                <w:sz w:val="18"/>
                <w:szCs w:val="18"/>
              </w:rPr>
              <w:t xml:space="preserve">     274,541 </w:t>
            </w:r>
          </w:p>
        </w:tc>
        <w:tc>
          <w:tcPr>
            <w:tcW w:w="1308" w:type="dxa"/>
            <w:tcBorders>
              <w:top w:val="single" w:sz="4" w:space="0" w:color="auto"/>
              <w:left w:val="nil"/>
              <w:bottom w:val="single" w:sz="4" w:space="0" w:color="auto"/>
              <w:right w:val="nil"/>
            </w:tcBorders>
            <w:shd w:val="clear" w:color="auto" w:fill="auto"/>
            <w:vAlign w:val="center"/>
            <w:hideMark/>
          </w:tcPr>
          <w:p w14:paraId="0FA41ACF" w14:textId="77777777" w:rsidR="00B9311E" w:rsidRPr="00BD77D8" w:rsidRDefault="00B9311E" w:rsidP="00B9311E">
            <w:pPr>
              <w:spacing w:after="0" w:line="240" w:lineRule="auto"/>
              <w:jc w:val="right"/>
              <w:rPr>
                <w:b/>
                <w:bCs/>
                <w:sz w:val="18"/>
                <w:szCs w:val="18"/>
              </w:rPr>
            </w:pPr>
            <w:r w:rsidRPr="00BD77D8">
              <w:rPr>
                <w:b/>
                <w:bCs/>
                <w:sz w:val="18"/>
                <w:szCs w:val="18"/>
              </w:rPr>
              <w:t xml:space="preserve">     316,626 </w:t>
            </w:r>
          </w:p>
        </w:tc>
      </w:tr>
      <w:tr w:rsidR="00BD77D8" w:rsidRPr="00BD77D8" w14:paraId="17739412" w14:textId="77777777" w:rsidTr="003057FB">
        <w:trPr>
          <w:trHeight w:val="256"/>
        </w:trPr>
        <w:tc>
          <w:tcPr>
            <w:tcW w:w="0" w:type="auto"/>
            <w:tcBorders>
              <w:top w:val="nil"/>
              <w:left w:val="nil"/>
              <w:bottom w:val="nil"/>
              <w:right w:val="nil"/>
            </w:tcBorders>
            <w:shd w:val="clear" w:color="auto" w:fill="auto"/>
            <w:noWrap/>
            <w:vAlign w:val="bottom"/>
            <w:hideMark/>
          </w:tcPr>
          <w:p w14:paraId="4BE76615" w14:textId="77777777" w:rsidR="00B9311E" w:rsidRPr="00BD77D8" w:rsidRDefault="00B9311E" w:rsidP="00B9311E">
            <w:pPr>
              <w:spacing w:after="0" w:line="240" w:lineRule="auto"/>
              <w:jc w:val="right"/>
              <w:rPr>
                <w:b/>
                <w:bCs/>
                <w:sz w:val="18"/>
                <w:szCs w:val="18"/>
              </w:rPr>
            </w:pPr>
          </w:p>
        </w:tc>
        <w:tc>
          <w:tcPr>
            <w:tcW w:w="0" w:type="auto"/>
            <w:tcBorders>
              <w:top w:val="nil"/>
              <w:left w:val="nil"/>
              <w:bottom w:val="nil"/>
              <w:right w:val="nil"/>
            </w:tcBorders>
            <w:shd w:val="clear" w:color="auto" w:fill="auto"/>
            <w:vAlign w:val="center"/>
            <w:hideMark/>
          </w:tcPr>
          <w:p w14:paraId="0743FE69" w14:textId="77777777" w:rsidR="00B9311E" w:rsidRPr="00BD77D8" w:rsidRDefault="00B9311E" w:rsidP="00B9311E">
            <w:pPr>
              <w:spacing w:after="0" w:line="240" w:lineRule="auto"/>
              <w:rPr>
                <w:rFonts w:ascii="Times New Roman" w:hAnsi="Times New Roman" w:cs="Times New Roman"/>
                <w:sz w:val="20"/>
                <w:szCs w:val="20"/>
              </w:rPr>
            </w:pPr>
          </w:p>
        </w:tc>
        <w:tc>
          <w:tcPr>
            <w:tcW w:w="1308" w:type="dxa"/>
            <w:tcBorders>
              <w:top w:val="nil"/>
              <w:left w:val="nil"/>
              <w:bottom w:val="nil"/>
              <w:right w:val="nil"/>
            </w:tcBorders>
            <w:shd w:val="clear" w:color="auto" w:fill="auto"/>
            <w:vAlign w:val="center"/>
            <w:hideMark/>
          </w:tcPr>
          <w:p w14:paraId="5683C042"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2876F9EC" w14:textId="77777777" w:rsidTr="003057FB">
        <w:trPr>
          <w:trHeight w:val="256"/>
        </w:trPr>
        <w:tc>
          <w:tcPr>
            <w:tcW w:w="0" w:type="auto"/>
            <w:tcBorders>
              <w:top w:val="nil"/>
              <w:left w:val="nil"/>
              <w:bottom w:val="nil"/>
              <w:right w:val="nil"/>
            </w:tcBorders>
            <w:shd w:val="clear" w:color="auto" w:fill="auto"/>
            <w:noWrap/>
            <w:vAlign w:val="bottom"/>
            <w:hideMark/>
          </w:tcPr>
          <w:p w14:paraId="48044630"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vAlign w:val="center"/>
            <w:hideMark/>
          </w:tcPr>
          <w:p w14:paraId="67057C7F" w14:textId="77777777" w:rsidR="00B9311E" w:rsidRPr="00BD77D8" w:rsidRDefault="00B9311E" w:rsidP="00B9311E">
            <w:pPr>
              <w:spacing w:after="0" w:line="240" w:lineRule="auto"/>
              <w:rPr>
                <w:rFonts w:ascii="Times New Roman" w:hAnsi="Times New Roman" w:cs="Times New Roman"/>
                <w:sz w:val="20"/>
                <w:szCs w:val="20"/>
              </w:rPr>
            </w:pPr>
          </w:p>
        </w:tc>
        <w:tc>
          <w:tcPr>
            <w:tcW w:w="1308" w:type="dxa"/>
            <w:tcBorders>
              <w:top w:val="nil"/>
              <w:left w:val="nil"/>
              <w:bottom w:val="nil"/>
              <w:right w:val="nil"/>
            </w:tcBorders>
            <w:shd w:val="clear" w:color="auto" w:fill="auto"/>
            <w:vAlign w:val="center"/>
            <w:hideMark/>
          </w:tcPr>
          <w:p w14:paraId="588604E7"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704A9690" w14:textId="77777777" w:rsidTr="003057FB">
        <w:trPr>
          <w:trHeight w:val="256"/>
        </w:trPr>
        <w:tc>
          <w:tcPr>
            <w:tcW w:w="0" w:type="auto"/>
            <w:tcBorders>
              <w:top w:val="nil"/>
              <w:left w:val="nil"/>
              <w:bottom w:val="nil"/>
              <w:right w:val="nil"/>
            </w:tcBorders>
            <w:shd w:val="clear" w:color="auto" w:fill="auto"/>
            <w:noWrap/>
            <w:vAlign w:val="bottom"/>
            <w:hideMark/>
          </w:tcPr>
          <w:p w14:paraId="775E8AB4" w14:textId="77777777" w:rsidR="00B9311E" w:rsidRPr="00BD77D8" w:rsidRDefault="00B9311E" w:rsidP="00B9311E">
            <w:pPr>
              <w:spacing w:after="0" w:line="240" w:lineRule="auto"/>
              <w:rPr>
                <w:sz w:val="18"/>
                <w:szCs w:val="18"/>
              </w:rPr>
            </w:pPr>
            <w:r w:rsidRPr="00BD77D8">
              <w:rPr>
                <w:sz w:val="18"/>
                <w:szCs w:val="18"/>
              </w:rPr>
              <w:t>Plus: Opening balance of departmental services revenue payable</w:t>
            </w:r>
          </w:p>
        </w:tc>
        <w:tc>
          <w:tcPr>
            <w:tcW w:w="0" w:type="auto"/>
            <w:tcBorders>
              <w:top w:val="nil"/>
              <w:left w:val="nil"/>
              <w:bottom w:val="nil"/>
              <w:right w:val="nil"/>
            </w:tcBorders>
            <w:shd w:val="clear" w:color="auto" w:fill="auto"/>
            <w:vAlign w:val="center"/>
            <w:hideMark/>
          </w:tcPr>
          <w:p w14:paraId="00FC0F89" w14:textId="77777777" w:rsidR="00B9311E" w:rsidRPr="00BD77D8" w:rsidRDefault="00B9311E" w:rsidP="00B9311E">
            <w:pPr>
              <w:spacing w:after="0" w:line="240" w:lineRule="auto"/>
              <w:jc w:val="right"/>
              <w:rPr>
                <w:sz w:val="18"/>
                <w:szCs w:val="18"/>
              </w:rPr>
            </w:pPr>
            <w:r w:rsidRPr="00BD77D8">
              <w:rPr>
                <w:sz w:val="18"/>
                <w:szCs w:val="18"/>
              </w:rPr>
              <w:t xml:space="preserve">       28,263 </w:t>
            </w:r>
          </w:p>
        </w:tc>
        <w:tc>
          <w:tcPr>
            <w:tcW w:w="1308" w:type="dxa"/>
            <w:tcBorders>
              <w:top w:val="nil"/>
              <w:left w:val="nil"/>
              <w:bottom w:val="nil"/>
              <w:right w:val="nil"/>
            </w:tcBorders>
            <w:shd w:val="clear" w:color="auto" w:fill="auto"/>
            <w:vAlign w:val="center"/>
            <w:hideMark/>
          </w:tcPr>
          <w:p w14:paraId="60EC9CDC" w14:textId="77777777" w:rsidR="00B9311E" w:rsidRPr="00BD77D8" w:rsidRDefault="00B9311E" w:rsidP="00B9311E">
            <w:pPr>
              <w:spacing w:after="0" w:line="240" w:lineRule="auto"/>
              <w:jc w:val="right"/>
              <w:rPr>
                <w:sz w:val="18"/>
                <w:szCs w:val="18"/>
              </w:rPr>
            </w:pPr>
            <w:r w:rsidRPr="00BD77D8">
              <w:rPr>
                <w:sz w:val="18"/>
                <w:szCs w:val="18"/>
              </w:rPr>
              <w:t xml:space="preserve">       21,652 </w:t>
            </w:r>
          </w:p>
        </w:tc>
      </w:tr>
      <w:tr w:rsidR="00BD77D8" w:rsidRPr="00BD77D8" w14:paraId="0EC089B7" w14:textId="77777777" w:rsidTr="003057FB">
        <w:trPr>
          <w:trHeight w:val="256"/>
        </w:trPr>
        <w:tc>
          <w:tcPr>
            <w:tcW w:w="0" w:type="auto"/>
            <w:tcBorders>
              <w:top w:val="nil"/>
              <w:left w:val="nil"/>
              <w:bottom w:val="nil"/>
              <w:right w:val="nil"/>
            </w:tcBorders>
            <w:shd w:val="clear" w:color="auto" w:fill="auto"/>
            <w:noWrap/>
            <w:vAlign w:val="bottom"/>
            <w:hideMark/>
          </w:tcPr>
          <w:p w14:paraId="787EF42A" w14:textId="77777777" w:rsidR="00B9311E" w:rsidRPr="00BD77D8" w:rsidRDefault="00B9311E" w:rsidP="00B9311E">
            <w:pPr>
              <w:spacing w:after="0" w:line="240" w:lineRule="auto"/>
              <w:rPr>
                <w:sz w:val="18"/>
                <w:szCs w:val="18"/>
              </w:rPr>
            </w:pPr>
            <w:r w:rsidRPr="00BD77D8">
              <w:rPr>
                <w:sz w:val="18"/>
                <w:szCs w:val="18"/>
              </w:rPr>
              <w:t>Adjustment for Machinery-of-Government transfer</w:t>
            </w:r>
          </w:p>
        </w:tc>
        <w:tc>
          <w:tcPr>
            <w:tcW w:w="0" w:type="auto"/>
            <w:tcBorders>
              <w:top w:val="nil"/>
              <w:left w:val="nil"/>
              <w:bottom w:val="nil"/>
              <w:right w:val="nil"/>
            </w:tcBorders>
            <w:shd w:val="clear" w:color="auto" w:fill="auto"/>
            <w:vAlign w:val="center"/>
            <w:hideMark/>
          </w:tcPr>
          <w:p w14:paraId="3969F827"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308" w:type="dxa"/>
            <w:tcBorders>
              <w:top w:val="nil"/>
              <w:left w:val="nil"/>
              <w:bottom w:val="nil"/>
              <w:right w:val="nil"/>
            </w:tcBorders>
            <w:shd w:val="clear" w:color="auto" w:fill="auto"/>
            <w:vAlign w:val="center"/>
            <w:hideMark/>
          </w:tcPr>
          <w:p w14:paraId="3161C49D" w14:textId="77777777" w:rsidR="00B9311E" w:rsidRPr="00BD77D8" w:rsidRDefault="00B9311E" w:rsidP="00B9311E">
            <w:pPr>
              <w:spacing w:after="0" w:line="240" w:lineRule="auto"/>
              <w:jc w:val="right"/>
              <w:rPr>
                <w:sz w:val="18"/>
                <w:szCs w:val="18"/>
              </w:rPr>
            </w:pPr>
            <w:r w:rsidRPr="00BD77D8">
              <w:rPr>
                <w:sz w:val="18"/>
                <w:szCs w:val="18"/>
              </w:rPr>
              <w:t xml:space="preserve">       10,721 </w:t>
            </w:r>
          </w:p>
        </w:tc>
      </w:tr>
      <w:tr w:rsidR="00BD77D8" w:rsidRPr="00BD77D8" w14:paraId="57D69F97" w14:textId="77777777" w:rsidTr="003057FB">
        <w:trPr>
          <w:trHeight w:val="256"/>
        </w:trPr>
        <w:tc>
          <w:tcPr>
            <w:tcW w:w="0" w:type="auto"/>
            <w:tcBorders>
              <w:top w:val="nil"/>
              <w:left w:val="nil"/>
              <w:bottom w:val="nil"/>
              <w:right w:val="nil"/>
            </w:tcBorders>
            <w:shd w:val="clear" w:color="auto" w:fill="auto"/>
            <w:noWrap/>
            <w:vAlign w:val="bottom"/>
            <w:hideMark/>
          </w:tcPr>
          <w:p w14:paraId="0B6FDA52" w14:textId="77777777" w:rsidR="00B9311E" w:rsidRPr="00BD77D8" w:rsidRDefault="00B9311E" w:rsidP="00B9311E">
            <w:pPr>
              <w:spacing w:after="0" w:line="240" w:lineRule="auto"/>
              <w:rPr>
                <w:sz w:val="18"/>
                <w:szCs w:val="18"/>
              </w:rPr>
            </w:pPr>
            <w:r w:rsidRPr="00BD77D8">
              <w:rPr>
                <w:sz w:val="18"/>
                <w:szCs w:val="18"/>
              </w:rPr>
              <w:t>Less: Closing balance of departmental services revenue payable</w:t>
            </w:r>
          </w:p>
        </w:tc>
        <w:tc>
          <w:tcPr>
            <w:tcW w:w="0" w:type="auto"/>
            <w:tcBorders>
              <w:top w:val="nil"/>
              <w:left w:val="nil"/>
              <w:bottom w:val="single" w:sz="4" w:space="0" w:color="auto"/>
              <w:right w:val="nil"/>
            </w:tcBorders>
            <w:shd w:val="clear" w:color="auto" w:fill="auto"/>
            <w:vAlign w:val="center"/>
            <w:hideMark/>
          </w:tcPr>
          <w:p w14:paraId="5D172F0A" w14:textId="77777777" w:rsidR="00B9311E" w:rsidRPr="00BD77D8" w:rsidRDefault="00B9311E" w:rsidP="00B9311E">
            <w:pPr>
              <w:spacing w:after="0" w:line="240" w:lineRule="auto"/>
              <w:jc w:val="right"/>
              <w:rPr>
                <w:sz w:val="18"/>
                <w:szCs w:val="18"/>
              </w:rPr>
            </w:pPr>
            <w:r w:rsidRPr="00BD77D8">
              <w:rPr>
                <w:sz w:val="18"/>
                <w:szCs w:val="18"/>
              </w:rPr>
              <w:t xml:space="preserve">      (19,836)</w:t>
            </w:r>
          </w:p>
        </w:tc>
        <w:tc>
          <w:tcPr>
            <w:tcW w:w="1308" w:type="dxa"/>
            <w:tcBorders>
              <w:top w:val="nil"/>
              <w:left w:val="nil"/>
              <w:bottom w:val="single" w:sz="4" w:space="0" w:color="auto"/>
              <w:right w:val="nil"/>
            </w:tcBorders>
            <w:shd w:val="clear" w:color="auto" w:fill="auto"/>
            <w:vAlign w:val="center"/>
            <w:hideMark/>
          </w:tcPr>
          <w:p w14:paraId="5D7475C3" w14:textId="77777777" w:rsidR="00B9311E" w:rsidRPr="00BD77D8" w:rsidRDefault="00B9311E" w:rsidP="00B9311E">
            <w:pPr>
              <w:spacing w:after="0" w:line="240" w:lineRule="auto"/>
              <w:jc w:val="right"/>
              <w:rPr>
                <w:sz w:val="18"/>
                <w:szCs w:val="18"/>
              </w:rPr>
            </w:pPr>
            <w:r w:rsidRPr="00BD77D8">
              <w:rPr>
                <w:sz w:val="18"/>
                <w:szCs w:val="18"/>
              </w:rPr>
              <w:t xml:space="preserve">      (28,263)</w:t>
            </w:r>
          </w:p>
        </w:tc>
      </w:tr>
      <w:tr w:rsidR="00BD77D8" w:rsidRPr="00BD77D8" w14:paraId="6693A56C" w14:textId="77777777" w:rsidTr="003057FB">
        <w:trPr>
          <w:trHeight w:val="256"/>
        </w:trPr>
        <w:tc>
          <w:tcPr>
            <w:tcW w:w="0" w:type="auto"/>
            <w:tcBorders>
              <w:top w:val="nil"/>
              <w:left w:val="nil"/>
              <w:bottom w:val="nil"/>
              <w:right w:val="nil"/>
            </w:tcBorders>
            <w:shd w:val="clear" w:color="auto" w:fill="auto"/>
            <w:noWrap/>
            <w:vAlign w:val="bottom"/>
            <w:hideMark/>
          </w:tcPr>
          <w:p w14:paraId="5FB55751" w14:textId="77777777" w:rsidR="00B9311E" w:rsidRPr="00BD77D8" w:rsidRDefault="00B9311E" w:rsidP="00B9311E">
            <w:pPr>
              <w:spacing w:after="0" w:line="240" w:lineRule="auto"/>
              <w:rPr>
                <w:b/>
                <w:bCs/>
                <w:sz w:val="18"/>
                <w:szCs w:val="18"/>
              </w:rPr>
            </w:pPr>
            <w:r w:rsidRPr="00BD77D8">
              <w:rPr>
                <w:b/>
                <w:bCs/>
                <w:sz w:val="18"/>
                <w:szCs w:val="18"/>
              </w:rPr>
              <w:t>Net Appropriation Revenue</w:t>
            </w:r>
          </w:p>
        </w:tc>
        <w:tc>
          <w:tcPr>
            <w:tcW w:w="0" w:type="auto"/>
            <w:tcBorders>
              <w:top w:val="single" w:sz="4" w:space="0" w:color="auto"/>
              <w:left w:val="nil"/>
              <w:bottom w:val="single" w:sz="4" w:space="0" w:color="auto"/>
              <w:right w:val="nil"/>
            </w:tcBorders>
            <w:shd w:val="clear" w:color="auto" w:fill="auto"/>
            <w:vAlign w:val="center"/>
            <w:hideMark/>
          </w:tcPr>
          <w:p w14:paraId="4AE3BB1B" w14:textId="77777777" w:rsidR="00B9311E" w:rsidRPr="00BD77D8" w:rsidRDefault="00B9311E" w:rsidP="00B9311E">
            <w:pPr>
              <w:spacing w:after="0" w:line="240" w:lineRule="auto"/>
              <w:jc w:val="right"/>
              <w:rPr>
                <w:b/>
                <w:bCs/>
                <w:sz w:val="18"/>
                <w:szCs w:val="18"/>
              </w:rPr>
            </w:pPr>
            <w:r w:rsidRPr="00BD77D8">
              <w:rPr>
                <w:b/>
                <w:bCs/>
                <w:sz w:val="18"/>
                <w:szCs w:val="18"/>
              </w:rPr>
              <w:t xml:space="preserve">     282,968 </w:t>
            </w:r>
          </w:p>
        </w:tc>
        <w:tc>
          <w:tcPr>
            <w:tcW w:w="1308" w:type="dxa"/>
            <w:tcBorders>
              <w:top w:val="single" w:sz="4" w:space="0" w:color="auto"/>
              <w:left w:val="nil"/>
              <w:bottom w:val="single" w:sz="4" w:space="0" w:color="auto"/>
              <w:right w:val="nil"/>
            </w:tcBorders>
            <w:shd w:val="clear" w:color="auto" w:fill="auto"/>
            <w:vAlign w:val="center"/>
            <w:hideMark/>
          </w:tcPr>
          <w:p w14:paraId="1D8DDE3E" w14:textId="77777777" w:rsidR="00B9311E" w:rsidRPr="00BD77D8" w:rsidRDefault="00B9311E" w:rsidP="00B9311E">
            <w:pPr>
              <w:spacing w:after="0" w:line="240" w:lineRule="auto"/>
              <w:jc w:val="right"/>
              <w:rPr>
                <w:b/>
                <w:bCs/>
                <w:sz w:val="18"/>
                <w:szCs w:val="18"/>
              </w:rPr>
            </w:pPr>
            <w:r w:rsidRPr="00BD77D8">
              <w:rPr>
                <w:b/>
                <w:bCs/>
                <w:sz w:val="18"/>
                <w:szCs w:val="18"/>
              </w:rPr>
              <w:t xml:space="preserve">     320,736 </w:t>
            </w:r>
          </w:p>
        </w:tc>
      </w:tr>
      <w:tr w:rsidR="00BD77D8" w:rsidRPr="00BD77D8" w14:paraId="43C92EC9" w14:textId="77777777" w:rsidTr="003057FB">
        <w:trPr>
          <w:trHeight w:val="256"/>
        </w:trPr>
        <w:tc>
          <w:tcPr>
            <w:tcW w:w="0" w:type="auto"/>
            <w:tcBorders>
              <w:top w:val="nil"/>
              <w:left w:val="nil"/>
              <w:bottom w:val="nil"/>
              <w:right w:val="nil"/>
            </w:tcBorders>
            <w:shd w:val="clear" w:color="auto" w:fill="auto"/>
            <w:noWrap/>
            <w:vAlign w:val="bottom"/>
            <w:hideMark/>
          </w:tcPr>
          <w:p w14:paraId="493E0337" w14:textId="77777777" w:rsidR="00B9311E" w:rsidRPr="00BD77D8" w:rsidRDefault="00B9311E" w:rsidP="00B9311E">
            <w:pPr>
              <w:spacing w:after="0" w:line="240" w:lineRule="auto"/>
              <w:jc w:val="right"/>
              <w:rPr>
                <w:b/>
                <w:bCs/>
                <w:sz w:val="18"/>
                <w:szCs w:val="18"/>
              </w:rPr>
            </w:pPr>
          </w:p>
        </w:tc>
        <w:tc>
          <w:tcPr>
            <w:tcW w:w="0" w:type="auto"/>
            <w:tcBorders>
              <w:top w:val="nil"/>
              <w:left w:val="nil"/>
              <w:bottom w:val="nil"/>
              <w:right w:val="nil"/>
            </w:tcBorders>
            <w:shd w:val="clear" w:color="auto" w:fill="auto"/>
            <w:vAlign w:val="center"/>
            <w:hideMark/>
          </w:tcPr>
          <w:p w14:paraId="6B0E2CCB" w14:textId="77777777" w:rsidR="00B9311E" w:rsidRPr="00BD77D8" w:rsidRDefault="00B9311E" w:rsidP="00B9311E">
            <w:pPr>
              <w:spacing w:after="0" w:line="240" w:lineRule="auto"/>
              <w:rPr>
                <w:rFonts w:ascii="Times New Roman" w:hAnsi="Times New Roman" w:cs="Times New Roman"/>
                <w:sz w:val="20"/>
                <w:szCs w:val="20"/>
              </w:rPr>
            </w:pPr>
          </w:p>
        </w:tc>
        <w:tc>
          <w:tcPr>
            <w:tcW w:w="1308" w:type="dxa"/>
            <w:tcBorders>
              <w:top w:val="nil"/>
              <w:left w:val="nil"/>
              <w:bottom w:val="nil"/>
              <w:right w:val="nil"/>
            </w:tcBorders>
            <w:shd w:val="clear" w:color="auto" w:fill="auto"/>
            <w:vAlign w:val="center"/>
            <w:hideMark/>
          </w:tcPr>
          <w:p w14:paraId="19D96375"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5CCACDF3" w14:textId="77777777" w:rsidTr="003057FB">
        <w:trPr>
          <w:trHeight w:val="256"/>
        </w:trPr>
        <w:tc>
          <w:tcPr>
            <w:tcW w:w="0" w:type="auto"/>
            <w:tcBorders>
              <w:top w:val="nil"/>
              <w:left w:val="nil"/>
              <w:bottom w:val="nil"/>
              <w:right w:val="nil"/>
            </w:tcBorders>
            <w:shd w:val="clear" w:color="auto" w:fill="auto"/>
            <w:noWrap/>
            <w:vAlign w:val="bottom"/>
            <w:hideMark/>
          </w:tcPr>
          <w:p w14:paraId="1814A01A" w14:textId="77777777" w:rsidR="00B9311E" w:rsidRPr="00BD77D8" w:rsidRDefault="00B9311E" w:rsidP="00B9311E">
            <w:pPr>
              <w:spacing w:after="0" w:line="240" w:lineRule="auto"/>
              <w:rPr>
                <w:b/>
                <w:bCs/>
                <w:sz w:val="18"/>
                <w:szCs w:val="18"/>
              </w:rPr>
            </w:pPr>
            <w:r w:rsidRPr="00BD77D8">
              <w:rPr>
                <w:b/>
                <w:bCs/>
                <w:sz w:val="18"/>
                <w:szCs w:val="18"/>
              </w:rPr>
              <w:t>Appropriation Revenue Recognised in Statement of Comprehensive Income</w:t>
            </w:r>
          </w:p>
        </w:tc>
        <w:tc>
          <w:tcPr>
            <w:tcW w:w="0" w:type="auto"/>
            <w:tcBorders>
              <w:top w:val="single" w:sz="4" w:space="0" w:color="auto"/>
              <w:left w:val="nil"/>
              <w:bottom w:val="single" w:sz="4" w:space="0" w:color="auto"/>
              <w:right w:val="nil"/>
            </w:tcBorders>
            <w:shd w:val="clear" w:color="auto" w:fill="auto"/>
            <w:vAlign w:val="center"/>
            <w:hideMark/>
          </w:tcPr>
          <w:p w14:paraId="6A4EB912" w14:textId="77777777" w:rsidR="00B9311E" w:rsidRPr="00BD77D8" w:rsidRDefault="00B9311E" w:rsidP="00B9311E">
            <w:pPr>
              <w:spacing w:after="0" w:line="240" w:lineRule="auto"/>
              <w:jc w:val="right"/>
              <w:rPr>
                <w:b/>
                <w:bCs/>
                <w:sz w:val="18"/>
                <w:szCs w:val="18"/>
              </w:rPr>
            </w:pPr>
            <w:r w:rsidRPr="00BD77D8">
              <w:rPr>
                <w:b/>
                <w:bCs/>
                <w:sz w:val="18"/>
                <w:szCs w:val="18"/>
              </w:rPr>
              <w:t xml:space="preserve">     282,968 </w:t>
            </w:r>
          </w:p>
        </w:tc>
        <w:tc>
          <w:tcPr>
            <w:tcW w:w="1308" w:type="dxa"/>
            <w:tcBorders>
              <w:top w:val="single" w:sz="4" w:space="0" w:color="auto"/>
              <w:left w:val="nil"/>
              <w:bottom w:val="single" w:sz="4" w:space="0" w:color="auto"/>
              <w:right w:val="nil"/>
            </w:tcBorders>
            <w:shd w:val="clear" w:color="auto" w:fill="auto"/>
            <w:vAlign w:val="center"/>
            <w:hideMark/>
          </w:tcPr>
          <w:p w14:paraId="691EC725" w14:textId="77777777" w:rsidR="00B9311E" w:rsidRPr="00BD77D8" w:rsidRDefault="00B9311E" w:rsidP="00B9311E">
            <w:pPr>
              <w:spacing w:after="0" w:line="240" w:lineRule="auto"/>
              <w:jc w:val="right"/>
              <w:rPr>
                <w:b/>
                <w:bCs/>
                <w:sz w:val="18"/>
                <w:szCs w:val="18"/>
              </w:rPr>
            </w:pPr>
            <w:r w:rsidRPr="00BD77D8">
              <w:rPr>
                <w:b/>
                <w:bCs/>
                <w:sz w:val="18"/>
                <w:szCs w:val="18"/>
              </w:rPr>
              <w:t xml:space="preserve">     320,736 </w:t>
            </w:r>
          </w:p>
        </w:tc>
      </w:tr>
    </w:tbl>
    <w:p w14:paraId="3185AAA5" w14:textId="4A7CDF05" w:rsidR="00DE382E" w:rsidRPr="00BD77D8" w:rsidRDefault="00B9311E" w:rsidP="008977D0">
      <w:pPr>
        <w:spacing w:before="240" w:after="0" w:line="240" w:lineRule="auto"/>
        <w:textAlignment w:val="baseline"/>
        <w:rPr>
          <w:rFonts w:eastAsia="Arial"/>
          <w:sz w:val="18"/>
          <w:szCs w:val="18"/>
          <w:lang w:eastAsia="en-US"/>
        </w:rPr>
      </w:pPr>
      <w:r w:rsidRPr="00BD77D8">
        <w:rPr>
          <w:rFonts w:eastAsia="Arial"/>
          <w:sz w:val="16"/>
          <w:szCs w:val="16"/>
          <w:lang w:eastAsia="en-US"/>
        </w:rPr>
        <w:t xml:space="preserve">Appropriations provided under the </w:t>
      </w:r>
      <w:r w:rsidRPr="00BD77D8">
        <w:rPr>
          <w:rFonts w:eastAsia="Arial"/>
          <w:i/>
          <w:iCs/>
          <w:sz w:val="16"/>
          <w:szCs w:val="16"/>
          <w:lang w:eastAsia="en-US"/>
        </w:rPr>
        <w:t>Appropriation Act 2021</w:t>
      </w:r>
      <w:r w:rsidRPr="00BD77D8">
        <w:rPr>
          <w:rFonts w:eastAsia="Arial"/>
          <w:sz w:val="16"/>
          <w:szCs w:val="16"/>
          <w:lang w:eastAsia="en-US"/>
        </w:rPr>
        <w:t xml:space="preserve"> are recognised as revenue when received. Where the department has an obligation to return unspent (or unapplied) appropriation receipts to Consolidated Fund at year end (a deferred appropriation repayable to Consolidated Fund), a liability is recognised with a corresponding reduction to appropriation revenue, reflecting the net appropriation revenue position with Consolidated Fund for the reporting period. Capital appropriations are recognised as adjustments to equity - refer to Note G1-3</w:t>
      </w:r>
      <w:r w:rsidRPr="00BD77D8">
        <w:rPr>
          <w:rFonts w:eastAsia="Arial"/>
          <w:sz w:val="18"/>
          <w:szCs w:val="18"/>
          <w:lang w:eastAsia="en-US"/>
        </w:rPr>
        <w:t>.</w:t>
      </w:r>
    </w:p>
    <w:p w14:paraId="23DBF081" w14:textId="6857950A" w:rsidR="00B9311E" w:rsidRPr="00BD77D8" w:rsidRDefault="00DE382E" w:rsidP="008977D0">
      <w:pPr>
        <w:spacing w:before="3240" w:after="0" w:line="206" w:lineRule="exact"/>
        <w:ind w:right="646"/>
        <w:textAlignment w:val="baseline"/>
        <w:rPr>
          <w:rFonts w:eastAsia="Arial"/>
          <w:spacing w:val="2"/>
          <w:sz w:val="18"/>
          <w:szCs w:val="18"/>
          <w:lang w:eastAsia="en-US"/>
        </w:rPr>
      </w:pP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r>
      <w:r w:rsidRPr="00BD77D8">
        <w:rPr>
          <w:rFonts w:eastAsia="Arial"/>
          <w:spacing w:val="2"/>
          <w:sz w:val="18"/>
          <w:szCs w:val="18"/>
          <w:lang w:eastAsia="en-US"/>
        </w:rPr>
        <w:tab/>
        <w:t>Page 14 of 45</w:t>
      </w:r>
      <w:r w:rsidR="00B9311E" w:rsidRPr="00BD77D8">
        <w:rPr>
          <w:rFonts w:eastAsia="Arial"/>
          <w:spacing w:val="2"/>
          <w:sz w:val="18"/>
          <w:szCs w:val="18"/>
          <w:lang w:eastAsia="en-US"/>
        </w:rPr>
        <w:br w:type="page"/>
      </w:r>
    </w:p>
    <w:p w14:paraId="47A64CA5"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51D7303B"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47621C8D"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19EE3440" w14:textId="77777777" w:rsidR="00B9311E" w:rsidRPr="00BD77D8" w:rsidRDefault="00B9311E" w:rsidP="00B9311E">
      <w:pPr>
        <w:pBdr>
          <w:bottom w:val="single" w:sz="4" w:space="1" w:color="auto"/>
        </w:pBdr>
        <w:spacing w:after="0" w:line="206" w:lineRule="exact"/>
        <w:textAlignment w:val="baseline"/>
        <w:rPr>
          <w:rFonts w:eastAsia="Arial"/>
          <w:bCs/>
          <w:sz w:val="18"/>
          <w:szCs w:val="18"/>
          <w:lang w:eastAsia="en-US"/>
        </w:rPr>
      </w:pPr>
    </w:p>
    <w:p w14:paraId="4A00D531" w14:textId="77777777" w:rsidR="00B9311E" w:rsidRPr="00BD77D8" w:rsidRDefault="00B9311E" w:rsidP="00E47A6E">
      <w:pPr>
        <w:spacing w:before="240" w:after="0" w:line="240" w:lineRule="auto"/>
        <w:ind w:right="142"/>
        <w:textAlignment w:val="baseline"/>
        <w:rPr>
          <w:rFonts w:eastAsia="PMingLiU"/>
          <w:b/>
          <w:bCs/>
          <w:sz w:val="18"/>
          <w:szCs w:val="22"/>
          <w:lang w:eastAsia="en-US"/>
        </w:rPr>
      </w:pPr>
      <w:r w:rsidRPr="00BD77D8">
        <w:rPr>
          <w:rFonts w:eastAsia="Arial"/>
          <w:b/>
          <w:bCs/>
          <w:spacing w:val="2"/>
          <w:sz w:val="18"/>
          <w:szCs w:val="18"/>
          <w:lang w:eastAsia="en-US"/>
        </w:rPr>
        <w:t>B1-2 User Charges and Fees</w:t>
      </w:r>
    </w:p>
    <w:tbl>
      <w:tblPr>
        <w:tblW w:w="10352" w:type="dxa"/>
        <w:tblCellMar>
          <w:left w:w="0" w:type="dxa"/>
          <w:right w:w="0" w:type="dxa"/>
        </w:tblCellMar>
        <w:tblLook w:val="04A0" w:firstRow="1" w:lastRow="0" w:firstColumn="1" w:lastColumn="0" w:noHBand="0" w:noVBand="1"/>
      </w:tblPr>
      <w:tblGrid>
        <w:gridCol w:w="8600"/>
        <w:gridCol w:w="881"/>
        <w:gridCol w:w="871"/>
      </w:tblGrid>
      <w:tr w:rsidR="00BD77D8" w:rsidRPr="00BD77D8" w14:paraId="5D65F3FE" w14:textId="77777777" w:rsidTr="003057FB">
        <w:trPr>
          <w:trHeight w:val="31"/>
        </w:trPr>
        <w:tc>
          <w:tcPr>
            <w:tcW w:w="0" w:type="auto"/>
            <w:tcBorders>
              <w:top w:val="nil"/>
              <w:left w:val="nil"/>
              <w:bottom w:val="nil"/>
              <w:right w:val="nil"/>
            </w:tcBorders>
            <w:shd w:val="clear" w:color="auto" w:fill="auto"/>
            <w:noWrap/>
            <w:vAlign w:val="bottom"/>
            <w:hideMark/>
          </w:tcPr>
          <w:p w14:paraId="1CFFA29A" w14:textId="77777777" w:rsidR="00B9311E" w:rsidRPr="00BD77D8" w:rsidRDefault="00B9311E" w:rsidP="00B9311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center"/>
            <w:hideMark/>
          </w:tcPr>
          <w:p w14:paraId="160DB3B5" w14:textId="77777777" w:rsidR="00B9311E" w:rsidRPr="00BD77D8" w:rsidRDefault="00B9311E" w:rsidP="00B9311E">
            <w:pPr>
              <w:spacing w:after="0" w:line="240" w:lineRule="auto"/>
              <w:jc w:val="right"/>
              <w:rPr>
                <w:b/>
                <w:bCs/>
                <w:sz w:val="18"/>
                <w:szCs w:val="18"/>
              </w:rPr>
            </w:pPr>
            <w:r w:rsidRPr="00BD77D8">
              <w:rPr>
                <w:b/>
                <w:bCs/>
                <w:sz w:val="18"/>
                <w:szCs w:val="18"/>
              </w:rPr>
              <w:t xml:space="preserve">        2022 </w:t>
            </w:r>
          </w:p>
        </w:tc>
        <w:tc>
          <w:tcPr>
            <w:tcW w:w="0" w:type="auto"/>
            <w:tcBorders>
              <w:top w:val="nil"/>
              <w:left w:val="nil"/>
              <w:bottom w:val="nil"/>
              <w:right w:val="nil"/>
            </w:tcBorders>
            <w:shd w:val="clear" w:color="auto" w:fill="auto"/>
            <w:noWrap/>
            <w:vAlign w:val="center"/>
            <w:hideMark/>
          </w:tcPr>
          <w:p w14:paraId="26B3DE5A" w14:textId="77777777" w:rsidR="00B9311E" w:rsidRPr="00BD77D8" w:rsidRDefault="00B9311E" w:rsidP="00B9311E">
            <w:pPr>
              <w:spacing w:after="0" w:line="240" w:lineRule="auto"/>
              <w:jc w:val="right"/>
              <w:rPr>
                <w:b/>
                <w:bCs/>
                <w:sz w:val="18"/>
                <w:szCs w:val="18"/>
              </w:rPr>
            </w:pPr>
            <w:r w:rsidRPr="00BD77D8">
              <w:rPr>
                <w:b/>
                <w:bCs/>
                <w:sz w:val="18"/>
                <w:szCs w:val="18"/>
              </w:rPr>
              <w:t xml:space="preserve">        2021 </w:t>
            </w:r>
          </w:p>
        </w:tc>
      </w:tr>
      <w:tr w:rsidR="00BD77D8" w:rsidRPr="00BD77D8" w14:paraId="2332B1A2" w14:textId="77777777" w:rsidTr="003057FB">
        <w:trPr>
          <w:trHeight w:val="310"/>
        </w:trPr>
        <w:tc>
          <w:tcPr>
            <w:tcW w:w="0" w:type="auto"/>
            <w:tcBorders>
              <w:top w:val="nil"/>
              <w:left w:val="nil"/>
              <w:bottom w:val="nil"/>
              <w:right w:val="nil"/>
            </w:tcBorders>
            <w:shd w:val="clear" w:color="auto" w:fill="auto"/>
            <w:noWrap/>
            <w:vAlign w:val="bottom"/>
            <w:hideMark/>
          </w:tcPr>
          <w:p w14:paraId="2B4E3430" w14:textId="77777777" w:rsidR="00B9311E" w:rsidRPr="00BD77D8" w:rsidRDefault="00B9311E" w:rsidP="00B9311E">
            <w:pPr>
              <w:spacing w:after="0" w:line="240" w:lineRule="auto"/>
              <w:jc w:val="right"/>
              <w:rPr>
                <w:sz w:val="18"/>
                <w:szCs w:val="18"/>
              </w:rPr>
            </w:pPr>
          </w:p>
        </w:tc>
        <w:tc>
          <w:tcPr>
            <w:tcW w:w="0" w:type="auto"/>
            <w:tcBorders>
              <w:top w:val="nil"/>
              <w:left w:val="nil"/>
              <w:bottom w:val="single" w:sz="4" w:space="0" w:color="auto"/>
              <w:right w:val="nil"/>
            </w:tcBorders>
            <w:shd w:val="clear" w:color="auto" w:fill="auto"/>
            <w:noWrap/>
            <w:vAlign w:val="center"/>
            <w:hideMark/>
          </w:tcPr>
          <w:p w14:paraId="7234D1E7"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6F657B28"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52189850" w14:textId="77777777" w:rsidTr="003057FB">
        <w:trPr>
          <w:trHeight w:val="310"/>
        </w:trPr>
        <w:tc>
          <w:tcPr>
            <w:tcW w:w="0" w:type="auto"/>
            <w:tcBorders>
              <w:top w:val="nil"/>
              <w:left w:val="nil"/>
              <w:bottom w:val="nil"/>
              <w:right w:val="nil"/>
            </w:tcBorders>
            <w:shd w:val="clear" w:color="auto" w:fill="auto"/>
            <w:noWrap/>
            <w:vAlign w:val="bottom"/>
            <w:hideMark/>
          </w:tcPr>
          <w:p w14:paraId="6AD55051" w14:textId="77777777" w:rsidR="00B9311E" w:rsidRPr="00BD77D8" w:rsidRDefault="00B9311E" w:rsidP="00B9311E">
            <w:pPr>
              <w:spacing w:after="0" w:line="240" w:lineRule="auto"/>
              <w:rPr>
                <w:b/>
                <w:bCs/>
                <w:sz w:val="18"/>
                <w:szCs w:val="18"/>
              </w:rPr>
            </w:pPr>
            <w:r w:rsidRPr="00BD77D8">
              <w:rPr>
                <w:b/>
                <w:bCs/>
                <w:sz w:val="18"/>
                <w:szCs w:val="18"/>
              </w:rPr>
              <w:t>The department received the following revenue for user charges and fees during the financial year</w:t>
            </w:r>
          </w:p>
        </w:tc>
        <w:tc>
          <w:tcPr>
            <w:tcW w:w="0" w:type="auto"/>
            <w:tcBorders>
              <w:top w:val="nil"/>
              <w:left w:val="nil"/>
              <w:bottom w:val="nil"/>
              <w:right w:val="nil"/>
            </w:tcBorders>
            <w:shd w:val="clear" w:color="auto" w:fill="auto"/>
            <w:noWrap/>
            <w:hideMark/>
          </w:tcPr>
          <w:p w14:paraId="147723AC" w14:textId="77777777" w:rsidR="00B9311E" w:rsidRPr="00BD77D8" w:rsidRDefault="00B9311E" w:rsidP="00B9311E">
            <w:pPr>
              <w:spacing w:after="0" w:line="240" w:lineRule="auto"/>
              <w:rPr>
                <w:sz w:val="18"/>
                <w:szCs w:val="18"/>
              </w:rPr>
            </w:pPr>
          </w:p>
        </w:tc>
        <w:tc>
          <w:tcPr>
            <w:tcW w:w="0" w:type="auto"/>
            <w:tcBorders>
              <w:top w:val="nil"/>
              <w:left w:val="nil"/>
              <w:bottom w:val="nil"/>
              <w:right w:val="nil"/>
            </w:tcBorders>
            <w:shd w:val="clear" w:color="auto" w:fill="auto"/>
            <w:noWrap/>
            <w:hideMark/>
          </w:tcPr>
          <w:p w14:paraId="39A034DB"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4C9787E2" w14:textId="77777777" w:rsidTr="003057FB">
        <w:trPr>
          <w:trHeight w:val="310"/>
        </w:trPr>
        <w:tc>
          <w:tcPr>
            <w:tcW w:w="0" w:type="auto"/>
            <w:tcBorders>
              <w:top w:val="nil"/>
              <w:left w:val="nil"/>
              <w:bottom w:val="nil"/>
              <w:right w:val="nil"/>
            </w:tcBorders>
            <w:shd w:val="clear" w:color="auto" w:fill="auto"/>
            <w:noWrap/>
            <w:vAlign w:val="bottom"/>
            <w:hideMark/>
          </w:tcPr>
          <w:p w14:paraId="14981E57" w14:textId="77777777" w:rsidR="00B9311E" w:rsidRPr="00BD77D8" w:rsidRDefault="00B9311E" w:rsidP="00B9311E">
            <w:pPr>
              <w:spacing w:after="0" w:line="240" w:lineRule="auto"/>
              <w:rPr>
                <w:sz w:val="18"/>
                <w:szCs w:val="18"/>
              </w:rPr>
            </w:pPr>
            <w:r w:rsidRPr="00BD77D8">
              <w:rPr>
                <w:sz w:val="18"/>
                <w:szCs w:val="18"/>
              </w:rPr>
              <w:t>Disability Worker Screening application fees</w:t>
            </w:r>
          </w:p>
        </w:tc>
        <w:tc>
          <w:tcPr>
            <w:tcW w:w="0" w:type="auto"/>
            <w:tcBorders>
              <w:top w:val="nil"/>
              <w:left w:val="nil"/>
              <w:bottom w:val="nil"/>
              <w:right w:val="nil"/>
            </w:tcBorders>
            <w:shd w:val="clear" w:color="auto" w:fill="auto"/>
            <w:vAlign w:val="bottom"/>
            <w:hideMark/>
          </w:tcPr>
          <w:p w14:paraId="2AD0AAF3" w14:textId="77777777" w:rsidR="00B9311E" w:rsidRPr="00BD77D8" w:rsidRDefault="00B9311E" w:rsidP="00B9311E">
            <w:pPr>
              <w:spacing w:after="0" w:line="240" w:lineRule="auto"/>
              <w:jc w:val="right"/>
              <w:rPr>
                <w:sz w:val="18"/>
                <w:szCs w:val="18"/>
              </w:rPr>
            </w:pPr>
            <w:r w:rsidRPr="00BD77D8">
              <w:rPr>
                <w:sz w:val="18"/>
                <w:szCs w:val="18"/>
              </w:rPr>
              <w:t xml:space="preserve">       8,604 </w:t>
            </w:r>
          </w:p>
        </w:tc>
        <w:tc>
          <w:tcPr>
            <w:tcW w:w="0" w:type="auto"/>
            <w:tcBorders>
              <w:top w:val="nil"/>
              <w:left w:val="nil"/>
              <w:bottom w:val="nil"/>
              <w:right w:val="nil"/>
            </w:tcBorders>
            <w:shd w:val="clear" w:color="auto" w:fill="auto"/>
            <w:vAlign w:val="bottom"/>
            <w:hideMark/>
          </w:tcPr>
          <w:p w14:paraId="223B00B9" w14:textId="77777777" w:rsidR="00B9311E" w:rsidRPr="00BD77D8" w:rsidRDefault="00B9311E" w:rsidP="00B9311E">
            <w:pPr>
              <w:spacing w:after="0" w:line="240" w:lineRule="auto"/>
              <w:jc w:val="right"/>
              <w:rPr>
                <w:sz w:val="18"/>
                <w:szCs w:val="18"/>
              </w:rPr>
            </w:pPr>
            <w:r w:rsidRPr="00BD77D8">
              <w:rPr>
                <w:sz w:val="18"/>
                <w:szCs w:val="18"/>
              </w:rPr>
              <w:t xml:space="preserve">       4,037 </w:t>
            </w:r>
          </w:p>
        </w:tc>
      </w:tr>
      <w:tr w:rsidR="00BD77D8" w:rsidRPr="00BD77D8" w14:paraId="501FD584" w14:textId="77777777" w:rsidTr="003057FB">
        <w:trPr>
          <w:trHeight w:val="310"/>
        </w:trPr>
        <w:tc>
          <w:tcPr>
            <w:tcW w:w="0" w:type="auto"/>
            <w:tcBorders>
              <w:top w:val="nil"/>
              <w:left w:val="nil"/>
              <w:bottom w:val="nil"/>
              <w:right w:val="nil"/>
            </w:tcBorders>
            <w:shd w:val="clear" w:color="auto" w:fill="auto"/>
            <w:noWrap/>
            <w:vAlign w:val="bottom"/>
            <w:hideMark/>
          </w:tcPr>
          <w:p w14:paraId="6C44B84C" w14:textId="77777777" w:rsidR="00B9311E" w:rsidRPr="00BD77D8" w:rsidRDefault="00B9311E" w:rsidP="00B9311E">
            <w:pPr>
              <w:spacing w:after="0" w:line="240" w:lineRule="auto"/>
              <w:rPr>
                <w:sz w:val="18"/>
                <w:szCs w:val="18"/>
              </w:rPr>
            </w:pPr>
            <w:r w:rsidRPr="00BD77D8">
              <w:rPr>
                <w:sz w:val="18"/>
                <w:szCs w:val="18"/>
              </w:rPr>
              <w:t>Funds from National Disability Support Agency to provide specialist disability client support</w:t>
            </w:r>
          </w:p>
        </w:tc>
        <w:tc>
          <w:tcPr>
            <w:tcW w:w="0" w:type="auto"/>
            <w:tcBorders>
              <w:top w:val="nil"/>
              <w:left w:val="nil"/>
              <w:bottom w:val="nil"/>
              <w:right w:val="nil"/>
            </w:tcBorders>
            <w:shd w:val="clear" w:color="auto" w:fill="auto"/>
            <w:vAlign w:val="bottom"/>
            <w:hideMark/>
          </w:tcPr>
          <w:p w14:paraId="235F3B97" w14:textId="77777777" w:rsidR="00B9311E" w:rsidRPr="00BD77D8" w:rsidRDefault="00B9311E" w:rsidP="00B9311E">
            <w:pPr>
              <w:spacing w:after="0" w:line="240" w:lineRule="auto"/>
              <w:jc w:val="right"/>
              <w:rPr>
                <w:sz w:val="18"/>
                <w:szCs w:val="18"/>
              </w:rPr>
            </w:pPr>
            <w:r w:rsidRPr="00BD77D8">
              <w:rPr>
                <w:sz w:val="18"/>
                <w:szCs w:val="18"/>
              </w:rPr>
              <w:t xml:space="preserve">           919 </w:t>
            </w:r>
          </w:p>
        </w:tc>
        <w:tc>
          <w:tcPr>
            <w:tcW w:w="0" w:type="auto"/>
            <w:tcBorders>
              <w:top w:val="nil"/>
              <w:left w:val="nil"/>
              <w:bottom w:val="nil"/>
              <w:right w:val="nil"/>
            </w:tcBorders>
            <w:shd w:val="clear" w:color="auto" w:fill="auto"/>
            <w:vAlign w:val="bottom"/>
            <w:hideMark/>
          </w:tcPr>
          <w:p w14:paraId="177DCCA0" w14:textId="77777777" w:rsidR="00B9311E" w:rsidRPr="00BD77D8" w:rsidRDefault="00B9311E" w:rsidP="00B9311E">
            <w:pPr>
              <w:spacing w:after="0" w:line="240" w:lineRule="auto"/>
              <w:jc w:val="right"/>
              <w:rPr>
                <w:sz w:val="18"/>
                <w:szCs w:val="18"/>
              </w:rPr>
            </w:pPr>
            <w:r w:rsidRPr="00BD77D8">
              <w:rPr>
                <w:sz w:val="18"/>
                <w:szCs w:val="18"/>
              </w:rPr>
              <w:t xml:space="preserve">       2,860 </w:t>
            </w:r>
          </w:p>
        </w:tc>
      </w:tr>
      <w:tr w:rsidR="00BD77D8" w:rsidRPr="00BD77D8" w14:paraId="628A9F18" w14:textId="77777777" w:rsidTr="003057FB">
        <w:trPr>
          <w:trHeight w:val="310"/>
        </w:trPr>
        <w:tc>
          <w:tcPr>
            <w:tcW w:w="0" w:type="auto"/>
            <w:tcBorders>
              <w:top w:val="nil"/>
              <w:left w:val="nil"/>
              <w:bottom w:val="nil"/>
              <w:right w:val="nil"/>
            </w:tcBorders>
            <w:shd w:val="clear" w:color="auto" w:fill="auto"/>
            <w:noWrap/>
            <w:vAlign w:val="bottom"/>
            <w:hideMark/>
          </w:tcPr>
          <w:p w14:paraId="704EF60D" w14:textId="77777777" w:rsidR="00B9311E" w:rsidRPr="00BD77D8" w:rsidRDefault="00B9311E" w:rsidP="00B9311E">
            <w:pPr>
              <w:spacing w:after="0" w:line="240" w:lineRule="auto"/>
              <w:rPr>
                <w:sz w:val="18"/>
                <w:szCs w:val="18"/>
              </w:rPr>
            </w:pPr>
            <w:r w:rsidRPr="00BD77D8">
              <w:rPr>
                <w:sz w:val="18"/>
                <w:szCs w:val="18"/>
              </w:rPr>
              <w:t>Gambling Help counselling services and hotline*</w:t>
            </w:r>
          </w:p>
        </w:tc>
        <w:tc>
          <w:tcPr>
            <w:tcW w:w="0" w:type="auto"/>
            <w:tcBorders>
              <w:top w:val="nil"/>
              <w:left w:val="nil"/>
              <w:bottom w:val="nil"/>
              <w:right w:val="nil"/>
            </w:tcBorders>
            <w:shd w:val="clear" w:color="auto" w:fill="auto"/>
            <w:vAlign w:val="bottom"/>
            <w:hideMark/>
          </w:tcPr>
          <w:p w14:paraId="20424D68"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vAlign w:val="bottom"/>
            <w:hideMark/>
          </w:tcPr>
          <w:p w14:paraId="2AA04BD9" w14:textId="77777777" w:rsidR="00B9311E" w:rsidRPr="00BD77D8" w:rsidRDefault="00B9311E" w:rsidP="00B9311E">
            <w:pPr>
              <w:spacing w:after="0" w:line="240" w:lineRule="auto"/>
              <w:jc w:val="right"/>
              <w:rPr>
                <w:sz w:val="18"/>
                <w:szCs w:val="18"/>
              </w:rPr>
            </w:pPr>
            <w:r w:rsidRPr="00BD77D8">
              <w:rPr>
                <w:sz w:val="18"/>
                <w:szCs w:val="18"/>
              </w:rPr>
              <w:t xml:space="preserve">       2,202 </w:t>
            </w:r>
          </w:p>
        </w:tc>
      </w:tr>
      <w:tr w:rsidR="00BD77D8" w:rsidRPr="00BD77D8" w14:paraId="025F3822" w14:textId="77777777" w:rsidTr="003057FB">
        <w:trPr>
          <w:trHeight w:val="310"/>
        </w:trPr>
        <w:tc>
          <w:tcPr>
            <w:tcW w:w="0" w:type="auto"/>
            <w:tcBorders>
              <w:top w:val="nil"/>
              <w:left w:val="nil"/>
              <w:bottom w:val="nil"/>
              <w:right w:val="nil"/>
            </w:tcBorders>
            <w:shd w:val="clear" w:color="auto" w:fill="auto"/>
            <w:noWrap/>
            <w:vAlign w:val="bottom"/>
            <w:hideMark/>
          </w:tcPr>
          <w:p w14:paraId="7B063EB2" w14:textId="77777777" w:rsidR="00B9311E" w:rsidRPr="00BD77D8" w:rsidRDefault="00B9311E" w:rsidP="00B9311E">
            <w:pPr>
              <w:spacing w:after="0" w:line="240" w:lineRule="auto"/>
              <w:rPr>
                <w:sz w:val="18"/>
                <w:szCs w:val="18"/>
              </w:rPr>
            </w:pPr>
            <w:r w:rsidRPr="00BD77D8">
              <w:rPr>
                <w:sz w:val="18"/>
                <w:szCs w:val="18"/>
              </w:rPr>
              <w:t>Rent received from clients in specialist disability accommodation</w:t>
            </w:r>
          </w:p>
        </w:tc>
        <w:tc>
          <w:tcPr>
            <w:tcW w:w="0" w:type="auto"/>
            <w:tcBorders>
              <w:top w:val="nil"/>
              <w:left w:val="nil"/>
              <w:bottom w:val="nil"/>
              <w:right w:val="nil"/>
            </w:tcBorders>
            <w:shd w:val="clear" w:color="auto" w:fill="auto"/>
            <w:vAlign w:val="bottom"/>
            <w:hideMark/>
          </w:tcPr>
          <w:p w14:paraId="39A030D8" w14:textId="77777777" w:rsidR="00B9311E" w:rsidRPr="00BD77D8" w:rsidRDefault="00B9311E" w:rsidP="00B9311E">
            <w:pPr>
              <w:spacing w:after="0" w:line="240" w:lineRule="auto"/>
              <w:jc w:val="right"/>
              <w:rPr>
                <w:sz w:val="18"/>
                <w:szCs w:val="18"/>
              </w:rPr>
            </w:pPr>
            <w:r w:rsidRPr="00BD77D8">
              <w:rPr>
                <w:sz w:val="18"/>
                <w:szCs w:val="18"/>
              </w:rPr>
              <w:t xml:space="preserve">           889 </w:t>
            </w:r>
          </w:p>
        </w:tc>
        <w:tc>
          <w:tcPr>
            <w:tcW w:w="0" w:type="auto"/>
            <w:tcBorders>
              <w:top w:val="nil"/>
              <w:left w:val="nil"/>
              <w:bottom w:val="nil"/>
              <w:right w:val="nil"/>
            </w:tcBorders>
            <w:shd w:val="clear" w:color="auto" w:fill="auto"/>
            <w:vAlign w:val="bottom"/>
            <w:hideMark/>
          </w:tcPr>
          <w:p w14:paraId="517EA3D0" w14:textId="77777777" w:rsidR="00B9311E" w:rsidRPr="00BD77D8" w:rsidRDefault="00B9311E" w:rsidP="00B9311E">
            <w:pPr>
              <w:spacing w:after="0" w:line="240" w:lineRule="auto"/>
              <w:jc w:val="right"/>
              <w:rPr>
                <w:sz w:val="18"/>
                <w:szCs w:val="18"/>
              </w:rPr>
            </w:pPr>
            <w:r w:rsidRPr="00BD77D8">
              <w:rPr>
                <w:sz w:val="18"/>
                <w:szCs w:val="18"/>
              </w:rPr>
              <w:t xml:space="preserve">           676 </w:t>
            </w:r>
          </w:p>
        </w:tc>
      </w:tr>
      <w:tr w:rsidR="00BD77D8" w:rsidRPr="00BD77D8" w14:paraId="5364940D" w14:textId="77777777" w:rsidTr="003057FB">
        <w:trPr>
          <w:trHeight w:val="310"/>
        </w:trPr>
        <w:tc>
          <w:tcPr>
            <w:tcW w:w="0" w:type="auto"/>
            <w:tcBorders>
              <w:top w:val="nil"/>
              <w:left w:val="nil"/>
              <w:bottom w:val="nil"/>
              <w:right w:val="nil"/>
            </w:tcBorders>
            <w:shd w:val="clear" w:color="auto" w:fill="auto"/>
            <w:noWrap/>
            <w:vAlign w:val="bottom"/>
            <w:hideMark/>
          </w:tcPr>
          <w:p w14:paraId="19F93477" w14:textId="77777777" w:rsidR="00B9311E" w:rsidRPr="00BD77D8" w:rsidRDefault="00B9311E" w:rsidP="00B9311E">
            <w:pPr>
              <w:spacing w:after="0" w:line="240" w:lineRule="auto"/>
              <w:rPr>
                <w:sz w:val="18"/>
                <w:szCs w:val="18"/>
              </w:rPr>
            </w:pPr>
            <w:r w:rsidRPr="00BD77D8">
              <w:rPr>
                <w:sz w:val="18"/>
                <w:szCs w:val="18"/>
              </w:rPr>
              <w:t>Other fees and charges</w:t>
            </w:r>
          </w:p>
        </w:tc>
        <w:tc>
          <w:tcPr>
            <w:tcW w:w="0" w:type="auto"/>
            <w:tcBorders>
              <w:top w:val="nil"/>
              <w:left w:val="nil"/>
              <w:bottom w:val="nil"/>
              <w:right w:val="nil"/>
            </w:tcBorders>
            <w:shd w:val="clear" w:color="auto" w:fill="auto"/>
            <w:vAlign w:val="bottom"/>
            <w:hideMark/>
          </w:tcPr>
          <w:p w14:paraId="085E70FC"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vAlign w:val="bottom"/>
            <w:hideMark/>
          </w:tcPr>
          <w:p w14:paraId="2A211D0F" w14:textId="77777777" w:rsidR="00B9311E" w:rsidRPr="00BD77D8" w:rsidRDefault="00B9311E" w:rsidP="00B9311E">
            <w:pPr>
              <w:spacing w:after="0" w:line="240" w:lineRule="auto"/>
              <w:jc w:val="right"/>
              <w:rPr>
                <w:sz w:val="18"/>
                <w:szCs w:val="18"/>
              </w:rPr>
            </w:pPr>
            <w:r w:rsidRPr="00BD77D8">
              <w:rPr>
                <w:sz w:val="18"/>
                <w:szCs w:val="18"/>
              </w:rPr>
              <w:t xml:space="preserve">           403 </w:t>
            </w:r>
          </w:p>
        </w:tc>
      </w:tr>
      <w:tr w:rsidR="00BD77D8" w:rsidRPr="00BD77D8" w14:paraId="25A8BB01" w14:textId="77777777" w:rsidTr="003057FB">
        <w:trPr>
          <w:trHeight w:val="290"/>
        </w:trPr>
        <w:tc>
          <w:tcPr>
            <w:tcW w:w="0" w:type="auto"/>
            <w:tcBorders>
              <w:top w:val="nil"/>
              <w:left w:val="nil"/>
              <w:bottom w:val="nil"/>
              <w:right w:val="nil"/>
            </w:tcBorders>
            <w:shd w:val="clear" w:color="auto" w:fill="auto"/>
            <w:noWrap/>
            <w:vAlign w:val="bottom"/>
            <w:hideMark/>
          </w:tcPr>
          <w:p w14:paraId="54909B20" w14:textId="77777777" w:rsidR="00B9311E" w:rsidRPr="00BD77D8" w:rsidRDefault="00B9311E" w:rsidP="00B9311E">
            <w:pPr>
              <w:spacing w:after="0" w:line="240" w:lineRule="auto"/>
              <w:rPr>
                <w:b/>
                <w:bCs/>
                <w:sz w:val="18"/>
                <w:szCs w:val="18"/>
              </w:rPr>
            </w:pPr>
            <w:r w:rsidRPr="00BD77D8">
              <w:rPr>
                <w:b/>
                <w:bCs/>
                <w:sz w:val="18"/>
                <w:szCs w:val="18"/>
              </w:rPr>
              <w:t>Total User Charges and Fees</w:t>
            </w:r>
          </w:p>
        </w:tc>
        <w:tc>
          <w:tcPr>
            <w:tcW w:w="0" w:type="auto"/>
            <w:tcBorders>
              <w:top w:val="single" w:sz="4" w:space="0" w:color="auto"/>
              <w:left w:val="nil"/>
              <w:bottom w:val="single" w:sz="4" w:space="0" w:color="auto"/>
              <w:right w:val="nil"/>
            </w:tcBorders>
            <w:shd w:val="clear" w:color="auto" w:fill="auto"/>
            <w:vAlign w:val="bottom"/>
            <w:hideMark/>
          </w:tcPr>
          <w:p w14:paraId="4A9C03C0" w14:textId="77777777" w:rsidR="00B9311E" w:rsidRPr="00BD77D8" w:rsidRDefault="00B9311E" w:rsidP="00B9311E">
            <w:pPr>
              <w:spacing w:after="0" w:line="240" w:lineRule="auto"/>
              <w:jc w:val="right"/>
              <w:rPr>
                <w:b/>
                <w:bCs/>
                <w:sz w:val="18"/>
                <w:szCs w:val="18"/>
              </w:rPr>
            </w:pPr>
            <w:r w:rsidRPr="00BD77D8">
              <w:rPr>
                <w:b/>
                <w:bCs/>
                <w:sz w:val="18"/>
                <w:szCs w:val="18"/>
              </w:rPr>
              <w:t>10,412</w:t>
            </w:r>
          </w:p>
        </w:tc>
        <w:tc>
          <w:tcPr>
            <w:tcW w:w="0" w:type="auto"/>
            <w:tcBorders>
              <w:top w:val="single" w:sz="4" w:space="0" w:color="auto"/>
              <w:left w:val="nil"/>
              <w:bottom w:val="single" w:sz="4" w:space="0" w:color="auto"/>
              <w:right w:val="nil"/>
            </w:tcBorders>
            <w:shd w:val="clear" w:color="auto" w:fill="auto"/>
            <w:vAlign w:val="bottom"/>
            <w:hideMark/>
          </w:tcPr>
          <w:p w14:paraId="5E48B085" w14:textId="77777777" w:rsidR="00B9311E" w:rsidRPr="00BD77D8" w:rsidRDefault="00B9311E" w:rsidP="00B9311E">
            <w:pPr>
              <w:spacing w:after="0" w:line="240" w:lineRule="auto"/>
              <w:jc w:val="right"/>
              <w:rPr>
                <w:b/>
                <w:bCs/>
                <w:sz w:val="18"/>
                <w:szCs w:val="18"/>
              </w:rPr>
            </w:pPr>
            <w:r w:rsidRPr="00BD77D8">
              <w:rPr>
                <w:b/>
                <w:bCs/>
                <w:sz w:val="18"/>
                <w:szCs w:val="18"/>
              </w:rPr>
              <w:t xml:space="preserve">     10,178 </w:t>
            </w:r>
          </w:p>
        </w:tc>
      </w:tr>
    </w:tbl>
    <w:p w14:paraId="038E6421" w14:textId="77777777" w:rsidR="00B9311E" w:rsidRPr="00BD77D8" w:rsidRDefault="00B9311E" w:rsidP="00587E62">
      <w:pPr>
        <w:spacing w:before="240" w:after="0" w:line="240" w:lineRule="auto"/>
        <w:ind w:right="142"/>
        <w:textAlignment w:val="baseline"/>
        <w:rPr>
          <w:rFonts w:eastAsia="Arial"/>
          <w:b/>
          <w:bCs/>
          <w:sz w:val="16"/>
          <w:szCs w:val="16"/>
          <w:lang w:eastAsia="en-US"/>
        </w:rPr>
      </w:pPr>
      <w:r w:rsidRPr="00BD77D8">
        <w:rPr>
          <w:rFonts w:eastAsia="Arial"/>
          <w:sz w:val="16"/>
          <w:szCs w:val="16"/>
          <w:lang w:eastAsia="en-US"/>
        </w:rPr>
        <w:t>*</w:t>
      </w:r>
      <w:r w:rsidRPr="00BD77D8">
        <w:rPr>
          <w:rFonts w:eastAsia="PMingLiU"/>
          <w:sz w:val="16"/>
          <w:szCs w:val="20"/>
          <w:lang w:eastAsia="en-US"/>
        </w:rPr>
        <w:t xml:space="preserve"> </w:t>
      </w:r>
      <w:r w:rsidRPr="00BD77D8">
        <w:rPr>
          <w:rFonts w:eastAsia="Arial"/>
          <w:sz w:val="16"/>
          <w:szCs w:val="16"/>
          <w:lang w:eastAsia="en-US"/>
        </w:rPr>
        <w:t xml:space="preserve">This service has transitioned to the Department of Communities, Housing and Digital Economy in the 2020 Machinery-of-Government restructure. </w:t>
      </w:r>
    </w:p>
    <w:p w14:paraId="3429C07B" w14:textId="77777777" w:rsidR="00B9311E" w:rsidRPr="00BD77D8" w:rsidRDefault="00B9311E" w:rsidP="00587E62">
      <w:pPr>
        <w:spacing w:before="480" w:after="0" w:line="240" w:lineRule="auto"/>
        <w:rPr>
          <w:b/>
          <w:bCs/>
          <w:sz w:val="18"/>
          <w:szCs w:val="18"/>
        </w:rPr>
      </w:pPr>
      <w:r w:rsidRPr="00BD77D8">
        <w:rPr>
          <w:b/>
          <w:bCs/>
          <w:sz w:val="18"/>
          <w:szCs w:val="18"/>
        </w:rPr>
        <w:t>B1-3 Grants and Other Contributions</w:t>
      </w:r>
    </w:p>
    <w:tbl>
      <w:tblPr>
        <w:tblW w:w="10376" w:type="dxa"/>
        <w:tblCellMar>
          <w:left w:w="0" w:type="dxa"/>
          <w:right w:w="0" w:type="dxa"/>
        </w:tblCellMar>
        <w:tblLook w:val="04A0" w:firstRow="1" w:lastRow="0" w:firstColumn="1" w:lastColumn="0" w:noHBand="0" w:noVBand="1"/>
      </w:tblPr>
      <w:tblGrid>
        <w:gridCol w:w="8451"/>
        <w:gridCol w:w="999"/>
        <w:gridCol w:w="974"/>
      </w:tblGrid>
      <w:tr w:rsidR="00BD77D8" w:rsidRPr="00BD77D8" w14:paraId="01305A47" w14:textId="77777777" w:rsidTr="003057FB">
        <w:trPr>
          <w:trHeight w:val="288"/>
        </w:trPr>
        <w:tc>
          <w:tcPr>
            <w:tcW w:w="8435" w:type="dxa"/>
            <w:tcBorders>
              <w:top w:val="nil"/>
              <w:left w:val="nil"/>
              <w:bottom w:val="nil"/>
              <w:right w:val="nil"/>
            </w:tcBorders>
            <w:shd w:val="clear" w:color="auto" w:fill="auto"/>
            <w:noWrap/>
            <w:vAlign w:val="bottom"/>
            <w:hideMark/>
          </w:tcPr>
          <w:p w14:paraId="40CA0A05" w14:textId="77777777" w:rsidR="00B9311E" w:rsidRPr="00BD77D8" w:rsidRDefault="00B9311E" w:rsidP="00B9311E">
            <w:pPr>
              <w:spacing w:after="0" w:line="240" w:lineRule="auto"/>
              <w:rPr>
                <w:rFonts w:ascii="Times New Roman" w:hAnsi="Times New Roman" w:cs="Times New Roman"/>
                <w:sz w:val="24"/>
                <w:szCs w:val="24"/>
              </w:rPr>
            </w:pPr>
          </w:p>
        </w:tc>
        <w:tc>
          <w:tcPr>
            <w:tcW w:w="983" w:type="dxa"/>
            <w:tcBorders>
              <w:top w:val="nil"/>
              <w:left w:val="nil"/>
              <w:bottom w:val="nil"/>
              <w:right w:val="nil"/>
            </w:tcBorders>
            <w:shd w:val="clear" w:color="auto" w:fill="auto"/>
            <w:noWrap/>
            <w:vAlign w:val="bottom"/>
            <w:hideMark/>
          </w:tcPr>
          <w:p w14:paraId="21EF4BC4"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958" w:type="dxa"/>
            <w:tcBorders>
              <w:top w:val="nil"/>
              <w:left w:val="nil"/>
              <w:bottom w:val="nil"/>
              <w:right w:val="nil"/>
            </w:tcBorders>
            <w:shd w:val="clear" w:color="auto" w:fill="auto"/>
            <w:noWrap/>
            <w:vAlign w:val="bottom"/>
            <w:hideMark/>
          </w:tcPr>
          <w:p w14:paraId="743A71E5"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1B158913" w14:textId="77777777" w:rsidTr="003057FB">
        <w:trPr>
          <w:trHeight w:val="288"/>
        </w:trPr>
        <w:tc>
          <w:tcPr>
            <w:tcW w:w="8435" w:type="dxa"/>
            <w:tcBorders>
              <w:top w:val="nil"/>
              <w:left w:val="nil"/>
              <w:bottom w:val="nil"/>
              <w:right w:val="nil"/>
            </w:tcBorders>
            <w:shd w:val="clear" w:color="auto" w:fill="auto"/>
            <w:noWrap/>
            <w:vAlign w:val="bottom"/>
            <w:hideMark/>
          </w:tcPr>
          <w:p w14:paraId="3704017A" w14:textId="77777777" w:rsidR="00B9311E" w:rsidRPr="00BD77D8" w:rsidRDefault="00B9311E" w:rsidP="00B9311E">
            <w:pPr>
              <w:spacing w:after="0" w:line="240" w:lineRule="auto"/>
              <w:jc w:val="right"/>
              <w:rPr>
                <w:sz w:val="18"/>
                <w:szCs w:val="18"/>
              </w:rPr>
            </w:pPr>
          </w:p>
        </w:tc>
        <w:tc>
          <w:tcPr>
            <w:tcW w:w="983" w:type="dxa"/>
            <w:tcBorders>
              <w:top w:val="nil"/>
              <w:left w:val="nil"/>
              <w:bottom w:val="single" w:sz="4" w:space="0" w:color="auto"/>
              <w:right w:val="nil"/>
            </w:tcBorders>
            <w:shd w:val="clear" w:color="auto" w:fill="auto"/>
            <w:noWrap/>
            <w:vAlign w:val="bottom"/>
            <w:hideMark/>
          </w:tcPr>
          <w:p w14:paraId="2FB97B31" w14:textId="77777777" w:rsidR="00B9311E" w:rsidRPr="00BD77D8" w:rsidRDefault="00B9311E" w:rsidP="00B9311E">
            <w:pPr>
              <w:spacing w:after="0" w:line="240" w:lineRule="auto"/>
              <w:jc w:val="right"/>
              <w:rPr>
                <w:b/>
                <w:bCs/>
                <w:sz w:val="18"/>
                <w:szCs w:val="18"/>
              </w:rPr>
            </w:pPr>
            <w:r w:rsidRPr="00BD77D8">
              <w:rPr>
                <w:b/>
                <w:bCs/>
                <w:sz w:val="18"/>
                <w:szCs w:val="18"/>
              </w:rPr>
              <w:t>$'000</w:t>
            </w:r>
          </w:p>
        </w:tc>
        <w:tc>
          <w:tcPr>
            <w:tcW w:w="958" w:type="dxa"/>
            <w:tcBorders>
              <w:top w:val="nil"/>
              <w:left w:val="nil"/>
              <w:bottom w:val="single" w:sz="4" w:space="0" w:color="auto"/>
              <w:right w:val="nil"/>
            </w:tcBorders>
            <w:shd w:val="clear" w:color="auto" w:fill="auto"/>
            <w:noWrap/>
            <w:vAlign w:val="bottom"/>
            <w:hideMark/>
          </w:tcPr>
          <w:p w14:paraId="79B7CBE2" w14:textId="77777777" w:rsidR="00B9311E" w:rsidRPr="00BD77D8" w:rsidRDefault="00B9311E" w:rsidP="00B9311E">
            <w:pPr>
              <w:spacing w:after="0" w:line="240" w:lineRule="auto"/>
              <w:jc w:val="right"/>
              <w:rPr>
                <w:b/>
                <w:bCs/>
                <w:sz w:val="18"/>
                <w:szCs w:val="18"/>
              </w:rPr>
            </w:pPr>
            <w:r w:rsidRPr="00BD77D8">
              <w:rPr>
                <w:b/>
                <w:bCs/>
                <w:sz w:val="18"/>
                <w:szCs w:val="18"/>
              </w:rPr>
              <w:t>$'000</w:t>
            </w:r>
          </w:p>
        </w:tc>
      </w:tr>
      <w:tr w:rsidR="00BD77D8" w:rsidRPr="00BD77D8" w14:paraId="15AD47F4" w14:textId="77777777" w:rsidTr="003057FB">
        <w:trPr>
          <w:trHeight w:val="288"/>
        </w:trPr>
        <w:tc>
          <w:tcPr>
            <w:tcW w:w="8435" w:type="dxa"/>
            <w:tcBorders>
              <w:top w:val="nil"/>
              <w:left w:val="nil"/>
              <w:bottom w:val="nil"/>
              <w:right w:val="nil"/>
            </w:tcBorders>
            <w:shd w:val="clear" w:color="auto" w:fill="auto"/>
            <w:vAlign w:val="center"/>
            <w:hideMark/>
          </w:tcPr>
          <w:p w14:paraId="24386E01" w14:textId="77777777" w:rsidR="00B9311E" w:rsidRPr="00BD77D8" w:rsidRDefault="00B9311E" w:rsidP="00B9311E">
            <w:pPr>
              <w:spacing w:after="0" w:line="240" w:lineRule="auto"/>
              <w:rPr>
                <w:b/>
                <w:bCs/>
                <w:sz w:val="18"/>
                <w:szCs w:val="18"/>
              </w:rPr>
            </w:pPr>
            <w:r w:rsidRPr="00BD77D8">
              <w:rPr>
                <w:b/>
                <w:bCs/>
                <w:sz w:val="18"/>
                <w:szCs w:val="18"/>
              </w:rPr>
              <w:t>Revenue from contracts with customers</w:t>
            </w:r>
          </w:p>
        </w:tc>
        <w:tc>
          <w:tcPr>
            <w:tcW w:w="983" w:type="dxa"/>
            <w:tcBorders>
              <w:top w:val="nil"/>
              <w:left w:val="nil"/>
              <w:bottom w:val="nil"/>
              <w:right w:val="nil"/>
            </w:tcBorders>
            <w:shd w:val="clear" w:color="auto" w:fill="auto"/>
            <w:vAlign w:val="center"/>
            <w:hideMark/>
          </w:tcPr>
          <w:p w14:paraId="23E0D682" w14:textId="77777777" w:rsidR="00B9311E" w:rsidRPr="00BD77D8" w:rsidRDefault="00B9311E" w:rsidP="00B9311E">
            <w:pPr>
              <w:spacing w:after="0" w:line="240" w:lineRule="auto"/>
              <w:rPr>
                <w:b/>
                <w:bCs/>
                <w:sz w:val="18"/>
                <w:szCs w:val="18"/>
              </w:rPr>
            </w:pPr>
            <w:r w:rsidRPr="00BD77D8">
              <w:rPr>
                <w:b/>
                <w:bCs/>
                <w:sz w:val="18"/>
                <w:szCs w:val="18"/>
              </w:rPr>
              <w:t xml:space="preserve"> </w:t>
            </w:r>
          </w:p>
        </w:tc>
        <w:tc>
          <w:tcPr>
            <w:tcW w:w="958" w:type="dxa"/>
            <w:tcBorders>
              <w:top w:val="nil"/>
              <w:left w:val="nil"/>
              <w:bottom w:val="nil"/>
              <w:right w:val="nil"/>
            </w:tcBorders>
            <w:shd w:val="clear" w:color="auto" w:fill="auto"/>
            <w:vAlign w:val="center"/>
            <w:hideMark/>
          </w:tcPr>
          <w:p w14:paraId="03921145" w14:textId="77777777" w:rsidR="00B9311E" w:rsidRPr="00BD77D8" w:rsidRDefault="00B9311E" w:rsidP="00B9311E">
            <w:pPr>
              <w:spacing w:after="0" w:line="240" w:lineRule="auto"/>
              <w:rPr>
                <w:b/>
                <w:bCs/>
                <w:sz w:val="18"/>
                <w:szCs w:val="18"/>
              </w:rPr>
            </w:pPr>
            <w:r w:rsidRPr="00BD77D8">
              <w:rPr>
                <w:b/>
                <w:bCs/>
                <w:sz w:val="18"/>
                <w:szCs w:val="18"/>
              </w:rPr>
              <w:t xml:space="preserve"> </w:t>
            </w:r>
          </w:p>
        </w:tc>
      </w:tr>
      <w:tr w:rsidR="00BD77D8" w:rsidRPr="00BD77D8" w14:paraId="6E8FD1FC" w14:textId="77777777" w:rsidTr="003057FB">
        <w:trPr>
          <w:trHeight w:val="288"/>
        </w:trPr>
        <w:tc>
          <w:tcPr>
            <w:tcW w:w="8435" w:type="dxa"/>
            <w:tcBorders>
              <w:top w:val="nil"/>
              <w:left w:val="nil"/>
              <w:bottom w:val="nil"/>
              <w:right w:val="nil"/>
            </w:tcBorders>
            <w:shd w:val="clear" w:color="auto" w:fill="auto"/>
            <w:vAlign w:val="center"/>
            <w:hideMark/>
          </w:tcPr>
          <w:p w14:paraId="33AE24D9" w14:textId="77777777" w:rsidR="00B9311E" w:rsidRPr="00BD77D8" w:rsidRDefault="00B9311E" w:rsidP="00B9311E">
            <w:pPr>
              <w:spacing w:after="0" w:line="240" w:lineRule="auto"/>
              <w:rPr>
                <w:sz w:val="18"/>
                <w:szCs w:val="18"/>
              </w:rPr>
            </w:pPr>
            <w:r w:rsidRPr="00BD77D8">
              <w:rPr>
                <w:sz w:val="18"/>
                <w:szCs w:val="18"/>
              </w:rPr>
              <w:t>Commonwealth grants - specific obligations</w:t>
            </w:r>
          </w:p>
        </w:tc>
        <w:tc>
          <w:tcPr>
            <w:tcW w:w="983" w:type="dxa"/>
            <w:tcBorders>
              <w:top w:val="nil"/>
              <w:left w:val="nil"/>
              <w:bottom w:val="nil"/>
              <w:right w:val="nil"/>
            </w:tcBorders>
            <w:shd w:val="clear" w:color="auto" w:fill="auto"/>
            <w:vAlign w:val="bottom"/>
            <w:hideMark/>
          </w:tcPr>
          <w:p w14:paraId="3AC85E11" w14:textId="77777777" w:rsidR="00B9311E" w:rsidRPr="00BD77D8" w:rsidRDefault="00B9311E" w:rsidP="00B9311E">
            <w:pPr>
              <w:spacing w:after="0" w:line="240" w:lineRule="auto"/>
              <w:jc w:val="right"/>
              <w:rPr>
                <w:sz w:val="18"/>
                <w:szCs w:val="18"/>
              </w:rPr>
            </w:pPr>
            <w:r w:rsidRPr="00BD77D8">
              <w:rPr>
                <w:sz w:val="18"/>
                <w:szCs w:val="18"/>
              </w:rPr>
              <w:t xml:space="preserve">       9,789 </w:t>
            </w:r>
          </w:p>
        </w:tc>
        <w:tc>
          <w:tcPr>
            <w:tcW w:w="958" w:type="dxa"/>
            <w:tcBorders>
              <w:top w:val="nil"/>
              <w:left w:val="nil"/>
              <w:bottom w:val="nil"/>
              <w:right w:val="nil"/>
            </w:tcBorders>
            <w:shd w:val="clear" w:color="auto" w:fill="auto"/>
            <w:vAlign w:val="bottom"/>
            <w:hideMark/>
          </w:tcPr>
          <w:p w14:paraId="33CD85B9" w14:textId="77777777" w:rsidR="00B9311E" w:rsidRPr="00BD77D8" w:rsidRDefault="00B9311E" w:rsidP="00B9311E">
            <w:pPr>
              <w:spacing w:after="0" w:line="240" w:lineRule="auto"/>
              <w:jc w:val="right"/>
              <w:rPr>
                <w:sz w:val="18"/>
                <w:szCs w:val="18"/>
              </w:rPr>
            </w:pPr>
            <w:r w:rsidRPr="00BD77D8">
              <w:rPr>
                <w:sz w:val="18"/>
                <w:szCs w:val="18"/>
              </w:rPr>
              <w:t xml:space="preserve">     11,374 </w:t>
            </w:r>
          </w:p>
        </w:tc>
      </w:tr>
      <w:tr w:rsidR="00BD77D8" w:rsidRPr="00BD77D8" w14:paraId="20E9FA76" w14:textId="77777777" w:rsidTr="003057FB">
        <w:trPr>
          <w:trHeight w:val="288"/>
        </w:trPr>
        <w:tc>
          <w:tcPr>
            <w:tcW w:w="8435" w:type="dxa"/>
            <w:tcBorders>
              <w:top w:val="nil"/>
              <w:left w:val="nil"/>
              <w:bottom w:val="nil"/>
              <w:right w:val="nil"/>
            </w:tcBorders>
            <w:shd w:val="clear" w:color="auto" w:fill="auto"/>
            <w:vAlign w:val="center"/>
            <w:hideMark/>
          </w:tcPr>
          <w:p w14:paraId="1E77B133" w14:textId="77777777" w:rsidR="00B9311E" w:rsidRPr="00BD77D8" w:rsidRDefault="00B9311E" w:rsidP="00B9311E">
            <w:pPr>
              <w:spacing w:after="0" w:line="240" w:lineRule="auto"/>
              <w:rPr>
                <w:b/>
                <w:bCs/>
                <w:sz w:val="18"/>
                <w:szCs w:val="18"/>
              </w:rPr>
            </w:pPr>
            <w:r w:rsidRPr="00BD77D8">
              <w:rPr>
                <w:b/>
                <w:bCs/>
                <w:sz w:val="18"/>
                <w:szCs w:val="18"/>
              </w:rPr>
              <w:t>Other grants and contributions</w:t>
            </w:r>
          </w:p>
        </w:tc>
        <w:tc>
          <w:tcPr>
            <w:tcW w:w="983" w:type="dxa"/>
            <w:tcBorders>
              <w:top w:val="nil"/>
              <w:left w:val="nil"/>
              <w:bottom w:val="nil"/>
              <w:right w:val="nil"/>
            </w:tcBorders>
            <w:shd w:val="clear" w:color="auto" w:fill="auto"/>
            <w:vAlign w:val="bottom"/>
            <w:hideMark/>
          </w:tcPr>
          <w:p w14:paraId="70D5C6B8" w14:textId="77777777" w:rsidR="00B9311E" w:rsidRPr="00BD77D8" w:rsidRDefault="00B9311E" w:rsidP="00B9311E">
            <w:pPr>
              <w:spacing w:after="0" w:line="240" w:lineRule="auto"/>
              <w:rPr>
                <w:sz w:val="18"/>
                <w:szCs w:val="18"/>
              </w:rPr>
            </w:pPr>
          </w:p>
        </w:tc>
        <w:tc>
          <w:tcPr>
            <w:tcW w:w="958" w:type="dxa"/>
            <w:tcBorders>
              <w:top w:val="nil"/>
              <w:left w:val="nil"/>
              <w:bottom w:val="nil"/>
              <w:right w:val="nil"/>
            </w:tcBorders>
            <w:shd w:val="clear" w:color="auto" w:fill="auto"/>
            <w:vAlign w:val="bottom"/>
            <w:hideMark/>
          </w:tcPr>
          <w:p w14:paraId="54356ED6"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26BFBADA" w14:textId="77777777" w:rsidTr="003057FB">
        <w:trPr>
          <w:trHeight w:val="288"/>
        </w:trPr>
        <w:tc>
          <w:tcPr>
            <w:tcW w:w="8435" w:type="dxa"/>
            <w:tcBorders>
              <w:top w:val="nil"/>
              <w:left w:val="nil"/>
              <w:bottom w:val="nil"/>
              <w:right w:val="nil"/>
            </w:tcBorders>
            <w:shd w:val="clear" w:color="auto" w:fill="auto"/>
            <w:vAlign w:val="center"/>
            <w:hideMark/>
          </w:tcPr>
          <w:p w14:paraId="4B3A37DD" w14:textId="77777777" w:rsidR="00B9311E" w:rsidRPr="00BD77D8" w:rsidRDefault="00B9311E" w:rsidP="00B9311E">
            <w:pPr>
              <w:spacing w:after="0" w:line="240" w:lineRule="auto"/>
              <w:rPr>
                <w:sz w:val="18"/>
                <w:szCs w:val="18"/>
              </w:rPr>
            </w:pPr>
            <w:r w:rsidRPr="00BD77D8">
              <w:rPr>
                <w:sz w:val="18"/>
                <w:szCs w:val="18"/>
              </w:rPr>
              <w:t>Queensland Government grants</w:t>
            </w:r>
          </w:p>
        </w:tc>
        <w:tc>
          <w:tcPr>
            <w:tcW w:w="983" w:type="dxa"/>
            <w:tcBorders>
              <w:top w:val="nil"/>
              <w:left w:val="nil"/>
              <w:bottom w:val="nil"/>
              <w:right w:val="nil"/>
            </w:tcBorders>
            <w:shd w:val="clear" w:color="auto" w:fill="auto"/>
            <w:vAlign w:val="bottom"/>
            <w:hideMark/>
          </w:tcPr>
          <w:p w14:paraId="137DFF91" w14:textId="77777777" w:rsidR="00B9311E" w:rsidRPr="00BD77D8" w:rsidRDefault="00B9311E" w:rsidP="00B9311E">
            <w:pPr>
              <w:spacing w:after="0" w:line="240" w:lineRule="auto"/>
              <w:jc w:val="right"/>
              <w:rPr>
                <w:sz w:val="18"/>
                <w:szCs w:val="18"/>
              </w:rPr>
            </w:pPr>
            <w:r w:rsidRPr="00BD77D8">
              <w:rPr>
                <w:sz w:val="18"/>
                <w:szCs w:val="18"/>
              </w:rPr>
              <w:t xml:space="preserve">           906 </w:t>
            </w:r>
          </w:p>
        </w:tc>
        <w:tc>
          <w:tcPr>
            <w:tcW w:w="958" w:type="dxa"/>
            <w:tcBorders>
              <w:top w:val="nil"/>
              <w:left w:val="nil"/>
              <w:bottom w:val="nil"/>
              <w:right w:val="nil"/>
            </w:tcBorders>
            <w:shd w:val="clear" w:color="auto" w:fill="auto"/>
            <w:vAlign w:val="bottom"/>
            <w:hideMark/>
          </w:tcPr>
          <w:p w14:paraId="63C20ED4" w14:textId="77777777" w:rsidR="00B9311E" w:rsidRPr="00BD77D8" w:rsidRDefault="00B9311E" w:rsidP="00B9311E">
            <w:pPr>
              <w:spacing w:after="0" w:line="240" w:lineRule="auto"/>
              <w:jc w:val="right"/>
              <w:rPr>
                <w:sz w:val="18"/>
                <w:szCs w:val="18"/>
              </w:rPr>
            </w:pPr>
            <w:r w:rsidRPr="00BD77D8">
              <w:rPr>
                <w:sz w:val="18"/>
                <w:szCs w:val="18"/>
              </w:rPr>
              <w:t xml:space="preserve">           362 </w:t>
            </w:r>
          </w:p>
        </w:tc>
      </w:tr>
      <w:tr w:rsidR="00BD77D8" w:rsidRPr="00BD77D8" w14:paraId="07BE6004" w14:textId="77777777" w:rsidTr="003057FB">
        <w:trPr>
          <w:trHeight w:val="288"/>
        </w:trPr>
        <w:tc>
          <w:tcPr>
            <w:tcW w:w="8435" w:type="dxa"/>
            <w:tcBorders>
              <w:top w:val="nil"/>
              <w:left w:val="nil"/>
              <w:bottom w:val="nil"/>
              <w:right w:val="nil"/>
            </w:tcBorders>
            <w:shd w:val="clear" w:color="auto" w:fill="auto"/>
            <w:vAlign w:val="center"/>
            <w:hideMark/>
          </w:tcPr>
          <w:p w14:paraId="246FFCE3" w14:textId="77777777" w:rsidR="00B9311E" w:rsidRPr="00BD77D8" w:rsidRDefault="00B9311E" w:rsidP="00B9311E">
            <w:pPr>
              <w:spacing w:after="0" w:line="240" w:lineRule="auto"/>
              <w:rPr>
                <w:sz w:val="18"/>
                <w:szCs w:val="18"/>
              </w:rPr>
            </w:pPr>
            <w:r w:rsidRPr="00BD77D8">
              <w:rPr>
                <w:sz w:val="18"/>
                <w:szCs w:val="18"/>
              </w:rPr>
              <w:t>Commonwealth grants - non-specific obligations</w:t>
            </w:r>
          </w:p>
        </w:tc>
        <w:tc>
          <w:tcPr>
            <w:tcW w:w="983" w:type="dxa"/>
            <w:tcBorders>
              <w:top w:val="nil"/>
              <w:left w:val="nil"/>
              <w:bottom w:val="nil"/>
              <w:right w:val="nil"/>
            </w:tcBorders>
            <w:shd w:val="clear" w:color="auto" w:fill="auto"/>
            <w:vAlign w:val="bottom"/>
            <w:hideMark/>
          </w:tcPr>
          <w:p w14:paraId="77455313"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58" w:type="dxa"/>
            <w:tcBorders>
              <w:top w:val="nil"/>
              <w:left w:val="nil"/>
              <w:bottom w:val="nil"/>
              <w:right w:val="nil"/>
            </w:tcBorders>
            <w:shd w:val="clear" w:color="auto" w:fill="auto"/>
            <w:vAlign w:val="bottom"/>
            <w:hideMark/>
          </w:tcPr>
          <w:p w14:paraId="3990EC19" w14:textId="77777777" w:rsidR="00B9311E" w:rsidRPr="00BD77D8" w:rsidRDefault="00B9311E" w:rsidP="00B9311E">
            <w:pPr>
              <w:spacing w:after="0" w:line="240" w:lineRule="auto"/>
              <w:jc w:val="right"/>
              <w:rPr>
                <w:sz w:val="18"/>
                <w:szCs w:val="18"/>
              </w:rPr>
            </w:pPr>
            <w:r w:rsidRPr="00BD77D8">
              <w:rPr>
                <w:sz w:val="18"/>
                <w:szCs w:val="18"/>
              </w:rPr>
              <w:t xml:space="preserve">             95 </w:t>
            </w:r>
          </w:p>
        </w:tc>
      </w:tr>
      <w:tr w:rsidR="00BD77D8" w:rsidRPr="00BD77D8" w14:paraId="0F5F19FC" w14:textId="77777777" w:rsidTr="003057FB">
        <w:trPr>
          <w:trHeight w:val="288"/>
        </w:trPr>
        <w:tc>
          <w:tcPr>
            <w:tcW w:w="8435" w:type="dxa"/>
            <w:tcBorders>
              <w:top w:val="nil"/>
              <w:left w:val="nil"/>
              <w:bottom w:val="nil"/>
              <w:right w:val="nil"/>
            </w:tcBorders>
            <w:shd w:val="clear" w:color="auto" w:fill="auto"/>
            <w:vAlign w:val="center"/>
            <w:hideMark/>
          </w:tcPr>
          <w:p w14:paraId="2D762044" w14:textId="77777777" w:rsidR="00B9311E" w:rsidRPr="00BD77D8" w:rsidRDefault="00B9311E" w:rsidP="00B9311E">
            <w:pPr>
              <w:spacing w:after="0" w:line="240" w:lineRule="auto"/>
              <w:rPr>
                <w:sz w:val="18"/>
                <w:szCs w:val="18"/>
              </w:rPr>
            </w:pPr>
            <w:r w:rsidRPr="00BD77D8">
              <w:rPr>
                <w:sz w:val="18"/>
                <w:szCs w:val="18"/>
              </w:rPr>
              <w:t>Other grants and contributions</w:t>
            </w:r>
          </w:p>
        </w:tc>
        <w:tc>
          <w:tcPr>
            <w:tcW w:w="983" w:type="dxa"/>
            <w:tcBorders>
              <w:top w:val="nil"/>
              <w:left w:val="nil"/>
              <w:bottom w:val="nil"/>
              <w:right w:val="nil"/>
            </w:tcBorders>
            <w:shd w:val="clear" w:color="auto" w:fill="auto"/>
            <w:vAlign w:val="bottom"/>
            <w:hideMark/>
          </w:tcPr>
          <w:p w14:paraId="27C0ADFE" w14:textId="77777777" w:rsidR="00B9311E" w:rsidRPr="00BD77D8" w:rsidRDefault="00B9311E" w:rsidP="00B9311E">
            <w:pPr>
              <w:spacing w:after="0" w:line="240" w:lineRule="auto"/>
              <w:jc w:val="right"/>
              <w:rPr>
                <w:b/>
                <w:bCs/>
                <w:sz w:val="18"/>
                <w:szCs w:val="18"/>
              </w:rPr>
            </w:pPr>
            <w:r w:rsidRPr="00BD77D8">
              <w:rPr>
                <w:b/>
                <w:bCs/>
                <w:sz w:val="18"/>
                <w:szCs w:val="18"/>
              </w:rPr>
              <w:t xml:space="preserve">           113 </w:t>
            </w:r>
          </w:p>
        </w:tc>
        <w:tc>
          <w:tcPr>
            <w:tcW w:w="958" w:type="dxa"/>
            <w:tcBorders>
              <w:top w:val="nil"/>
              <w:left w:val="nil"/>
              <w:bottom w:val="nil"/>
              <w:right w:val="nil"/>
            </w:tcBorders>
            <w:shd w:val="clear" w:color="auto" w:fill="auto"/>
            <w:vAlign w:val="bottom"/>
            <w:hideMark/>
          </w:tcPr>
          <w:p w14:paraId="25DFA239"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r>
      <w:tr w:rsidR="00BD77D8" w:rsidRPr="00BD77D8" w14:paraId="142626EE" w14:textId="77777777" w:rsidTr="003057FB">
        <w:trPr>
          <w:trHeight w:val="288"/>
        </w:trPr>
        <w:tc>
          <w:tcPr>
            <w:tcW w:w="8435" w:type="dxa"/>
            <w:tcBorders>
              <w:top w:val="nil"/>
              <w:left w:val="nil"/>
              <w:bottom w:val="nil"/>
              <w:right w:val="nil"/>
            </w:tcBorders>
            <w:shd w:val="clear" w:color="auto" w:fill="auto"/>
            <w:vAlign w:val="center"/>
            <w:hideMark/>
          </w:tcPr>
          <w:p w14:paraId="4E7491A4" w14:textId="77777777" w:rsidR="00B9311E" w:rsidRPr="00BD77D8" w:rsidRDefault="00B9311E" w:rsidP="00B9311E">
            <w:pPr>
              <w:spacing w:after="0" w:line="240" w:lineRule="auto"/>
              <w:rPr>
                <w:sz w:val="18"/>
                <w:szCs w:val="18"/>
              </w:rPr>
            </w:pPr>
            <w:r w:rsidRPr="00BD77D8">
              <w:rPr>
                <w:sz w:val="18"/>
                <w:szCs w:val="18"/>
              </w:rPr>
              <w:t>Services received below fair value *</w:t>
            </w:r>
          </w:p>
        </w:tc>
        <w:tc>
          <w:tcPr>
            <w:tcW w:w="983" w:type="dxa"/>
            <w:tcBorders>
              <w:top w:val="nil"/>
              <w:left w:val="nil"/>
              <w:bottom w:val="nil"/>
              <w:right w:val="nil"/>
            </w:tcBorders>
            <w:shd w:val="clear" w:color="auto" w:fill="auto"/>
            <w:vAlign w:val="bottom"/>
            <w:hideMark/>
          </w:tcPr>
          <w:p w14:paraId="69042A26" w14:textId="77777777" w:rsidR="00B9311E" w:rsidRPr="00BD77D8" w:rsidRDefault="00B9311E" w:rsidP="00B9311E">
            <w:pPr>
              <w:spacing w:after="0" w:line="240" w:lineRule="auto"/>
              <w:jc w:val="right"/>
              <w:rPr>
                <w:sz w:val="18"/>
                <w:szCs w:val="18"/>
              </w:rPr>
            </w:pPr>
            <w:r w:rsidRPr="00BD77D8">
              <w:rPr>
                <w:sz w:val="18"/>
                <w:szCs w:val="18"/>
              </w:rPr>
              <w:t xml:space="preserve">           401 </w:t>
            </w:r>
          </w:p>
        </w:tc>
        <w:tc>
          <w:tcPr>
            <w:tcW w:w="958" w:type="dxa"/>
            <w:tcBorders>
              <w:top w:val="nil"/>
              <w:left w:val="nil"/>
              <w:bottom w:val="nil"/>
              <w:right w:val="nil"/>
            </w:tcBorders>
            <w:shd w:val="clear" w:color="auto" w:fill="auto"/>
            <w:vAlign w:val="bottom"/>
            <w:hideMark/>
          </w:tcPr>
          <w:p w14:paraId="5FD1F162" w14:textId="77777777" w:rsidR="00B9311E" w:rsidRPr="00BD77D8" w:rsidRDefault="00B9311E" w:rsidP="00B9311E">
            <w:pPr>
              <w:spacing w:after="0" w:line="240" w:lineRule="auto"/>
              <w:jc w:val="right"/>
              <w:rPr>
                <w:sz w:val="18"/>
                <w:szCs w:val="18"/>
              </w:rPr>
            </w:pPr>
            <w:r w:rsidRPr="00BD77D8">
              <w:rPr>
                <w:sz w:val="18"/>
                <w:szCs w:val="18"/>
              </w:rPr>
              <w:t xml:space="preserve">       1,658 </w:t>
            </w:r>
          </w:p>
        </w:tc>
      </w:tr>
      <w:tr w:rsidR="00BD77D8" w:rsidRPr="00BD77D8" w14:paraId="374D2D22" w14:textId="77777777" w:rsidTr="003057FB">
        <w:trPr>
          <w:trHeight w:val="288"/>
        </w:trPr>
        <w:tc>
          <w:tcPr>
            <w:tcW w:w="8435" w:type="dxa"/>
            <w:tcBorders>
              <w:top w:val="nil"/>
              <w:left w:val="nil"/>
              <w:bottom w:val="nil"/>
              <w:right w:val="nil"/>
            </w:tcBorders>
            <w:shd w:val="clear" w:color="auto" w:fill="auto"/>
            <w:vAlign w:val="center"/>
            <w:hideMark/>
          </w:tcPr>
          <w:p w14:paraId="16B02246" w14:textId="77777777" w:rsidR="00B9311E" w:rsidRPr="00BD77D8" w:rsidRDefault="00B9311E" w:rsidP="00B9311E">
            <w:pPr>
              <w:spacing w:after="0" w:line="240" w:lineRule="auto"/>
              <w:rPr>
                <w:b/>
                <w:bCs/>
                <w:sz w:val="18"/>
                <w:szCs w:val="18"/>
              </w:rPr>
            </w:pPr>
            <w:r w:rsidRPr="00BD77D8">
              <w:rPr>
                <w:b/>
                <w:bCs/>
                <w:sz w:val="18"/>
                <w:szCs w:val="18"/>
              </w:rPr>
              <w:t>Total</w:t>
            </w:r>
          </w:p>
        </w:tc>
        <w:tc>
          <w:tcPr>
            <w:tcW w:w="983" w:type="dxa"/>
            <w:tcBorders>
              <w:top w:val="single" w:sz="4" w:space="0" w:color="auto"/>
              <w:left w:val="nil"/>
              <w:bottom w:val="single" w:sz="4" w:space="0" w:color="auto"/>
              <w:right w:val="nil"/>
            </w:tcBorders>
            <w:shd w:val="clear" w:color="auto" w:fill="auto"/>
            <w:vAlign w:val="bottom"/>
            <w:hideMark/>
          </w:tcPr>
          <w:p w14:paraId="7E1F988A" w14:textId="77777777" w:rsidR="00B9311E" w:rsidRPr="00BD77D8" w:rsidRDefault="00B9311E" w:rsidP="00B9311E">
            <w:pPr>
              <w:spacing w:after="0" w:line="240" w:lineRule="auto"/>
              <w:jc w:val="right"/>
              <w:rPr>
                <w:b/>
                <w:bCs/>
                <w:sz w:val="18"/>
                <w:szCs w:val="18"/>
              </w:rPr>
            </w:pPr>
            <w:r w:rsidRPr="00BD77D8">
              <w:rPr>
                <w:b/>
                <w:bCs/>
                <w:sz w:val="18"/>
                <w:szCs w:val="18"/>
              </w:rPr>
              <w:t>11,209</w:t>
            </w:r>
          </w:p>
        </w:tc>
        <w:tc>
          <w:tcPr>
            <w:tcW w:w="958" w:type="dxa"/>
            <w:tcBorders>
              <w:top w:val="single" w:sz="4" w:space="0" w:color="auto"/>
              <w:left w:val="nil"/>
              <w:bottom w:val="single" w:sz="4" w:space="0" w:color="auto"/>
              <w:right w:val="nil"/>
            </w:tcBorders>
            <w:shd w:val="clear" w:color="auto" w:fill="auto"/>
            <w:vAlign w:val="bottom"/>
            <w:hideMark/>
          </w:tcPr>
          <w:p w14:paraId="1D2BE06B" w14:textId="77777777" w:rsidR="00B9311E" w:rsidRPr="00BD77D8" w:rsidRDefault="00B9311E" w:rsidP="00B9311E">
            <w:pPr>
              <w:spacing w:after="0" w:line="240" w:lineRule="auto"/>
              <w:jc w:val="right"/>
              <w:rPr>
                <w:b/>
                <w:bCs/>
                <w:sz w:val="18"/>
                <w:szCs w:val="18"/>
              </w:rPr>
            </w:pPr>
            <w:r w:rsidRPr="00BD77D8">
              <w:rPr>
                <w:b/>
                <w:bCs/>
                <w:sz w:val="18"/>
                <w:szCs w:val="18"/>
              </w:rPr>
              <w:t>13,489</w:t>
            </w:r>
          </w:p>
        </w:tc>
      </w:tr>
    </w:tbl>
    <w:p w14:paraId="30C28F33" w14:textId="77777777" w:rsidR="00DE382E" w:rsidRPr="00BD77D8" w:rsidRDefault="00B9311E" w:rsidP="00587E62">
      <w:pPr>
        <w:spacing w:before="240" w:after="0" w:line="206" w:lineRule="exact"/>
        <w:ind w:right="646"/>
        <w:textAlignment w:val="baseline"/>
        <w:rPr>
          <w:rFonts w:eastAsia="PMingLiU"/>
          <w:sz w:val="16"/>
          <w:szCs w:val="20"/>
          <w:lang w:eastAsia="en-US"/>
        </w:rPr>
      </w:pPr>
      <w:r w:rsidRPr="00BD77D8">
        <w:rPr>
          <w:rFonts w:eastAsia="PMingLiU"/>
          <w:sz w:val="16"/>
          <w:szCs w:val="20"/>
          <w:lang w:eastAsia="en-US"/>
        </w:rPr>
        <w:t>* Services received below fair value includes archiving services provided by Queensland State Archives (2021-22 $327K, 2020-21 $198K) and COVID 19 test kits supplied by Queensland Health (2021-22 $74K, 2020-21 Nil). Services received below fair value in 2020-21 included $1.4 million relating to volunteer services for Community Recovery. The Community Recovery program was transferred to Department of Communities, Housing and Digital Economy in the 2020 Machinery-of-Government changes</w:t>
      </w:r>
      <w:r w:rsidRPr="00BD77D8" w:rsidDel="0099297B">
        <w:rPr>
          <w:rFonts w:eastAsia="PMingLiU"/>
          <w:sz w:val="16"/>
          <w:szCs w:val="20"/>
          <w:lang w:eastAsia="en-US"/>
        </w:rPr>
        <w:t xml:space="preserve"> </w:t>
      </w:r>
    </w:p>
    <w:p w14:paraId="10512B44" w14:textId="12493D0B" w:rsidR="00B9311E" w:rsidRPr="00BD77D8" w:rsidRDefault="00DE382E" w:rsidP="00C3515C">
      <w:pPr>
        <w:spacing w:before="3120" w:after="0" w:line="206" w:lineRule="exact"/>
        <w:ind w:right="646"/>
        <w:textAlignment w:val="baseline"/>
        <w:rPr>
          <w:sz w:val="18"/>
          <w:szCs w:val="18"/>
        </w:rPr>
      </w:pP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8"/>
          <w:szCs w:val="18"/>
          <w:lang w:eastAsia="en-US"/>
        </w:rPr>
        <w:t>Page 15 of 45</w:t>
      </w:r>
      <w:r w:rsidR="00B9311E" w:rsidRPr="00BD77D8">
        <w:rPr>
          <w:sz w:val="18"/>
          <w:szCs w:val="18"/>
        </w:rPr>
        <w:br w:type="page"/>
      </w:r>
    </w:p>
    <w:p w14:paraId="14F57EC3"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290CB504"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67891A71"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11C83F8A" w14:textId="77777777" w:rsidR="00B9311E" w:rsidRPr="00BD77D8" w:rsidRDefault="00B9311E" w:rsidP="00B9311E">
      <w:pPr>
        <w:pBdr>
          <w:bottom w:val="single" w:sz="4" w:space="1" w:color="auto"/>
        </w:pBdr>
        <w:spacing w:after="0" w:line="199" w:lineRule="exact"/>
        <w:textAlignment w:val="baseline"/>
        <w:rPr>
          <w:rFonts w:eastAsia="Arial"/>
          <w:b/>
          <w:bCs/>
          <w:sz w:val="18"/>
          <w:szCs w:val="18"/>
          <w:lang w:eastAsia="en-US"/>
        </w:rPr>
      </w:pPr>
    </w:p>
    <w:p w14:paraId="38AEC31D" w14:textId="77777777" w:rsidR="00B9311E" w:rsidRPr="00BD77D8" w:rsidRDefault="00B9311E" w:rsidP="00E47A6E">
      <w:pPr>
        <w:spacing w:before="240" w:after="240" w:line="206" w:lineRule="exact"/>
        <w:ind w:right="505"/>
        <w:textAlignment w:val="baseline"/>
        <w:rPr>
          <w:rFonts w:eastAsia="Arial"/>
          <w:b/>
          <w:bCs/>
          <w:sz w:val="18"/>
          <w:szCs w:val="18"/>
          <w:lang w:eastAsia="en-US"/>
        </w:rPr>
      </w:pPr>
      <w:r w:rsidRPr="00BD77D8">
        <w:rPr>
          <w:rFonts w:eastAsia="Arial"/>
          <w:b/>
          <w:bCs/>
          <w:sz w:val="18"/>
          <w:szCs w:val="18"/>
          <w:lang w:eastAsia="en-US"/>
        </w:rPr>
        <w:t>Accounting policy - Grants, contributions and donations</w:t>
      </w:r>
    </w:p>
    <w:p w14:paraId="7DF247B6" w14:textId="77777777" w:rsidR="00B9311E" w:rsidRPr="00BD77D8" w:rsidRDefault="00B9311E" w:rsidP="00587E62">
      <w:pPr>
        <w:spacing w:after="240" w:line="208" w:lineRule="exact"/>
        <w:ind w:right="144"/>
        <w:textAlignment w:val="baseline"/>
        <w:rPr>
          <w:rFonts w:eastAsia="Arial"/>
          <w:b/>
          <w:bCs/>
          <w:sz w:val="18"/>
          <w:szCs w:val="18"/>
          <w:lang w:eastAsia="en-US"/>
        </w:rPr>
      </w:pPr>
      <w:r w:rsidRPr="00BD77D8">
        <w:rPr>
          <w:rFonts w:eastAsia="Arial"/>
          <w:sz w:val="18"/>
          <w:szCs w:val="18"/>
          <w:lang w:eastAsia="en-US"/>
        </w:rPr>
        <w:t>Grants, contributions and donations revenue arise from non-exchange transactions where the department does not directly give approximately equal value to the grantor.</w:t>
      </w:r>
    </w:p>
    <w:p w14:paraId="52B61E48" w14:textId="36074F4D" w:rsidR="00B9311E" w:rsidRPr="00BD77D8" w:rsidRDefault="00B9311E" w:rsidP="00587E62">
      <w:pPr>
        <w:spacing w:after="240" w:line="208" w:lineRule="exact"/>
        <w:ind w:right="144"/>
        <w:textAlignment w:val="baseline"/>
        <w:rPr>
          <w:rFonts w:eastAsia="Arial"/>
          <w:b/>
          <w:bCs/>
          <w:sz w:val="18"/>
          <w:szCs w:val="18"/>
          <w:lang w:eastAsia="en-US"/>
        </w:rPr>
      </w:pPr>
      <w:r w:rsidRPr="00BD77D8">
        <w:rPr>
          <w:rFonts w:eastAsia="Arial"/>
          <w:sz w:val="18"/>
          <w:szCs w:val="18"/>
          <w:lang w:eastAsia="en-US"/>
        </w:rPr>
        <w:t>Where the grant agreement is enforceable and contains sufficiently specific performance obligations for the department to</w:t>
      </w:r>
      <w:r w:rsidRPr="00BD77D8">
        <w:rPr>
          <w:rFonts w:eastAsia="Arial"/>
          <w:sz w:val="18"/>
          <w:szCs w:val="18"/>
          <w:lang w:eastAsia="en-US"/>
        </w:rPr>
        <w:cr/>
        <w:t>transfer goods or services to a third-party on the grantor’s behalf, the transaction is accounted for under AASB 15</w:t>
      </w:r>
      <w:r w:rsidRPr="00BD77D8">
        <w:rPr>
          <w:rFonts w:eastAsia="Arial"/>
          <w:i/>
          <w:iCs/>
          <w:sz w:val="18"/>
          <w:szCs w:val="18"/>
          <w:lang w:eastAsia="en-US"/>
        </w:rPr>
        <w:t xml:space="preserve"> Revenue from Contracts with Customers</w:t>
      </w:r>
      <w:r w:rsidRPr="00BD77D8">
        <w:rPr>
          <w:rFonts w:eastAsia="Arial"/>
          <w:sz w:val="18"/>
          <w:szCs w:val="18"/>
          <w:lang w:eastAsia="en-US"/>
        </w:rPr>
        <w:t>. In this case, revenue is initially deferred (as a contract liability) and recognised as or when the performance obligations are satisfied.</w:t>
      </w:r>
    </w:p>
    <w:p w14:paraId="2FB49217" w14:textId="006F5DF3" w:rsidR="00B9311E" w:rsidRPr="00BD77D8" w:rsidRDefault="00B9311E" w:rsidP="00587E62">
      <w:pPr>
        <w:spacing w:after="240" w:line="208" w:lineRule="exact"/>
        <w:ind w:right="144"/>
        <w:textAlignment w:val="baseline"/>
        <w:rPr>
          <w:rFonts w:eastAsia="Arial"/>
          <w:b/>
          <w:bCs/>
          <w:sz w:val="18"/>
          <w:szCs w:val="18"/>
          <w:lang w:eastAsia="en-US"/>
        </w:rPr>
      </w:pPr>
      <w:r w:rsidRPr="00BD77D8">
        <w:rPr>
          <w:rFonts w:eastAsia="Arial"/>
          <w:sz w:val="18"/>
          <w:szCs w:val="18"/>
          <w:lang w:eastAsia="en-US"/>
        </w:rPr>
        <w:t>Otherwise, the grant is accounted for under AASB 1058</w:t>
      </w:r>
      <w:r w:rsidRPr="00BD77D8">
        <w:rPr>
          <w:rFonts w:eastAsia="Arial"/>
          <w:i/>
          <w:iCs/>
          <w:sz w:val="18"/>
          <w:szCs w:val="18"/>
          <w:lang w:eastAsia="en-US"/>
        </w:rPr>
        <w:t xml:space="preserve"> Income of Not-for-Profit Entities</w:t>
      </w:r>
      <w:r w:rsidRPr="00BD77D8">
        <w:rPr>
          <w:rFonts w:eastAsia="Arial"/>
          <w:sz w:val="18"/>
          <w:szCs w:val="18"/>
          <w:lang w:eastAsia="en-US"/>
        </w:rPr>
        <w:t>, whereby revenue is recognised upon receipt of the grant funding, except for special purpose capital grants received to construct non-financial assets to be controlled by the department. Special purpose capital grants are recognised as unearned revenue when received, and subsequently recognised progressively as revenue as the department satisfies its obligations under the grant through construction of the asset.</w:t>
      </w:r>
    </w:p>
    <w:p w14:paraId="0A6BD549" w14:textId="77777777" w:rsidR="00B9311E" w:rsidRPr="00BD77D8" w:rsidRDefault="00B9311E" w:rsidP="00587E62">
      <w:pPr>
        <w:spacing w:after="240" w:line="199" w:lineRule="exact"/>
        <w:textAlignment w:val="baseline"/>
        <w:rPr>
          <w:rFonts w:eastAsia="Arial"/>
          <w:b/>
          <w:bCs/>
          <w:sz w:val="18"/>
          <w:szCs w:val="18"/>
          <w:lang w:eastAsia="en-US"/>
        </w:rPr>
      </w:pPr>
      <w:r w:rsidRPr="00BD77D8">
        <w:rPr>
          <w:rFonts w:eastAsia="Arial"/>
          <w:b/>
          <w:bCs/>
          <w:sz w:val="18"/>
          <w:szCs w:val="18"/>
          <w:lang w:eastAsia="en-US"/>
        </w:rPr>
        <w:t>Disclosure – Grants and contributions</w:t>
      </w:r>
    </w:p>
    <w:p w14:paraId="29796CBC" w14:textId="77777777" w:rsidR="00B9311E" w:rsidRPr="00BD77D8" w:rsidRDefault="00B9311E" w:rsidP="00587E62">
      <w:pPr>
        <w:spacing w:after="240" w:line="208" w:lineRule="exact"/>
        <w:ind w:right="576"/>
        <w:textAlignment w:val="baseline"/>
        <w:rPr>
          <w:rFonts w:eastAsia="Arial"/>
          <w:b/>
          <w:bCs/>
          <w:sz w:val="18"/>
          <w:szCs w:val="18"/>
          <w:lang w:eastAsia="en-US"/>
        </w:rPr>
      </w:pPr>
      <w:r w:rsidRPr="00BD77D8">
        <w:rPr>
          <w:rFonts w:eastAsia="Arial"/>
          <w:sz w:val="18"/>
          <w:szCs w:val="18"/>
          <w:lang w:eastAsia="en-US"/>
        </w:rPr>
        <w:t>The department has a number of grant arrangements with the Commonwealth that relate to funding of activity-based services. One of these arrangements is for the Disability Services for Older Australians (DSOA) program and has been identified as having sufficiently specific performance obligations under enforceable grant agreements.</w:t>
      </w:r>
    </w:p>
    <w:p w14:paraId="56CFC2D4" w14:textId="77777777" w:rsidR="00B9311E" w:rsidRPr="00BD77D8" w:rsidRDefault="00B9311E" w:rsidP="00B9311E">
      <w:pPr>
        <w:spacing w:after="0" w:line="208" w:lineRule="exact"/>
        <w:ind w:right="576"/>
        <w:textAlignment w:val="baseline"/>
        <w:rPr>
          <w:rFonts w:eastAsia="Arial"/>
          <w:b/>
          <w:bCs/>
          <w:sz w:val="18"/>
          <w:szCs w:val="18"/>
          <w:lang w:eastAsia="en-US"/>
        </w:rPr>
      </w:pPr>
      <w:r w:rsidRPr="00BD77D8">
        <w:rPr>
          <w:rFonts w:eastAsia="Arial"/>
          <w:sz w:val="18"/>
          <w:szCs w:val="18"/>
          <w:lang w:eastAsia="en-US"/>
        </w:rPr>
        <w:t xml:space="preserve">The remaining Commonwealth grants, although under enforceable agreements, do not contain sufficiently specific </w:t>
      </w:r>
    </w:p>
    <w:p w14:paraId="7B722404" w14:textId="77777777" w:rsidR="00B9311E" w:rsidRPr="00BD77D8" w:rsidRDefault="00B9311E" w:rsidP="00587E62">
      <w:pPr>
        <w:spacing w:after="240" w:line="208" w:lineRule="exact"/>
        <w:ind w:right="576"/>
        <w:textAlignment w:val="baseline"/>
        <w:rPr>
          <w:rFonts w:eastAsia="Arial"/>
          <w:b/>
          <w:bCs/>
          <w:sz w:val="18"/>
          <w:szCs w:val="18"/>
          <w:lang w:eastAsia="en-US"/>
        </w:rPr>
      </w:pPr>
      <w:r w:rsidRPr="00BD77D8">
        <w:rPr>
          <w:rFonts w:eastAsia="Arial"/>
          <w:sz w:val="18"/>
          <w:szCs w:val="18"/>
          <w:lang w:eastAsia="en-US"/>
        </w:rPr>
        <w:t>performance obligations, these grants are recognised upon receipt.</w:t>
      </w:r>
    </w:p>
    <w:p w14:paraId="0024619C" w14:textId="77777777" w:rsidR="00B9311E" w:rsidRPr="00BD77D8" w:rsidRDefault="00B9311E" w:rsidP="00587E62">
      <w:pPr>
        <w:spacing w:after="240" w:line="199" w:lineRule="exact"/>
        <w:textAlignment w:val="baseline"/>
        <w:rPr>
          <w:rFonts w:eastAsia="Arial"/>
          <w:b/>
          <w:bCs/>
          <w:sz w:val="18"/>
          <w:szCs w:val="18"/>
          <w:lang w:eastAsia="en-US"/>
        </w:rPr>
      </w:pPr>
      <w:r w:rsidRPr="00BD77D8">
        <w:rPr>
          <w:rFonts w:eastAsia="Arial"/>
          <w:b/>
          <w:bCs/>
          <w:sz w:val="18"/>
          <w:szCs w:val="18"/>
          <w:lang w:eastAsia="en-US"/>
        </w:rPr>
        <w:t>Accounting policy - Services received below fair value</w:t>
      </w:r>
    </w:p>
    <w:p w14:paraId="2B3E7A5D" w14:textId="77777777" w:rsidR="00B9311E" w:rsidRPr="00BD77D8" w:rsidRDefault="00B9311E" w:rsidP="00587E62">
      <w:pPr>
        <w:spacing w:after="240" w:line="208" w:lineRule="exact"/>
        <w:ind w:right="72"/>
        <w:textAlignment w:val="baseline"/>
        <w:rPr>
          <w:rFonts w:eastAsia="Arial"/>
          <w:b/>
          <w:bCs/>
          <w:sz w:val="18"/>
          <w:szCs w:val="18"/>
          <w:lang w:eastAsia="en-US"/>
        </w:rPr>
      </w:pPr>
      <w:r w:rsidRPr="00BD77D8">
        <w:rPr>
          <w:rFonts w:eastAsia="Arial"/>
          <w:sz w:val="18"/>
          <w:szCs w:val="18"/>
          <w:lang w:eastAsia="en-US"/>
        </w:rPr>
        <w:t>Contributions of services are recognised only if the services would have been purchased if they had not been donated and their fair value can be measured reliably. Where this is the case, an equal amount is recognised as revenue and expense.</w:t>
      </w:r>
    </w:p>
    <w:p w14:paraId="07CC433D" w14:textId="77777777" w:rsidR="00B9311E" w:rsidRPr="00BD77D8" w:rsidRDefault="00B9311E" w:rsidP="00B9311E">
      <w:pPr>
        <w:spacing w:after="0" w:line="240" w:lineRule="auto"/>
        <w:rPr>
          <w:rFonts w:eastAsia="PMingLiU"/>
          <w:b/>
          <w:bCs/>
          <w:sz w:val="18"/>
          <w:szCs w:val="22"/>
          <w:lang w:val="en-US" w:eastAsia="en-US"/>
        </w:rPr>
      </w:pPr>
      <w:r w:rsidRPr="00BD77D8">
        <w:rPr>
          <w:b/>
          <w:bCs/>
          <w:sz w:val="18"/>
          <w:szCs w:val="18"/>
        </w:rPr>
        <w:t>B1-4 Other Revenue</w:t>
      </w:r>
      <w:r w:rsidRPr="00BD77D8">
        <w:rPr>
          <w:rFonts w:eastAsia="PMingLiU"/>
          <w:b/>
          <w:bCs/>
          <w:sz w:val="18"/>
          <w:szCs w:val="22"/>
          <w:lang w:eastAsia="en-US"/>
        </w:rPr>
        <w:t xml:space="preserve"> </w:t>
      </w:r>
    </w:p>
    <w:tbl>
      <w:tblPr>
        <w:tblW w:w="10169" w:type="dxa"/>
        <w:tblCellMar>
          <w:left w:w="0" w:type="dxa"/>
          <w:right w:w="0" w:type="dxa"/>
        </w:tblCellMar>
        <w:tblLook w:val="04A0" w:firstRow="1" w:lastRow="0" w:firstColumn="1" w:lastColumn="0" w:noHBand="0" w:noVBand="1"/>
      </w:tblPr>
      <w:tblGrid>
        <w:gridCol w:w="7954"/>
        <w:gridCol w:w="1150"/>
        <w:gridCol w:w="1113"/>
      </w:tblGrid>
      <w:tr w:rsidR="00BD77D8" w:rsidRPr="00BD77D8" w14:paraId="408FE487" w14:textId="77777777" w:rsidTr="003057FB">
        <w:trPr>
          <w:trHeight w:val="287"/>
        </w:trPr>
        <w:tc>
          <w:tcPr>
            <w:tcW w:w="7938" w:type="dxa"/>
            <w:tcBorders>
              <w:top w:val="nil"/>
              <w:left w:val="nil"/>
              <w:bottom w:val="nil"/>
              <w:right w:val="nil"/>
            </w:tcBorders>
            <w:shd w:val="clear" w:color="auto" w:fill="auto"/>
            <w:noWrap/>
            <w:vAlign w:val="bottom"/>
            <w:hideMark/>
          </w:tcPr>
          <w:p w14:paraId="423C3D52" w14:textId="77777777" w:rsidR="00B9311E" w:rsidRPr="00BD77D8" w:rsidRDefault="00B9311E" w:rsidP="00B9311E">
            <w:pPr>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14:paraId="1C095B8B"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097" w:type="dxa"/>
            <w:tcBorders>
              <w:top w:val="nil"/>
              <w:left w:val="nil"/>
              <w:bottom w:val="nil"/>
              <w:right w:val="nil"/>
            </w:tcBorders>
            <w:shd w:val="clear" w:color="auto" w:fill="auto"/>
            <w:noWrap/>
            <w:vAlign w:val="bottom"/>
            <w:hideMark/>
          </w:tcPr>
          <w:p w14:paraId="2E09946D"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3FCA7272" w14:textId="77777777" w:rsidTr="003057FB">
        <w:trPr>
          <w:trHeight w:val="287"/>
        </w:trPr>
        <w:tc>
          <w:tcPr>
            <w:tcW w:w="7938" w:type="dxa"/>
            <w:tcBorders>
              <w:top w:val="nil"/>
              <w:left w:val="nil"/>
              <w:bottom w:val="nil"/>
              <w:right w:val="nil"/>
            </w:tcBorders>
            <w:shd w:val="clear" w:color="auto" w:fill="auto"/>
            <w:noWrap/>
            <w:vAlign w:val="bottom"/>
            <w:hideMark/>
          </w:tcPr>
          <w:p w14:paraId="6B3EDB18" w14:textId="77777777" w:rsidR="00B9311E" w:rsidRPr="00BD77D8" w:rsidRDefault="00B9311E" w:rsidP="00B9311E">
            <w:pPr>
              <w:spacing w:after="0" w:line="240" w:lineRule="auto"/>
              <w:jc w:val="right"/>
              <w:rPr>
                <w:sz w:val="18"/>
                <w:szCs w:val="18"/>
              </w:rPr>
            </w:pPr>
          </w:p>
        </w:tc>
        <w:tc>
          <w:tcPr>
            <w:tcW w:w="1134" w:type="dxa"/>
            <w:tcBorders>
              <w:top w:val="nil"/>
              <w:left w:val="nil"/>
              <w:bottom w:val="single" w:sz="4" w:space="0" w:color="auto"/>
              <w:right w:val="nil"/>
            </w:tcBorders>
            <w:shd w:val="clear" w:color="auto" w:fill="auto"/>
            <w:noWrap/>
            <w:vAlign w:val="bottom"/>
            <w:hideMark/>
          </w:tcPr>
          <w:p w14:paraId="65680F91" w14:textId="77777777" w:rsidR="00B9311E" w:rsidRPr="00BD77D8" w:rsidRDefault="00B9311E" w:rsidP="00B9311E">
            <w:pPr>
              <w:spacing w:after="0" w:line="240" w:lineRule="auto"/>
              <w:jc w:val="right"/>
              <w:rPr>
                <w:b/>
                <w:bCs/>
                <w:sz w:val="18"/>
                <w:szCs w:val="18"/>
              </w:rPr>
            </w:pPr>
            <w:r w:rsidRPr="00BD77D8">
              <w:rPr>
                <w:b/>
                <w:bCs/>
                <w:sz w:val="18"/>
                <w:szCs w:val="18"/>
              </w:rPr>
              <w:t>$'000</w:t>
            </w:r>
          </w:p>
        </w:tc>
        <w:tc>
          <w:tcPr>
            <w:tcW w:w="1097" w:type="dxa"/>
            <w:tcBorders>
              <w:top w:val="nil"/>
              <w:left w:val="nil"/>
              <w:bottom w:val="single" w:sz="4" w:space="0" w:color="auto"/>
              <w:right w:val="nil"/>
            </w:tcBorders>
            <w:shd w:val="clear" w:color="auto" w:fill="auto"/>
            <w:noWrap/>
            <w:vAlign w:val="bottom"/>
            <w:hideMark/>
          </w:tcPr>
          <w:p w14:paraId="642A2496" w14:textId="77777777" w:rsidR="00B9311E" w:rsidRPr="00BD77D8" w:rsidRDefault="00B9311E" w:rsidP="00B9311E">
            <w:pPr>
              <w:spacing w:after="0" w:line="240" w:lineRule="auto"/>
              <w:jc w:val="right"/>
              <w:rPr>
                <w:b/>
                <w:bCs/>
                <w:sz w:val="18"/>
                <w:szCs w:val="18"/>
              </w:rPr>
            </w:pPr>
            <w:r w:rsidRPr="00BD77D8">
              <w:rPr>
                <w:b/>
                <w:bCs/>
                <w:sz w:val="18"/>
                <w:szCs w:val="18"/>
              </w:rPr>
              <w:t>$'000</w:t>
            </w:r>
          </w:p>
        </w:tc>
      </w:tr>
      <w:tr w:rsidR="00BD77D8" w:rsidRPr="00BD77D8" w14:paraId="507F41E9" w14:textId="77777777" w:rsidTr="003057FB">
        <w:trPr>
          <w:trHeight w:val="287"/>
        </w:trPr>
        <w:tc>
          <w:tcPr>
            <w:tcW w:w="7938" w:type="dxa"/>
            <w:tcBorders>
              <w:top w:val="nil"/>
              <w:left w:val="nil"/>
              <w:bottom w:val="nil"/>
              <w:right w:val="nil"/>
            </w:tcBorders>
            <w:shd w:val="clear" w:color="auto" w:fill="auto"/>
            <w:vAlign w:val="center"/>
            <w:hideMark/>
          </w:tcPr>
          <w:p w14:paraId="54956517" w14:textId="77777777" w:rsidR="00B9311E" w:rsidRPr="00BD77D8" w:rsidRDefault="00B9311E" w:rsidP="00B9311E">
            <w:pPr>
              <w:spacing w:after="0" w:line="240" w:lineRule="auto"/>
              <w:rPr>
                <w:sz w:val="18"/>
                <w:szCs w:val="18"/>
              </w:rPr>
            </w:pPr>
            <w:r w:rsidRPr="00BD77D8">
              <w:rPr>
                <w:sz w:val="18"/>
                <w:szCs w:val="18"/>
              </w:rPr>
              <w:t>Expenditure recoveries</w:t>
            </w:r>
          </w:p>
        </w:tc>
        <w:tc>
          <w:tcPr>
            <w:tcW w:w="1134" w:type="dxa"/>
            <w:tcBorders>
              <w:top w:val="nil"/>
              <w:left w:val="nil"/>
              <w:bottom w:val="nil"/>
              <w:right w:val="nil"/>
            </w:tcBorders>
            <w:shd w:val="clear" w:color="auto" w:fill="auto"/>
            <w:vAlign w:val="bottom"/>
            <w:hideMark/>
          </w:tcPr>
          <w:p w14:paraId="02540FDB" w14:textId="77777777" w:rsidR="00B9311E" w:rsidRPr="00BD77D8" w:rsidRDefault="00B9311E" w:rsidP="00B9311E">
            <w:pPr>
              <w:spacing w:after="0" w:line="240" w:lineRule="auto"/>
              <w:jc w:val="right"/>
              <w:rPr>
                <w:sz w:val="18"/>
                <w:szCs w:val="18"/>
              </w:rPr>
            </w:pPr>
            <w:r w:rsidRPr="00BD77D8">
              <w:rPr>
                <w:sz w:val="18"/>
                <w:szCs w:val="18"/>
              </w:rPr>
              <w:t xml:space="preserve">           431 </w:t>
            </w:r>
          </w:p>
        </w:tc>
        <w:tc>
          <w:tcPr>
            <w:tcW w:w="1097" w:type="dxa"/>
            <w:tcBorders>
              <w:top w:val="nil"/>
              <w:left w:val="nil"/>
              <w:bottom w:val="nil"/>
              <w:right w:val="nil"/>
            </w:tcBorders>
            <w:shd w:val="clear" w:color="auto" w:fill="auto"/>
            <w:vAlign w:val="bottom"/>
            <w:hideMark/>
          </w:tcPr>
          <w:p w14:paraId="6DF0F8A2" w14:textId="77777777" w:rsidR="00B9311E" w:rsidRPr="00BD77D8" w:rsidRDefault="00B9311E" w:rsidP="00B9311E">
            <w:pPr>
              <w:spacing w:after="0" w:line="240" w:lineRule="auto"/>
              <w:jc w:val="right"/>
              <w:rPr>
                <w:sz w:val="18"/>
                <w:szCs w:val="18"/>
              </w:rPr>
            </w:pPr>
            <w:r w:rsidRPr="00BD77D8">
              <w:rPr>
                <w:sz w:val="18"/>
                <w:szCs w:val="18"/>
              </w:rPr>
              <w:t xml:space="preserve">               5 </w:t>
            </w:r>
          </w:p>
        </w:tc>
      </w:tr>
      <w:tr w:rsidR="00BD77D8" w:rsidRPr="00BD77D8" w14:paraId="35B8C70B" w14:textId="77777777" w:rsidTr="003057FB">
        <w:trPr>
          <w:trHeight w:val="287"/>
        </w:trPr>
        <w:tc>
          <w:tcPr>
            <w:tcW w:w="7938" w:type="dxa"/>
            <w:tcBorders>
              <w:top w:val="nil"/>
              <w:left w:val="nil"/>
              <w:bottom w:val="nil"/>
              <w:right w:val="nil"/>
            </w:tcBorders>
            <w:shd w:val="clear" w:color="auto" w:fill="auto"/>
            <w:vAlign w:val="center"/>
            <w:hideMark/>
          </w:tcPr>
          <w:p w14:paraId="3D105725" w14:textId="77777777" w:rsidR="00B9311E" w:rsidRPr="00BD77D8" w:rsidRDefault="00B9311E" w:rsidP="00B9311E">
            <w:pPr>
              <w:spacing w:after="0" w:line="240" w:lineRule="auto"/>
              <w:rPr>
                <w:sz w:val="18"/>
                <w:szCs w:val="18"/>
              </w:rPr>
            </w:pPr>
            <w:r w:rsidRPr="00BD77D8">
              <w:rPr>
                <w:sz w:val="18"/>
                <w:szCs w:val="18"/>
              </w:rPr>
              <w:t>Grant and service procurement refunds^</w:t>
            </w:r>
          </w:p>
        </w:tc>
        <w:tc>
          <w:tcPr>
            <w:tcW w:w="1134" w:type="dxa"/>
            <w:tcBorders>
              <w:top w:val="nil"/>
              <w:left w:val="nil"/>
              <w:bottom w:val="nil"/>
              <w:right w:val="nil"/>
            </w:tcBorders>
            <w:shd w:val="clear" w:color="auto" w:fill="auto"/>
            <w:vAlign w:val="bottom"/>
            <w:hideMark/>
          </w:tcPr>
          <w:p w14:paraId="36EBF591" w14:textId="77777777" w:rsidR="00B9311E" w:rsidRPr="00BD77D8" w:rsidRDefault="00B9311E" w:rsidP="00B9311E">
            <w:pPr>
              <w:spacing w:after="0" w:line="240" w:lineRule="auto"/>
              <w:jc w:val="right"/>
              <w:rPr>
                <w:sz w:val="18"/>
                <w:szCs w:val="18"/>
              </w:rPr>
            </w:pPr>
            <w:r w:rsidRPr="00BD77D8">
              <w:rPr>
                <w:sz w:val="18"/>
                <w:szCs w:val="18"/>
              </w:rPr>
              <w:t xml:space="preserve">       1,484 </w:t>
            </w:r>
          </w:p>
        </w:tc>
        <w:tc>
          <w:tcPr>
            <w:tcW w:w="1097" w:type="dxa"/>
            <w:tcBorders>
              <w:top w:val="nil"/>
              <w:left w:val="nil"/>
              <w:bottom w:val="nil"/>
              <w:right w:val="nil"/>
            </w:tcBorders>
            <w:shd w:val="clear" w:color="auto" w:fill="auto"/>
            <w:vAlign w:val="bottom"/>
            <w:hideMark/>
          </w:tcPr>
          <w:p w14:paraId="15388E53" w14:textId="77777777" w:rsidR="00B9311E" w:rsidRPr="00BD77D8" w:rsidRDefault="00B9311E" w:rsidP="00B9311E">
            <w:pPr>
              <w:spacing w:after="0" w:line="240" w:lineRule="auto"/>
              <w:jc w:val="right"/>
              <w:rPr>
                <w:sz w:val="18"/>
                <w:szCs w:val="18"/>
              </w:rPr>
            </w:pPr>
            <w:r w:rsidRPr="00BD77D8">
              <w:rPr>
                <w:sz w:val="18"/>
                <w:szCs w:val="18"/>
              </w:rPr>
              <w:t xml:space="preserve">       2,283 </w:t>
            </w:r>
          </w:p>
        </w:tc>
      </w:tr>
      <w:tr w:rsidR="00BD77D8" w:rsidRPr="00BD77D8" w14:paraId="0DEA3931" w14:textId="77777777" w:rsidTr="003057FB">
        <w:trPr>
          <w:trHeight w:val="287"/>
        </w:trPr>
        <w:tc>
          <w:tcPr>
            <w:tcW w:w="7938" w:type="dxa"/>
            <w:tcBorders>
              <w:top w:val="nil"/>
              <w:left w:val="nil"/>
              <w:bottom w:val="nil"/>
              <w:right w:val="nil"/>
            </w:tcBorders>
            <w:shd w:val="clear" w:color="auto" w:fill="auto"/>
            <w:vAlign w:val="center"/>
            <w:hideMark/>
          </w:tcPr>
          <w:p w14:paraId="0CB8B004" w14:textId="77777777" w:rsidR="00B9311E" w:rsidRPr="00BD77D8" w:rsidRDefault="00B9311E" w:rsidP="00B9311E">
            <w:pPr>
              <w:spacing w:after="0" w:line="240" w:lineRule="auto"/>
              <w:rPr>
                <w:sz w:val="18"/>
                <w:szCs w:val="18"/>
              </w:rPr>
            </w:pPr>
            <w:r w:rsidRPr="00BD77D8">
              <w:rPr>
                <w:sz w:val="18"/>
                <w:szCs w:val="18"/>
              </w:rPr>
              <w:t>Other</w:t>
            </w:r>
          </w:p>
        </w:tc>
        <w:tc>
          <w:tcPr>
            <w:tcW w:w="1134" w:type="dxa"/>
            <w:tcBorders>
              <w:top w:val="nil"/>
              <w:left w:val="nil"/>
              <w:bottom w:val="nil"/>
              <w:right w:val="nil"/>
            </w:tcBorders>
            <w:shd w:val="clear" w:color="auto" w:fill="auto"/>
            <w:vAlign w:val="bottom"/>
            <w:hideMark/>
          </w:tcPr>
          <w:p w14:paraId="244533B7" w14:textId="77777777" w:rsidR="00B9311E" w:rsidRPr="00BD77D8" w:rsidRDefault="00B9311E" w:rsidP="00B9311E">
            <w:pPr>
              <w:spacing w:after="0" w:line="240" w:lineRule="auto"/>
              <w:jc w:val="right"/>
              <w:rPr>
                <w:sz w:val="18"/>
                <w:szCs w:val="18"/>
              </w:rPr>
            </w:pPr>
            <w:r w:rsidRPr="00BD77D8">
              <w:rPr>
                <w:sz w:val="18"/>
                <w:szCs w:val="18"/>
              </w:rPr>
              <w:t xml:space="preserve">       1,054 </w:t>
            </w:r>
          </w:p>
        </w:tc>
        <w:tc>
          <w:tcPr>
            <w:tcW w:w="1097" w:type="dxa"/>
            <w:tcBorders>
              <w:top w:val="nil"/>
              <w:left w:val="nil"/>
              <w:bottom w:val="nil"/>
              <w:right w:val="nil"/>
            </w:tcBorders>
            <w:shd w:val="clear" w:color="auto" w:fill="auto"/>
            <w:vAlign w:val="bottom"/>
            <w:hideMark/>
          </w:tcPr>
          <w:p w14:paraId="0DDDB80B" w14:textId="77777777" w:rsidR="00B9311E" w:rsidRPr="00BD77D8" w:rsidRDefault="00B9311E" w:rsidP="00B9311E">
            <w:pPr>
              <w:spacing w:after="0" w:line="240" w:lineRule="auto"/>
              <w:jc w:val="right"/>
              <w:rPr>
                <w:sz w:val="18"/>
                <w:szCs w:val="18"/>
              </w:rPr>
            </w:pPr>
            <w:r w:rsidRPr="00BD77D8">
              <w:rPr>
                <w:sz w:val="18"/>
                <w:szCs w:val="18"/>
              </w:rPr>
              <w:t xml:space="preserve">       1,900 </w:t>
            </w:r>
          </w:p>
        </w:tc>
      </w:tr>
      <w:tr w:rsidR="00BD77D8" w:rsidRPr="00BD77D8" w14:paraId="24C5087E" w14:textId="77777777" w:rsidTr="003057FB">
        <w:trPr>
          <w:trHeight w:val="287"/>
        </w:trPr>
        <w:tc>
          <w:tcPr>
            <w:tcW w:w="7938" w:type="dxa"/>
            <w:tcBorders>
              <w:top w:val="nil"/>
              <w:left w:val="nil"/>
              <w:bottom w:val="nil"/>
              <w:right w:val="nil"/>
            </w:tcBorders>
            <w:shd w:val="clear" w:color="auto" w:fill="auto"/>
            <w:vAlign w:val="center"/>
            <w:hideMark/>
          </w:tcPr>
          <w:p w14:paraId="6DA0D34E" w14:textId="77777777" w:rsidR="00B9311E" w:rsidRPr="00BD77D8" w:rsidRDefault="00B9311E" w:rsidP="00B9311E">
            <w:pPr>
              <w:spacing w:after="0" w:line="240" w:lineRule="auto"/>
              <w:rPr>
                <w:b/>
                <w:bCs/>
                <w:sz w:val="18"/>
                <w:szCs w:val="18"/>
              </w:rPr>
            </w:pPr>
            <w:r w:rsidRPr="00BD77D8">
              <w:rPr>
                <w:b/>
                <w:bCs/>
                <w:sz w:val="18"/>
                <w:szCs w:val="18"/>
              </w:rPr>
              <w:t>Total</w:t>
            </w:r>
          </w:p>
        </w:tc>
        <w:tc>
          <w:tcPr>
            <w:tcW w:w="1134" w:type="dxa"/>
            <w:tcBorders>
              <w:top w:val="single" w:sz="4" w:space="0" w:color="auto"/>
              <w:left w:val="nil"/>
              <w:bottom w:val="single" w:sz="4" w:space="0" w:color="auto"/>
              <w:right w:val="nil"/>
            </w:tcBorders>
            <w:shd w:val="clear" w:color="auto" w:fill="auto"/>
            <w:vAlign w:val="bottom"/>
            <w:hideMark/>
          </w:tcPr>
          <w:p w14:paraId="4DD7549E" w14:textId="77777777" w:rsidR="00B9311E" w:rsidRPr="00BD77D8" w:rsidRDefault="00B9311E" w:rsidP="00B9311E">
            <w:pPr>
              <w:spacing w:after="0" w:line="240" w:lineRule="auto"/>
              <w:jc w:val="right"/>
              <w:rPr>
                <w:b/>
                <w:bCs/>
                <w:sz w:val="18"/>
                <w:szCs w:val="18"/>
              </w:rPr>
            </w:pPr>
            <w:r w:rsidRPr="00BD77D8">
              <w:rPr>
                <w:b/>
                <w:bCs/>
                <w:sz w:val="18"/>
                <w:szCs w:val="18"/>
              </w:rPr>
              <w:t>2,969</w:t>
            </w:r>
          </w:p>
        </w:tc>
        <w:tc>
          <w:tcPr>
            <w:tcW w:w="1097" w:type="dxa"/>
            <w:tcBorders>
              <w:top w:val="single" w:sz="4" w:space="0" w:color="auto"/>
              <w:left w:val="nil"/>
              <w:bottom w:val="single" w:sz="4" w:space="0" w:color="auto"/>
              <w:right w:val="nil"/>
            </w:tcBorders>
            <w:shd w:val="clear" w:color="auto" w:fill="auto"/>
            <w:vAlign w:val="bottom"/>
            <w:hideMark/>
          </w:tcPr>
          <w:p w14:paraId="58D5FFD9" w14:textId="77777777" w:rsidR="00B9311E" w:rsidRPr="00BD77D8" w:rsidRDefault="00B9311E" w:rsidP="00B9311E">
            <w:pPr>
              <w:spacing w:after="0" w:line="240" w:lineRule="auto"/>
              <w:jc w:val="right"/>
              <w:rPr>
                <w:b/>
                <w:bCs/>
                <w:sz w:val="18"/>
                <w:szCs w:val="18"/>
              </w:rPr>
            </w:pPr>
            <w:r w:rsidRPr="00BD77D8">
              <w:rPr>
                <w:b/>
                <w:bCs/>
                <w:sz w:val="18"/>
                <w:szCs w:val="18"/>
              </w:rPr>
              <w:t>4,188</w:t>
            </w:r>
          </w:p>
        </w:tc>
      </w:tr>
    </w:tbl>
    <w:p w14:paraId="751A7CF8" w14:textId="77777777" w:rsidR="00B9311E" w:rsidRPr="00BD77D8" w:rsidRDefault="00B9311E" w:rsidP="00587E62">
      <w:pPr>
        <w:spacing w:before="240" w:after="0" w:line="240" w:lineRule="auto"/>
        <w:rPr>
          <w:b/>
          <w:bCs/>
          <w:sz w:val="16"/>
          <w:szCs w:val="16"/>
        </w:rPr>
      </w:pPr>
      <w:r w:rsidRPr="00BD77D8">
        <w:rPr>
          <w:sz w:val="16"/>
          <w:szCs w:val="16"/>
        </w:rPr>
        <w:t xml:space="preserve">^ These refunds relate to the return of prior year unspent funds by non-government organisations. </w:t>
      </w:r>
    </w:p>
    <w:p w14:paraId="6F836EC5" w14:textId="5768B0CC" w:rsidR="00B9311E" w:rsidRPr="00BD77D8" w:rsidRDefault="00DE382E" w:rsidP="00C3515C">
      <w:pPr>
        <w:spacing w:before="3120" w:after="0" w:line="240" w:lineRule="auto"/>
        <w:rPr>
          <w:rFonts w:eastAsia="Arial"/>
          <w:sz w:val="22"/>
          <w:szCs w:val="22"/>
          <w:lang w:eastAsia="en-US"/>
        </w:rPr>
      </w:pP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22"/>
          <w:szCs w:val="22"/>
          <w:lang w:eastAsia="en-US"/>
        </w:rPr>
        <w:tab/>
      </w:r>
      <w:r w:rsidRPr="00BD77D8">
        <w:rPr>
          <w:rFonts w:eastAsia="Arial"/>
          <w:sz w:val="18"/>
          <w:szCs w:val="18"/>
          <w:lang w:eastAsia="en-US"/>
        </w:rPr>
        <w:t>Page 16 of 45</w:t>
      </w:r>
      <w:r w:rsidR="00B9311E" w:rsidRPr="00BD77D8">
        <w:rPr>
          <w:rFonts w:eastAsia="Arial"/>
          <w:sz w:val="22"/>
          <w:szCs w:val="22"/>
          <w:lang w:eastAsia="en-US"/>
        </w:rPr>
        <w:br w:type="page"/>
      </w:r>
    </w:p>
    <w:p w14:paraId="203D7999"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716EAA23"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3D81EC76"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3C594C80" w14:textId="77777777" w:rsidR="00B9311E" w:rsidRPr="00BD77D8" w:rsidRDefault="00B9311E" w:rsidP="00B9311E">
      <w:pPr>
        <w:pBdr>
          <w:bottom w:val="single" w:sz="4" w:space="1" w:color="auto"/>
        </w:pBdr>
        <w:spacing w:after="0" w:line="252" w:lineRule="exact"/>
        <w:textAlignment w:val="baseline"/>
        <w:rPr>
          <w:rFonts w:eastAsia="Arial"/>
          <w:b/>
          <w:sz w:val="18"/>
          <w:szCs w:val="18"/>
          <w:lang w:eastAsia="en-US"/>
        </w:rPr>
      </w:pPr>
    </w:p>
    <w:p w14:paraId="384B249E" w14:textId="77777777" w:rsidR="00B9311E" w:rsidRPr="00BD77D8" w:rsidRDefault="00B9311E" w:rsidP="00E47A6E">
      <w:pPr>
        <w:spacing w:before="240" w:after="240" w:line="180" w:lineRule="atLeast"/>
        <w:rPr>
          <w:rFonts w:eastAsia="Arial"/>
          <w:b/>
          <w:bCs/>
          <w:sz w:val="22"/>
          <w:szCs w:val="22"/>
          <w:lang w:eastAsia="en-US"/>
        </w:rPr>
      </w:pPr>
      <w:bookmarkStart w:id="109" w:name="_Toc111494806"/>
      <w:bookmarkStart w:id="110" w:name="_Toc111540678"/>
      <w:bookmarkStart w:id="111" w:name="_Toc111559241"/>
      <w:bookmarkStart w:id="112" w:name="_Toc113196513"/>
      <w:bookmarkStart w:id="113" w:name="_Toc113196861"/>
      <w:bookmarkStart w:id="114" w:name="_Toc113261991"/>
      <w:bookmarkStart w:id="115" w:name="_Toc113349145"/>
      <w:bookmarkStart w:id="116" w:name="_Toc113358070"/>
      <w:r w:rsidRPr="00BD77D8">
        <w:rPr>
          <w:rFonts w:eastAsia="Arial"/>
          <w:b/>
          <w:bCs/>
          <w:sz w:val="22"/>
          <w:szCs w:val="22"/>
          <w:lang w:eastAsia="en-US"/>
        </w:rPr>
        <w:t>B2 Expenses</w:t>
      </w:r>
      <w:bookmarkEnd w:id="109"/>
      <w:bookmarkEnd w:id="110"/>
      <w:bookmarkEnd w:id="111"/>
      <w:bookmarkEnd w:id="112"/>
      <w:bookmarkEnd w:id="113"/>
      <w:bookmarkEnd w:id="114"/>
      <w:bookmarkEnd w:id="115"/>
      <w:bookmarkEnd w:id="116"/>
    </w:p>
    <w:p w14:paraId="6A51B7D7" w14:textId="77777777" w:rsidR="00B9311E" w:rsidRPr="00BD77D8" w:rsidRDefault="00B9311E" w:rsidP="00B9311E">
      <w:pPr>
        <w:spacing w:after="0" w:line="240" w:lineRule="auto"/>
        <w:rPr>
          <w:rFonts w:eastAsia="PMingLiU"/>
          <w:sz w:val="18"/>
          <w:szCs w:val="22"/>
          <w:lang w:eastAsia="en-US"/>
        </w:rPr>
      </w:pPr>
      <w:r w:rsidRPr="00BD77D8">
        <w:rPr>
          <w:rFonts w:eastAsia="PMingLiU"/>
          <w:b/>
          <w:bCs/>
          <w:sz w:val="18"/>
          <w:szCs w:val="22"/>
          <w:lang w:eastAsia="en-US"/>
        </w:rPr>
        <w:t>B2-1 Employee Expenses</w:t>
      </w:r>
    </w:p>
    <w:tbl>
      <w:tblPr>
        <w:tblW w:w="10326" w:type="dxa"/>
        <w:tblCellMar>
          <w:left w:w="0" w:type="dxa"/>
          <w:right w:w="0" w:type="dxa"/>
        </w:tblCellMar>
        <w:tblLook w:val="04A0" w:firstRow="1" w:lastRow="0" w:firstColumn="1" w:lastColumn="0" w:noHBand="0" w:noVBand="1"/>
      </w:tblPr>
      <w:tblGrid>
        <w:gridCol w:w="7954"/>
        <w:gridCol w:w="1150"/>
        <w:gridCol w:w="1270"/>
      </w:tblGrid>
      <w:tr w:rsidR="00BD77D8" w:rsidRPr="00BD77D8" w14:paraId="67D20D3A" w14:textId="77777777" w:rsidTr="003057FB">
        <w:trPr>
          <w:trHeight w:val="266"/>
        </w:trPr>
        <w:tc>
          <w:tcPr>
            <w:tcW w:w="7938" w:type="dxa"/>
            <w:tcBorders>
              <w:top w:val="nil"/>
              <w:left w:val="nil"/>
              <w:bottom w:val="nil"/>
              <w:right w:val="nil"/>
            </w:tcBorders>
            <w:shd w:val="clear" w:color="auto" w:fill="auto"/>
            <w:vAlign w:val="center"/>
            <w:hideMark/>
          </w:tcPr>
          <w:p w14:paraId="5C06AAD7" w14:textId="77777777" w:rsidR="00B9311E" w:rsidRPr="00BD77D8" w:rsidRDefault="00B9311E" w:rsidP="00B9311E">
            <w:pPr>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14:paraId="06D4DDFD"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254" w:type="dxa"/>
            <w:tcBorders>
              <w:top w:val="nil"/>
              <w:left w:val="nil"/>
              <w:bottom w:val="nil"/>
              <w:right w:val="nil"/>
            </w:tcBorders>
            <w:shd w:val="clear" w:color="auto" w:fill="auto"/>
            <w:noWrap/>
            <w:vAlign w:val="bottom"/>
            <w:hideMark/>
          </w:tcPr>
          <w:p w14:paraId="2F54EB42"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2466FDF7" w14:textId="77777777" w:rsidTr="003057FB">
        <w:trPr>
          <w:trHeight w:val="266"/>
        </w:trPr>
        <w:tc>
          <w:tcPr>
            <w:tcW w:w="7938" w:type="dxa"/>
            <w:tcBorders>
              <w:top w:val="nil"/>
              <w:left w:val="nil"/>
              <w:bottom w:val="nil"/>
              <w:right w:val="nil"/>
            </w:tcBorders>
            <w:shd w:val="clear" w:color="auto" w:fill="auto"/>
            <w:vAlign w:val="center"/>
            <w:hideMark/>
          </w:tcPr>
          <w:p w14:paraId="00526A80" w14:textId="77777777" w:rsidR="00B9311E" w:rsidRPr="00BD77D8" w:rsidRDefault="00B9311E" w:rsidP="00B9311E">
            <w:pPr>
              <w:spacing w:after="0" w:line="240" w:lineRule="auto"/>
              <w:jc w:val="right"/>
              <w:rPr>
                <w:sz w:val="18"/>
                <w:szCs w:val="18"/>
              </w:rPr>
            </w:pPr>
          </w:p>
        </w:tc>
        <w:tc>
          <w:tcPr>
            <w:tcW w:w="1134" w:type="dxa"/>
            <w:tcBorders>
              <w:top w:val="nil"/>
              <w:left w:val="nil"/>
              <w:bottom w:val="single" w:sz="4" w:space="0" w:color="auto"/>
              <w:right w:val="nil"/>
            </w:tcBorders>
            <w:shd w:val="clear" w:color="auto" w:fill="auto"/>
            <w:noWrap/>
            <w:vAlign w:val="bottom"/>
            <w:hideMark/>
          </w:tcPr>
          <w:p w14:paraId="74CC70B6" w14:textId="77777777" w:rsidR="00B9311E" w:rsidRPr="00BD77D8" w:rsidRDefault="00B9311E" w:rsidP="00B9311E">
            <w:pPr>
              <w:spacing w:after="0" w:line="240" w:lineRule="auto"/>
              <w:jc w:val="right"/>
              <w:rPr>
                <w:b/>
                <w:bCs/>
                <w:sz w:val="18"/>
                <w:szCs w:val="18"/>
              </w:rPr>
            </w:pPr>
            <w:r w:rsidRPr="00BD77D8">
              <w:rPr>
                <w:b/>
                <w:bCs/>
                <w:sz w:val="18"/>
                <w:szCs w:val="18"/>
              </w:rPr>
              <w:t>$'000</w:t>
            </w:r>
          </w:p>
        </w:tc>
        <w:tc>
          <w:tcPr>
            <w:tcW w:w="1254" w:type="dxa"/>
            <w:tcBorders>
              <w:top w:val="nil"/>
              <w:left w:val="nil"/>
              <w:bottom w:val="single" w:sz="4" w:space="0" w:color="auto"/>
              <w:right w:val="nil"/>
            </w:tcBorders>
            <w:shd w:val="clear" w:color="auto" w:fill="auto"/>
            <w:noWrap/>
            <w:vAlign w:val="bottom"/>
            <w:hideMark/>
          </w:tcPr>
          <w:p w14:paraId="620CE982" w14:textId="77777777" w:rsidR="00B9311E" w:rsidRPr="00BD77D8" w:rsidRDefault="00B9311E" w:rsidP="00B9311E">
            <w:pPr>
              <w:spacing w:after="0" w:line="240" w:lineRule="auto"/>
              <w:jc w:val="right"/>
              <w:rPr>
                <w:b/>
                <w:bCs/>
                <w:sz w:val="18"/>
                <w:szCs w:val="18"/>
              </w:rPr>
            </w:pPr>
            <w:r w:rsidRPr="00BD77D8">
              <w:rPr>
                <w:b/>
                <w:bCs/>
                <w:sz w:val="18"/>
                <w:szCs w:val="18"/>
              </w:rPr>
              <w:t>$'000</w:t>
            </w:r>
          </w:p>
        </w:tc>
      </w:tr>
      <w:tr w:rsidR="00BD77D8" w:rsidRPr="00BD77D8" w14:paraId="024F0CC5" w14:textId="77777777" w:rsidTr="003057FB">
        <w:trPr>
          <w:trHeight w:val="266"/>
        </w:trPr>
        <w:tc>
          <w:tcPr>
            <w:tcW w:w="7938" w:type="dxa"/>
            <w:tcBorders>
              <w:top w:val="nil"/>
              <w:left w:val="nil"/>
              <w:bottom w:val="nil"/>
              <w:right w:val="nil"/>
            </w:tcBorders>
            <w:shd w:val="clear" w:color="auto" w:fill="auto"/>
            <w:vAlign w:val="center"/>
            <w:hideMark/>
          </w:tcPr>
          <w:p w14:paraId="1E29A920" w14:textId="77777777" w:rsidR="00B9311E" w:rsidRPr="00BD77D8" w:rsidRDefault="00B9311E" w:rsidP="00B9311E">
            <w:pPr>
              <w:spacing w:after="0" w:line="240" w:lineRule="auto"/>
              <w:rPr>
                <w:b/>
                <w:bCs/>
                <w:sz w:val="18"/>
                <w:szCs w:val="18"/>
              </w:rPr>
            </w:pPr>
            <w:r w:rsidRPr="00BD77D8">
              <w:rPr>
                <w:b/>
                <w:bCs/>
                <w:sz w:val="18"/>
                <w:szCs w:val="18"/>
              </w:rPr>
              <w:t xml:space="preserve"> Employee Benefits </w:t>
            </w:r>
          </w:p>
        </w:tc>
        <w:tc>
          <w:tcPr>
            <w:tcW w:w="1134" w:type="dxa"/>
            <w:tcBorders>
              <w:top w:val="nil"/>
              <w:left w:val="nil"/>
              <w:bottom w:val="nil"/>
              <w:right w:val="nil"/>
            </w:tcBorders>
            <w:shd w:val="clear" w:color="auto" w:fill="auto"/>
            <w:noWrap/>
            <w:vAlign w:val="bottom"/>
            <w:hideMark/>
          </w:tcPr>
          <w:p w14:paraId="3F49F389" w14:textId="77777777" w:rsidR="00B9311E" w:rsidRPr="00BD77D8" w:rsidRDefault="00B9311E" w:rsidP="00B9311E">
            <w:pPr>
              <w:spacing w:after="0" w:line="240" w:lineRule="auto"/>
              <w:rPr>
                <w:b/>
                <w:bCs/>
                <w:sz w:val="18"/>
                <w:szCs w:val="18"/>
              </w:rPr>
            </w:pPr>
          </w:p>
        </w:tc>
        <w:tc>
          <w:tcPr>
            <w:tcW w:w="1254" w:type="dxa"/>
            <w:tcBorders>
              <w:top w:val="nil"/>
              <w:left w:val="nil"/>
              <w:bottom w:val="nil"/>
              <w:right w:val="nil"/>
            </w:tcBorders>
            <w:shd w:val="clear" w:color="auto" w:fill="auto"/>
            <w:noWrap/>
            <w:vAlign w:val="bottom"/>
            <w:hideMark/>
          </w:tcPr>
          <w:p w14:paraId="1310B07B"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2B0686E7" w14:textId="77777777" w:rsidTr="003057FB">
        <w:trPr>
          <w:trHeight w:val="266"/>
        </w:trPr>
        <w:tc>
          <w:tcPr>
            <w:tcW w:w="7938" w:type="dxa"/>
            <w:tcBorders>
              <w:top w:val="nil"/>
              <w:left w:val="nil"/>
              <w:bottom w:val="nil"/>
              <w:right w:val="nil"/>
            </w:tcBorders>
            <w:shd w:val="clear" w:color="auto" w:fill="auto"/>
            <w:vAlign w:val="center"/>
            <w:hideMark/>
          </w:tcPr>
          <w:p w14:paraId="2DA989E1" w14:textId="77777777" w:rsidR="00B9311E" w:rsidRPr="00BD77D8" w:rsidRDefault="00B9311E" w:rsidP="00B9311E">
            <w:pPr>
              <w:spacing w:after="0" w:line="240" w:lineRule="auto"/>
              <w:rPr>
                <w:sz w:val="18"/>
                <w:szCs w:val="18"/>
              </w:rPr>
            </w:pPr>
            <w:r w:rsidRPr="00BD77D8">
              <w:rPr>
                <w:sz w:val="18"/>
                <w:szCs w:val="18"/>
              </w:rPr>
              <w:t xml:space="preserve"> Wages and salaries </w:t>
            </w:r>
          </w:p>
        </w:tc>
        <w:tc>
          <w:tcPr>
            <w:tcW w:w="1134" w:type="dxa"/>
            <w:tcBorders>
              <w:top w:val="nil"/>
              <w:left w:val="nil"/>
              <w:bottom w:val="nil"/>
              <w:right w:val="nil"/>
            </w:tcBorders>
            <w:shd w:val="clear" w:color="auto" w:fill="auto"/>
            <w:vAlign w:val="center"/>
            <w:hideMark/>
          </w:tcPr>
          <w:p w14:paraId="5C1B4BF0" w14:textId="77777777" w:rsidR="00B9311E" w:rsidRPr="00BD77D8" w:rsidRDefault="00B9311E" w:rsidP="00B9311E">
            <w:pPr>
              <w:spacing w:after="0" w:line="240" w:lineRule="auto"/>
              <w:jc w:val="right"/>
              <w:rPr>
                <w:sz w:val="18"/>
                <w:szCs w:val="18"/>
              </w:rPr>
            </w:pPr>
            <w:r w:rsidRPr="00BD77D8">
              <w:rPr>
                <w:sz w:val="18"/>
                <w:szCs w:val="18"/>
              </w:rPr>
              <w:t xml:space="preserve"> 167,242 </w:t>
            </w:r>
          </w:p>
        </w:tc>
        <w:tc>
          <w:tcPr>
            <w:tcW w:w="1254" w:type="dxa"/>
            <w:tcBorders>
              <w:top w:val="nil"/>
              <w:left w:val="nil"/>
              <w:bottom w:val="nil"/>
              <w:right w:val="nil"/>
            </w:tcBorders>
            <w:shd w:val="clear" w:color="auto" w:fill="auto"/>
            <w:vAlign w:val="center"/>
            <w:hideMark/>
          </w:tcPr>
          <w:p w14:paraId="1E3D26CF" w14:textId="77777777" w:rsidR="00B9311E" w:rsidRPr="00BD77D8" w:rsidRDefault="00B9311E" w:rsidP="00B9311E">
            <w:pPr>
              <w:spacing w:after="0" w:line="240" w:lineRule="auto"/>
              <w:jc w:val="right"/>
              <w:rPr>
                <w:sz w:val="18"/>
                <w:szCs w:val="18"/>
              </w:rPr>
            </w:pPr>
            <w:r w:rsidRPr="00BD77D8">
              <w:rPr>
                <w:sz w:val="18"/>
                <w:szCs w:val="18"/>
              </w:rPr>
              <w:t xml:space="preserve"> 162,067 </w:t>
            </w:r>
          </w:p>
        </w:tc>
      </w:tr>
      <w:tr w:rsidR="00BD77D8" w:rsidRPr="00BD77D8" w14:paraId="58DA630B" w14:textId="77777777" w:rsidTr="003057FB">
        <w:trPr>
          <w:trHeight w:val="266"/>
        </w:trPr>
        <w:tc>
          <w:tcPr>
            <w:tcW w:w="7938" w:type="dxa"/>
            <w:tcBorders>
              <w:top w:val="nil"/>
              <w:left w:val="nil"/>
              <w:bottom w:val="nil"/>
              <w:right w:val="nil"/>
            </w:tcBorders>
            <w:shd w:val="clear" w:color="auto" w:fill="auto"/>
            <w:noWrap/>
            <w:vAlign w:val="center"/>
            <w:hideMark/>
          </w:tcPr>
          <w:p w14:paraId="34720C22" w14:textId="77777777" w:rsidR="00B9311E" w:rsidRPr="00BD77D8" w:rsidRDefault="00B9311E" w:rsidP="00B9311E">
            <w:pPr>
              <w:spacing w:after="0" w:line="240" w:lineRule="auto"/>
              <w:rPr>
                <w:sz w:val="18"/>
                <w:szCs w:val="18"/>
              </w:rPr>
            </w:pPr>
            <w:r w:rsidRPr="00BD77D8">
              <w:rPr>
                <w:sz w:val="18"/>
                <w:szCs w:val="18"/>
              </w:rPr>
              <w:t xml:space="preserve"> Employer superannuation contributions </w:t>
            </w:r>
          </w:p>
        </w:tc>
        <w:tc>
          <w:tcPr>
            <w:tcW w:w="1134" w:type="dxa"/>
            <w:tcBorders>
              <w:top w:val="nil"/>
              <w:left w:val="nil"/>
              <w:bottom w:val="nil"/>
              <w:right w:val="nil"/>
            </w:tcBorders>
            <w:shd w:val="clear" w:color="auto" w:fill="auto"/>
            <w:vAlign w:val="center"/>
            <w:hideMark/>
          </w:tcPr>
          <w:p w14:paraId="16484161" w14:textId="77777777" w:rsidR="00B9311E" w:rsidRPr="00BD77D8" w:rsidRDefault="00B9311E" w:rsidP="00B9311E">
            <w:pPr>
              <w:spacing w:after="0" w:line="240" w:lineRule="auto"/>
              <w:jc w:val="right"/>
              <w:rPr>
                <w:sz w:val="18"/>
                <w:szCs w:val="18"/>
              </w:rPr>
            </w:pPr>
            <w:r w:rsidRPr="00BD77D8">
              <w:rPr>
                <w:sz w:val="18"/>
                <w:szCs w:val="18"/>
              </w:rPr>
              <w:t xml:space="preserve">    20,089 </w:t>
            </w:r>
          </w:p>
        </w:tc>
        <w:tc>
          <w:tcPr>
            <w:tcW w:w="1254" w:type="dxa"/>
            <w:tcBorders>
              <w:top w:val="nil"/>
              <w:left w:val="nil"/>
              <w:bottom w:val="nil"/>
              <w:right w:val="nil"/>
            </w:tcBorders>
            <w:shd w:val="clear" w:color="auto" w:fill="auto"/>
            <w:vAlign w:val="center"/>
            <w:hideMark/>
          </w:tcPr>
          <w:p w14:paraId="6D00F596" w14:textId="77777777" w:rsidR="00B9311E" w:rsidRPr="00BD77D8" w:rsidRDefault="00B9311E" w:rsidP="00B9311E">
            <w:pPr>
              <w:spacing w:after="0" w:line="240" w:lineRule="auto"/>
              <w:jc w:val="right"/>
              <w:rPr>
                <w:sz w:val="18"/>
                <w:szCs w:val="18"/>
              </w:rPr>
            </w:pPr>
            <w:r w:rsidRPr="00BD77D8">
              <w:rPr>
                <w:sz w:val="18"/>
                <w:szCs w:val="18"/>
              </w:rPr>
              <w:t xml:space="preserve">    18,792 </w:t>
            </w:r>
          </w:p>
        </w:tc>
      </w:tr>
      <w:tr w:rsidR="00BD77D8" w:rsidRPr="00BD77D8" w14:paraId="139BC11A" w14:textId="77777777" w:rsidTr="003057FB">
        <w:trPr>
          <w:trHeight w:val="266"/>
        </w:trPr>
        <w:tc>
          <w:tcPr>
            <w:tcW w:w="7938" w:type="dxa"/>
            <w:tcBorders>
              <w:top w:val="nil"/>
              <w:left w:val="nil"/>
              <w:bottom w:val="nil"/>
              <w:right w:val="nil"/>
            </w:tcBorders>
            <w:shd w:val="clear" w:color="auto" w:fill="auto"/>
            <w:noWrap/>
            <w:vAlign w:val="center"/>
            <w:hideMark/>
          </w:tcPr>
          <w:p w14:paraId="4D167809" w14:textId="77777777" w:rsidR="00B9311E" w:rsidRPr="00BD77D8" w:rsidRDefault="00B9311E" w:rsidP="00B9311E">
            <w:pPr>
              <w:spacing w:after="0" w:line="240" w:lineRule="auto"/>
              <w:rPr>
                <w:sz w:val="18"/>
                <w:szCs w:val="18"/>
              </w:rPr>
            </w:pPr>
            <w:r w:rsidRPr="00BD77D8">
              <w:rPr>
                <w:sz w:val="18"/>
                <w:szCs w:val="18"/>
              </w:rPr>
              <w:t xml:space="preserve"> Annual leave levy </w:t>
            </w:r>
          </w:p>
        </w:tc>
        <w:tc>
          <w:tcPr>
            <w:tcW w:w="1134" w:type="dxa"/>
            <w:tcBorders>
              <w:top w:val="nil"/>
              <w:left w:val="nil"/>
              <w:bottom w:val="nil"/>
              <w:right w:val="nil"/>
            </w:tcBorders>
            <w:shd w:val="clear" w:color="auto" w:fill="auto"/>
            <w:vAlign w:val="center"/>
            <w:hideMark/>
          </w:tcPr>
          <w:p w14:paraId="7207BF58" w14:textId="77777777" w:rsidR="00B9311E" w:rsidRPr="00BD77D8" w:rsidRDefault="00B9311E" w:rsidP="00B9311E">
            <w:pPr>
              <w:spacing w:after="0" w:line="240" w:lineRule="auto"/>
              <w:jc w:val="right"/>
              <w:rPr>
                <w:sz w:val="18"/>
                <w:szCs w:val="18"/>
              </w:rPr>
            </w:pPr>
            <w:r w:rsidRPr="00BD77D8">
              <w:rPr>
                <w:sz w:val="18"/>
                <w:szCs w:val="18"/>
              </w:rPr>
              <w:t xml:space="preserve">    16,878 </w:t>
            </w:r>
          </w:p>
        </w:tc>
        <w:tc>
          <w:tcPr>
            <w:tcW w:w="1254" w:type="dxa"/>
            <w:tcBorders>
              <w:top w:val="nil"/>
              <w:left w:val="nil"/>
              <w:bottom w:val="nil"/>
              <w:right w:val="nil"/>
            </w:tcBorders>
            <w:shd w:val="clear" w:color="auto" w:fill="auto"/>
            <w:vAlign w:val="center"/>
            <w:hideMark/>
          </w:tcPr>
          <w:p w14:paraId="2E447726" w14:textId="77777777" w:rsidR="00B9311E" w:rsidRPr="00BD77D8" w:rsidRDefault="00B9311E" w:rsidP="00B9311E">
            <w:pPr>
              <w:spacing w:after="0" w:line="240" w:lineRule="auto"/>
              <w:jc w:val="right"/>
              <w:rPr>
                <w:sz w:val="18"/>
                <w:szCs w:val="18"/>
              </w:rPr>
            </w:pPr>
            <w:r w:rsidRPr="00BD77D8">
              <w:rPr>
                <w:sz w:val="18"/>
                <w:szCs w:val="18"/>
              </w:rPr>
              <w:t xml:space="preserve">    15,303 </w:t>
            </w:r>
          </w:p>
        </w:tc>
      </w:tr>
      <w:tr w:rsidR="00BD77D8" w:rsidRPr="00BD77D8" w14:paraId="040F9D1A" w14:textId="77777777" w:rsidTr="003057FB">
        <w:trPr>
          <w:trHeight w:val="266"/>
        </w:trPr>
        <w:tc>
          <w:tcPr>
            <w:tcW w:w="7938" w:type="dxa"/>
            <w:tcBorders>
              <w:top w:val="nil"/>
              <w:left w:val="nil"/>
              <w:bottom w:val="nil"/>
              <w:right w:val="nil"/>
            </w:tcBorders>
            <w:shd w:val="clear" w:color="auto" w:fill="auto"/>
            <w:noWrap/>
            <w:vAlign w:val="center"/>
            <w:hideMark/>
          </w:tcPr>
          <w:p w14:paraId="594BC32F" w14:textId="77777777" w:rsidR="00B9311E" w:rsidRPr="00BD77D8" w:rsidRDefault="00B9311E" w:rsidP="00B9311E">
            <w:pPr>
              <w:spacing w:after="0" w:line="240" w:lineRule="auto"/>
              <w:rPr>
                <w:sz w:val="18"/>
                <w:szCs w:val="18"/>
              </w:rPr>
            </w:pPr>
            <w:r w:rsidRPr="00BD77D8">
              <w:rPr>
                <w:sz w:val="18"/>
                <w:szCs w:val="18"/>
              </w:rPr>
              <w:t xml:space="preserve"> Long service leave levy </w:t>
            </w:r>
          </w:p>
        </w:tc>
        <w:tc>
          <w:tcPr>
            <w:tcW w:w="1134" w:type="dxa"/>
            <w:tcBorders>
              <w:top w:val="nil"/>
              <w:left w:val="nil"/>
              <w:bottom w:val="nil"/>
              <w:right w:val="nil"/>
            </w:tcBorders>
            <w:shd w:val="clear" w:color="auto" w:fill="auto"/>
            <w:vAlign w:val="center"/>
            <w:hideMark/>
          </w:tcPr>
          <w:p w14:paraId="4A8BB984" w14:textId="77777777" w:rsidR="00B9311E" w:rsidRPr="00BD77D8" w:rsidRDefault="00B9311E" w:rsidP="00B9311E">
            <w:pPr>
              <w:spacing w:after="0" w:line="240" w:lineRule="auto"/>
              <w:jc w:val="right"/>
              <w:rPr>
                <w:sz w:val="18"/>
                <w:szCs w:val="18"/>
              </w:rPr>
            </w:pPr>
            <w:r w:rsidRPr="00BD77D8">
              <w:rPr>
                <w:sz w:val="18"/>
                <w:szCs w:val="18"/>
              </w:rPr>
              <w:t xml:space="preserve">      4,182 </w:t>
            </w:r>
          </w:p>
        </w:tc>
        <w:tc>
          <w:tcPr>
            <w:tcW w:w="1254" w:type="dxa"/>
            <w:tcBorders>
              <w:top w:val="nil"/>
              <w:left w:val="nil"/>
              <w:bottom w:val="nil"/>
              <w:right w:val="nil"/>
            </w:tcBorders>
            <w:shd w:val="clear" w:color="auto" w:fill="auto"/>
            <w:vAlign w:val="center"/>
            <w:hideMark/>
          </w:tcPr>
          <w:p w14:paraId="6D58D5D1" w14:textId="77777777" w:rsidR="00B9311E" w:rsidRPr="00BD77D8" w:rsidRDefault="00B9311E" w:rsidP="00B9311E">
            <w:pPr>
              <w:spacing w:after="0" w:line="240" w:lineRule="auto"/>
              <w:jc w:val="right"/>
              <w:rPr>
                <w:sz w:val="18"/>
                <w:szCs w:val="18"/>
              </w:rPr>
            </w:pPr>
            <w:r w:rsidRPr="00BD77D8">
              <w:rPr>
                <w:sz w:val="18"/>
                <w:szCs w:val="18"/>
              </w:rPr>
              <w:t xml:space="preserve">      3,826 </w:t>
            </w:r>
          </w:p>
        </w:tc>
      </w:tr>
      <w:tr w:rsidR="00BD77D8" w:rsidRPr="00BD77D8" w14:paraId="356CCD5C" w14:textId="77777777" w:rsidTr="003057FB">
        <w:trPr>
          <w:trHeight w:val="266"/>
        </w:trPr>
        <w:tc>
          <w:tcPr>
            <w:tcW w:w="7938" w:type="dxa"/>
            <w:tcBorders>
              <w:top w:val="nil"/>
              <w:left w:val="nil"/>
              <w:bottom w:val="nil"/>
              <w:right w:val="nil"/>
            </w:tcBorders>
            <w:shd w:val="clear" w:color="auto" w:fill="auto"/>
            <w:noWrap/>
            <w:vAlign w:val="center"/>
            <w:hideMark/>
          </w:tcPr>
          <w:p w14:paraId="660AB0C1" w14:textId="77777777" w:rsidR="00B9311E" w:rsidRPr="00BD77D8" w:rsidRDefault="00B9311E" w:rsidP="00B9311E">
            <w:pPr>
              <w:spacing w:after="0" w:line="240" w:lineRule="auto"/>
              <w:rPr>
                <w:sz w:val="18"/>
                <w:szCs w:val="18"/>
              </w:rPr>
            </w:pPr>
            <w:r w:rsidRPr="00BD77D8">
              <w:rPr>
                <w:sz w:val="18"/>
                <w:szCs w:val="18"/>
              </w:rPr>
              <w:t xml:space="preserve"> Other employee benefits </w:t>
            </w:r>
          </w:p>
        </w:tc>
        <w:tc>
          <w:tcPr>
            <w:tcW w:w="1134" w:type="dxa"/>
            <w:tcBorders>
              <w:top w:val="nil"/>
              <w:left w:val="nil"/>
              <w:bottom w:val="nil"/>
              <w:right w:val="nil"/>
            </w:tcBorders>
            <w:shd w:val="clear" w:color="auto" w:fill="auto"/>
            <w:vAlign w:val="center"/>
            <w:hideMark/>
          </w:tcPr>
          <w:p w14:paraId="432BD2CD" w14:textId="77777777" w:rsidR="00B9311E" w:rsidRPr="00BD77D8" w:rsidRDefault="00B9311E" w:rsidP="00B9311E">
            <w:pPr>
              <w:spacing w:after="0" w:line="240" w:lineRule="auto"/>
              <w:jc w:val="right"/>
              <w:rPr>
                <w:sz w:val="18"/>
                <w:szCs w:val="18"/>
              </w:rPr>
            </w:pPr>
            <w:r w:rsidRPr="00BD77D8">
              <w:rPr>
                <w:sz w:val="18"/>
                <w:szCs w:val="18"/>
              </w:rPr>
              <w:t xml:space="preserve">      1,588 </w:t>
            </w:r>
          </w:p>
        </w:tc>
        <w:tc>
          <w:tcPr>
            <w:tcW w:w="1254" w:type="dxa"/>
            <w:tcBorders>
              <w:top w:val="nil"/>
              <w:left w:val="nil"/>
              <w:bottom w:val="nil"/>
              <w:right w:val="nil"/>
            </w:tcBorders>
            <w:shd w:val="clear" w:color="auto" w:fill="auto"/>
            <w:vAlign w:val="center"/>
            <w:hideMark/>
          </w:tcPr>
          <w:p w14:paraId="0342D187" w14:textId="77777777" w:rsidR="00B9311E" w:rsidRPr="00BD77D8" w:rsidRDefault="00B9311E" w:rsidP="00B9311E">
            <w:pPr>
              <w:spacing w:after="0" w:line="240" w:lineRule="auto"/>
              <w:jc w:val="right"/>
              <w:rPr>
                <w:sz w:val="18"/>
                <w:szCs w:val="18"/>
              </w:rPr>
            </w:pPr>
            <w:r w:rsidRPr="00BD77D8">
              <w:rPr>
                <w:sz w:val="18"/>
                <w:szCs w:val="18"/>
              </w:rPr>
              <w:t xml:space="preserve">      1,345 </w:t>
            </w:r>
          </w:p>
        </w:tc>
      </w:tr>
      <w:tr w:rsidR="00BD77D8" w:rsidRPr="00BD77D8" w14:paraId="0F5804FA" w14:textId="77777777" w:rsidTr="003057FB">
        <w:trPr>
          <w:trHeight w:val="266"/>
        </w:trPr>
        <w:tc>
          <w:tcPr>
            <w:tcW w:w="7938" w:type="dxa"/>
            <w:tcBorders>
              <w:top w:val="nil"/>
              <w:left w:val="nil"/>
              <w:bottom w:val="nil"/>
              <w:right w:val="nil"/>
            </w:tcBorders>
            <w:shd w:val="clear" w:color="auto" w:fill="auto"/>
            <w:noWrap/>
            <w:vAlign w:val="center"/>
            <w:hideMark/>
          </w:tcPr>
          <w:p w14:paraId="2A0F076F" w14:textId="77777777" w:rsidR="00B9311E" w:rsidRPr="00BD77D8" w:rsidRDefault="00B9311E" w:rsidP="00B9311E">
            <w:pPr>
              <w:spacing w:after="0" w:line="240" w:lineRule="auto"/>
              <w:jc w:val="right"/>
              <w:rPr>
                <w:sz w:val="18"/>
                <w:szCs w:val="18"/>
              </w:rPr>
            </w:pPr>
          </w:p>
        </w:tc>
        <w:tc>
          <w:tcPr>
            <w:tcW w:w="1134" w:type="dxa"/>
            <w:tcBorders>
              <w:top w:val="single" w:sz="4" w:space="0" w:color="auto"/>
              <w:left w:val="nil"/>
              <w:bottom w:val="single" w:sz="4" w:space="0" w:color="auto"/>
              <w:right w:val="nil"/>
            </w:tcBorders>
            <w:shd w:val="clear" w:color="auto" w:fill="auto"/>
            <w:vAlign w:val="center"/>
            <w:hideMark/>
          </w:tcPr>
          <w:p w14:paraId="1D9D02F8" w14:textId="77777777" w:rsidR="00B9311E" w:rsidRPr="00BD77D8" w:rsidRDefault="00B9311E" w:rsidP="00B9311E">
            <w:pPr>
              <w:spacing w:after="0" w:line="240" w:lineRule="auto"/>
              <w:jc w:val="right"/>
              <w:rPr>
                <w:b/>
                <w:bCs/>
                <w:sz w:val="18"/>
                <w:szCs w:val="18"/>
              </w:rPr>
            </w:pPr>
            <w:r w:rsidRPr="00BD77D8">
              <w:rPr>
                <w:b/>
                <w:bCs/>
                <w:sz w:val="18"/>
                <w:szCs w:val="18"/>
              </w:rPr>
              <w:t xml:space="preserve"> 209,979 </w:t>
            </w:r>
          </w:p>
        </w:tc>
        <w:tc>
          <w:tcPr>
            <w:tcW w:w="1254" w:type="dxa"/>
            <w:tcBorders>
              <w:top w:val="single" w:sz="4" w:space="0" w:color="auto"/>
              <w:left w:val="nil"/>
              <w:bottom w:val="single" w:sz="4" w:space="0" w:color="auto"/>
              <w:right w:val="nil"/>
            </w:tcBorders>
            <w:shd w:val="clear" w:color="auto" w:fill="auto"/>
            <w:vAlign w:val="center"/>
            <w:hideMark/>
          </w:tcPr>
          <w:p w14:paraId="2B87AF2C" w14:textId="77777777" w:rsidR="00B9311E" w:rsidRPr="00BD77D8" w:rsidRDefault="00B9311E" w:rsidP="00B9311E">
            <w:pPr>
              <w:spacing w:after="0" w:line="240" w:lineRule="auto"/>
              <w:jc w:val="right"/>
              <w:rPr>
                <w:b/>
                <w:bCs/>
                <w:sz w:val="18"/>
                <w:szCs w:val="18"/>
              </w:rPr>
            </w:pPr>
            <w:r w:rsidRPr="00BD77D8">
              <w:rPr>
                <w:b/>
                <w:bCs/>
                <w:sz w:val="18"/>
                <w:szCs w:val="18"/>
              </w:rPr>
              <w:t xml:space="preserve"> 201,333 </w:t>
            </w:r>
          </w:p>
        </w:tc>
      </w:tr>
      <w:tr w:rsidR="00BD77D8" w:rsidRPr="00BD77D8" w14:paraId="6A42D2D8" w14:textId="77777777" w:rsidTr="003057FB">
        <w:trPr>
          <w:trHeight w:val="266"/>
        </w:trPr>
        <w:tc>
          <w:tcPr>
            <w:tcW w:w="7938" w:type="dxa"/>
            <w:tcBorders>
              <w:top w:val="nil"/>
              <w:left w:val="nil"/>
              <w:bottom w:val="nil"/>
              <w:right w:val="nil"/>
            </w:tcBorders>
            <w:shd w:val="clear" w:color="auto" w:fill="auto"/>
            <w:vAlign w:val="center"/>
            <w:hideMark/>
          </w:tcPr>
          <w:p w14:paraId="3EC3A411" w14:textId="77777777" w:rsidR="00B9311E" w:rsidRPr="00BD77D8" w:rsidRDefault="00B9311E" w:rsidP="00B9311E">
            <w:pPr>
              <w:spacing w:after="0" w:line="240" w:lineRule="auto"/>
              <w:rPr>
                <w:b/>
                <w:bCs/>
                <w:sz w:val="18"/>
                <w:szCs w:val="18"/>
              </w:rPr>
            </w:pPr>
            <w:r w:rsidRPr="00BD77D8">
              <w:rPr>
                <w:b/>
                <w:bCs/>
                <w:sz w:val="18"/>
                <w:szCs w:val="18"/>
              </w:rPr>
              <w:t xml:space="preserve"> Employee Related Expenses </w:t>
            </w:r>
          </w:p>
        </w:tc>
        <w:tc>
          <w:tcPr>
            <w:tcW w:w="1134" w:type="dxa"/>
            <w:tcBorders>
              <w:top w:val="nil"/>
              <w:left w:val="nil"/>
              <w:bottom w:val="nil"/>
              <w:right w:val="nil"/>
            </w:tcBorders>
            <w:shd w:val="clear" w:color="auto" w:fill="auto"/>
            <w:vAlign w:val="center"/>
            <w:hideMark/>
          </w:tcPr>
          <w:p w14:paraId="7279F152" w14:textId="77777777" w:rsidR="00B9311E" w:rsidRPr="00BD77D8" w:rsidRDefault="00B9311E" w:rsidP="00B9311E">
            <w:pPr>
              <w:spacing w:after="0" w:line="240" w:lineRule="auto"/>
              <w:rPr>
                <w:b/>
                <w:bCs/>
                <w:sz w:val="18"/>
                <w:szCs w:val="18"/>
              </w:rPr>
            </w:pPr>
          </w:p>
        </w:tc>
        <w:tc>
          <w:tcPr>
            <w:tcW w:w="1254" w:type="dxa"/>
            <w:tcBorders>
              <w:top w:val="nil"/>
              <w:left w:val="nil"/>
              <w:bottom w:val="nil"/>
              <w:right w:val="nil"/>
            </w:tcBorders>
            <w:shd w:val="clear" w:color="auto" w:fill="auto"/>
            <w:vAlign w:val="center"/>
            <w:hideMark/>
          </w:tcPr>
          <w:p w14:paraId="4B2BCC20"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50CE4F75" w14:textId="77777777" w:rsidTr="003057FB">
        <w:trPr>
          <w:trHeight w:val="266"/>
        </w:trPr>
        <w:tc>
          <w:tcPr>
            <w:tcW w:w="7938" w:type="dxa"/>
            <w:tcBorders>
              <w:top w:val="nil"/>
              <w:left w:val="nil"/>
              <w:bottom w:val="nil"/>
              <w:right w:val="nil"/>
            </w:tcBorders>
            <w:shd w:val="clear" w:color="auto" w:fill="auto"/>
            <w:vAlign w:val="center"/>
            <w:hideMark/>
          </w:tcPr>
          <w:p w14:paraId="209FA5E7" w14:textId="77777777" w:rsidR="00B9311E" w:rsidRPr="00BD77D8" w:rsidRDefault="00B9311E" w:rsidP="00B9311E">
            <w:pPr>
              <w:spacing w:after="0" w:line="240" w:lineRule="auto"/>
              <w:rPr>
                <w:sz w:val="18"/>
                <w:szCs w:val="18"/>
              </w:rPr>
            </w:pPr>
            <w:r w:rsidRPr="00BD77D8">
              <w:rPr>
                <w:sz w:val="18"/>
                <w:szCs w:val="18"/>
              </w:rPr>
              <w:t xml:space="preserve"> Workers' compensation premium </w:t>
            </w:r>
          </w:p>
        </w:tc>
        <w:tc>
          <w:tcPr>
            <w:tcW w:w="1134" w:type="dxa"/>
            <w:tcBorders>
              <w:top w:val="nil"/>
              <w:left w:val="nil"/>
              <w:bottom w:val="nil"/>
              <w:right w:val="nil"/>
            </w:tcBorders>
            <w:shd w:val="clear" w:color="auto" w:fill="auto"/>
            <w:vAlign w:val="center"/>
            <w:hideMark/>
          </w:tcPr>
          <w:p w14:paraId="27AC44F1" w14:textId="77777777" w:rsidR="00B9311E" w:rsidRPr="00BD77D8" w:rsidRDefault="00B9311E" w:rsidP="00B9311E">
            <w:pPr>
              <w:spacing w:after="0" w:line="240" w:lineRule="auto"/>
              <w:jc w:val="right"/>
              <w:rPr>
                <w:sz w:val="18"/>
                <w:szCs w:val="18"/>
              </w:rPr>
            </w:pPr>
            <w:r w:rsidRPr="00BD77D8">
              <w:rPr>
                <w:sz w:val="18"/>
                <w:szCs w:val="18"/>
              </w:rPr>
              <w:t xml:space="preserve">      3,718 </w:t>
            </w:r>
          </w:p>
        </w:tc>
        <w:tc>
          <w:tcPr>
            <w:tcW w:w="1254" w:type="dxa"/>
            <w:tcBorders>
              <w:top w:val="nil"/>
              <w:left w:val="nil"/>
              <w:bottom w:val="nil"/>
              <w:right w:val="nil"/>
            </w:tcBorders>
            <w:shd w:val="clear" w:color="auto" w:fill="auto"/>
            <w:vAlign w:val="center"/>
            <w:hideMark/>
          </w:tcPr>
          <w:p w14:paraId="16DDA9F8" w14:textId="77777777" w:rsidR="00B9311E" w:rsidRPr="00BD77D8" w:rsidRDefault="00B9311E" w:rsidP="00B9311E">
            <w:pPr>
              <w:spacing w:after="0" w:line="240" w:lineRule="auto"/>
              <w:jc w:val="right"/>
              <w:rPr>
                <w:sz w:val="18"/>
                <w:szCs w:val="18"/>
              </w:rPr>
            </w:pPr>
            <w:r w:rsidRPr="00BD77D8">
              <w:rPr>
                <w:sz w:val="18"/>
                <w:szCs w:val="18"/>
              </w:rPr>
              <w:t xml:space="preserve">      2,941 </w:t>
            </w:r>
          </w:p>
        </w:tc>
      </w:tr>
      <w:tr w:rsidR="00BD77D8" w:rsidRPr="00BD77D8" w14:paraId="54D2195C" w14:textId="77777777" w:rsidTr="003057FB">
        <w:trPr>
          <w:trHeight w:val="266"/>
        </w:trPr>
        <w:tc>
          <w:tcPr>
            <w:tcW w:w="7938" w:type="dxa"/>
            <w:tcBorders>
              <w:top w:val="nil"/>
              <w:left w:val="nil"/>
              <w:bottom w:val="nil"/>
              <w:right w:val="nil"/>
            </w:tcBorders>
            <w:shd w:val="clear" w:color="auto" w:fill="auto"/>
            <w:vAlign w:val="center"/>
            <w:hideMark/>
          </w:tcPr>
          <w:p w14:paraId="15CB1678" w14:textId="77777777" w:rsidR="00B9311E" w:rsidRPr="00BD77D8" w:rsidRDefault="00B9311E" w:rsidP="00B9311E">
            <w:pPr>
              <w:spacing w:after="0" w:line="240" w:lineRule="auto"/>
              <w:rPr>
                <w:sz w:val="18"/>
                <w:szCs w:val="18"/>
              </w:rPr>
            </w:pPr>
            <w:r w:rsidRPr="00BD77D8">
              <w:rPr>
                <w:sz w:val="18"/>
                <w:szCs w:val="18"/>
              </w:rPr>
              <w:t xml:space="preserve"> Other employee related expenses </w:t>
            </w:r>
          </w:p>
        </w:tc>
        <w:tc>
          <w:tcPr>
            <w:tcW w:w="1134" w:type="dxa"/>
            <w:tcBorders>
              <w:top w:val="nil"/>
              <w:left w:val="nil"/>
              <w:bottom w:val="nil"/>
              <w:right w:val="nil"/>
            </w:tcBorders>
            <w:shd w:val="clear" w:color="auto" w:fill="auto"/>
            <w:vAlign w:val="center"/>
            <w:hideMark/>
          </w:tcPr>
          <w:p w14:paraId="2B29C0B4" w14:textId="77777777" w:rsidR="00B9311E" w:rsidRPr="00BD77D8" w:rsidRDefault="00B9311E" w:rsidP="00B9311E">
            <w:pPr>
              <w:spacing w:after="0" w:line="240" w:lineRule="auto"/>
              <w:jc w:val="right"/>
              <w:rPr>
                <w:sz w:val="18"/>
                <w:szCs w:val="18"/>
              </w:rPr>
            </w:pPr>
            <w:r w:rsidRPr="00BD77D8">
              <w:rPr>
                <w:sz w:val="18"/>
                <w:szCs w:val="18"/>
              </w:rPr>
              <w:t xml:space="preserve">      1,211 </w:t>
            </w:r>
          </w:p>
        </w:tc>
        <w:tc>
          <w:tcPr>
            <w:tcW w:w="1254" w:type="dxa"/>
            <w:tcBorders>
              <w:top w:val="nil"/>
              <w:left w:val="nil"/>
              <w:bottom w:val="nil"/>
              <w:right w:val="nil"/>
            </w:tcBorders>
            <w:shd w:val="clear" w:color="auto" w:fill="auto"/>
            <w:vAlign w:val="center"/>
            <w:hideMark/>
          </w:tcPr>
          <w:p w14:paraId="7BD27B53" w14:textId="77777777" w:rsidR="00B9311E" w:rsidRPr="00BD77D8" w:rsidRDefault="00B9311E" w:rsidP="00B9311E">
            <w:pPr>
              <w:spacing w:after="0" w:line="240" w:lineRule="auto"/>
              <w:jc w:val="right"/>
              <w:rPr>
                <w:sz w:val="18"/>
                <w:szCs w:val="18"/>
              </w:rPr>
            </w:pPr>
            <w:r w:rsidRPr="00BD77D8">
              <w:rPr>
                <w:sz w:val="18"/>
                <w:szCs w:val="18"/>
              </w:rPr>
              <w:t xml:space="preserve">      1,414 </w:t>
            </w:r>
          </w:p>
        </w:tc>
      </w:tr>
      <w:tr w:rsidR="00BD77D8" w:rsidRPr="00BD77D8" w14:paraId="7C6687AC" w14:textId="77777777" w:rsidTr="003057FB">
        <w:trPr>
          <w:trHeight w:val="266"/>
        </w:trPr>
        <w:tc>
          <w:tcPr>
            <w:tcW w:w="7938" w:type="dxa"/>
            <w:tcBorders>
              <w:top w:val="nil"/>
              <w:left w:val="nil"/>
              <w:bottom w:val="nil"/>
              <w:right w:val="nil"/>
            </w:tcBorders>
            <w:shd w:val="clear" w:color="auto" w:fill="auto"/>
            <w:vAlign w:val="center"/>
            <w:hideMark/>
          </w:tcPr>
          <w:p w14:paraId="1B23C227" w14:textId="77777777" w:rsidR="00B9311E" w:rsidRPr="00BD77D8" w:rsidRDefault="00B9311E" w:rsidP="00B9311E">
            <w:pPr>
              <w:spacing w:after="0" w:line="240" w:lineRule="auto"/>
              <w:jc w:val="right"/>
              <w:rPr>
                <w:sz w:val="18"/>
                <w:szCs w:val="18"/>
              </w:rPr>
            </w:pPr>
          </w:p>
        </w:tc>
        <w:tc>
          <w:tcPr>
            <w:tcW w:w="1134" w:type="dxa"/>
            <w:tcBorders>
              <w:top w:val="single" w:sz="4" w:space="0" w:color="auto"/>
              <w:left w:val="nil"/>
              <w:bottom w:val="single" w:sz="4" w:space="0" w:color="auto"/>
              <w:right w:val="nil"/>
            </w:tcBorders>
            <w:shd w:val="clear" w:color="auto" w:fill="auto"/>
            <w:vAlign w:val="center"/>
            <w:hideMark/>
          </w:tcPr>
          <w:p w14:paraId="45DC22F1" w14:textId="77777777" w:rsidR="00B9311E" w:rsidRPr="00BD77D8" w:rsidRDefault="00B9311E" w:rsidP="00B9311E">
            <w:pPr>
              <w:spacing w:after="0" w:line="240" w:lineRule="auto"/>
              <w:jc w:val="right"/>
              <w:rPr>
                <w:sz w:val="18"/>
                <w:szCs w:val="18"/>
              </w:rPr>
            </w:pPr>
            <w:r w:rsidRPr="00BD77D8">
              <w:rPr>
                <w:sz w:val="18"/>
                <w:szCs w:val="18"/>
              </w:rPr>
              <w:t xml:space="preserve">      4,929 </w:t>
            </w:r>
          </w:p>
        </w:tc>
        <w:tc>
          <w:tcPr>
            <w:tcW w:w="1254" w:type="dxa"/>
            <w:tcBorders>
              <w:top w:val="single" w:sz="4" w:space="0" w:color="auto"/>
              <w:left w:val="nil"/>
              <w:bottom w:val="single" w:sz="4" w:space="0" w:color="auto"/>
              <w:right w:val="nil"/>
            </w:tcBorders>
            <w:shd w:val="clear" w:color="auto" w:fill="auto"/>
            <w:vAlign w:val="center"/>
            <w:hideMark/>
          </w:tcPr>
          <w:p w14:paraId="29354A0C" w14:textId="77777777" w:rsidR="00B9311E" w:rsidRPr="00BD77D8" w:rsidRDefault="00B9311E" w:rsidP="00B9311E">
            <w:pPr>
              <w:spacing w:after="0" w:line="240" w:lineRule="auto"/>
              <w:jc w:val="right"/>
              <w:rPr>
                <w:sz w:val="18"/>
                <w:szCs w:val="18"/>
              </w:rPr>
            </w:pPr>
            <w:r w:rsidRPr="00BD77D8">
              <w:rPr>
                <w:sz w:val="18"/>
                <w:szCs w:val="18"/>
              </w:rPr>
              <w:t xml:space="preserve">      4,355 </w:t>
            </w:r>
          </w:p>
        </w:tc>
      </w:tr>
      <w:tr w:rsidR="00B9311E" w:rsidRPr="00BD77D8" w14:paraId="18968BA5" w14:textId="77777777" w:rsidTr="003057FB">
        <w:trPr>
          <w:trHeight w:val="266"/>
        </w:trPr>
        <w:tc>
          <w:tcPr>
            <w:tcW w:w="7938" w:type="dxa"/>
            <w:tcBorders>
              <w:top w:val="nil"/>
              <w:left w:val="nil"/>
              <w:bottom w:val="nil"/>
              <w:right w:val="nil"/>
            </w:tcBorders>
            <w:shd w:val="clear" w:color="auto" w:fill="auto"/>
            <w:vAlign w:val="center"/>
            <w:hideMark/>
          </w:tcPr>
          <w:p w14:paraId="046FBF1C"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1134" w:type="dxa"/>
            <w:tcBorders>
              <w:top w:val="nil"/>
              <w:left w:val="nil"/>
              <w:bottom w:val="single" w:sz="4" w:space="0" w:color="auto"/>
              <w:right w:val="nil"/>
            </w:tcBorders>
            <w:shd w:val="clear" w:color="auto" w:fill="auto"/>
            <w:vAlign w:val="center"/>
            <w:hideMark/>
          </w:tcPr>
          <w:p w14:paraId="4E033EC2" w14:textId="77777777" w:rsidR="00B9311E" w:rsidRPr="00BD77D8" w:rsidRDefault="00B9311E" w:rsidP="00B9311E">
            <w:pPr>
              <w:spacing w:after="0" w:line="240" w:lineRule="auto"/>
              <w:jc w:val="right"/>
              <w:rPr>
                <w:b/>
                <w:bCs/>
                <w:sz w:val="18"/>
                <w:szCs w:val="18"/>
              </w:rPr>
            </w:pPr>
            <w:r w:rsidRPr="00BD77D8">
              <w:rPr>
                <w:b/>
                <w:bCs/>
                <w:sz w:val="18"/>
                <w:szCs w:val="18"/>
              </w:rPr>
              <w:t xml:space="preserve"> 214,908 </w:t>
            </w:r>
          </w:p>
        </w:tc>
        <w:tc>
          <w:tcPr>
            <w:tcW w:w="1254" w:type="dxa"/>
            <w:tcBorders>
              <w:top w:val="nil"/>
              <w:left w:val="nil"/>
              <w:bottom w:val="single" w:sz="4" w:space="0" w:color="auto"/>
              <w:right w:val="nil"/>
            </w:tcBorders>
            <w:shd w:val="clear" w:color="auto" w:fill="auto"/>
            <w:vAlign w:val="center"/>
            <w:hideMark/>
          </w:tcPr>
          <w:p w14:paraId="6D8B6B0C" w14:textId="77777777" w:rsidR="00B9311E" w:rsidRPr="00BD77D8" w:rsidRDefault="00B9311E" w:rsidP="00B9311E">
            <w:pPr>
              <w:spacing w:after="0" w:line="240" w:lineRule="auto"/>
              <w:jc w:val="right"/>
              <w:rPr>
                <w:b/>
                <w:bCs/>
                <w:sz w:val="18"/>
                <w:szCs w:val="18"/>
              </w:rPr>
            </w:pPr>
            <w:r w:rsidRPr="00BD77D8">
              <w:rPr>
                <w:b/>
                <w:bCs/>
                <w:sz w:val="18"/>
                <w:szCs w:val="18"/>
              </w:rPr>
              <w:t xml:space="preserve"> 205,688 </w:t>
            </w:r>
          </w:p>
        </w:tc>
      </w:tr>
    </w:tbl>
    <w:p w14:paraId="6277FC26" w14:textId="77777777" w:rsidR="00B9311E" w:rsidRPr="00BD77D8" w:rsidRDefault="00B9311E" w:rsidP="00B9311E">
      <w:pPr>
        <w:spacing w:after="0" w:line="240" w:lineRule="auto"/>
        <w:rPr>
          <w:rFonts w:eastAsia="PMingLiU"/>
          <w:b/>
          <w:sz w:val="18"/>
          <w:szCs w:val="18"/>
          <w:lang w:eastAsia="en-US"/>
        </w:rPr>
      </w:pPr>
    </w:p>
    <w:p w14:paraId="30113B63" w14:textId="77777777" w:rsidR="00B9311E" w:rsidRPr="00BD77D8" w:rsidRDefault="00B9311E" w:rsidP="00B9311E">
      <w:pPr>
        <w:spacing w:after="0" w:line="208" w:lineRule="exact"/>
        <w:ind w:right="144"/>
        <w:textAlignment w:val="baseline"/>
        <w:rPr>
          <w:rFonts w:eastAsia="PMingLiU"/>
          <w:sz w:val="18"/>
          <w:szCs w:val="22"/>
          <w:lang w:val="en-US" w:eastAsia="en-US"/>
        </w:rPr>
      </w:pPr>
      <w:bookmarkStart w:id="117" w:name="_Hlk107237892"/>
    </w:p>
    <w:tbl>
      <w:tblPr>
        <w:tblW w:w="10348" w:type="dxa"/>
        <w:tblCellMar>
          <w:left w:w="0" w:type="dxa"/>
          <w:right w:w="0" w:type="dxa"/>
        </w:tblCellMar>
        <w:tblLook w:val="04A0" w:firstRow="1" w:lastRow="0" w:firstColumn="1" w:lastColumn="0" w:noHBand="0" w:noVBand="1"/>
      </w:tblPr>
      <w:tblGrid>
        <w:gridCol w:w="7986"/>
        <w:gridCol w:w="1150"/>
        <w:gridCol w:w="1260"/>
      </w:tblGrid>
      <w:tr w:rsidR="00BD77D8" w:rsidRPr="00BD77D8" w14:paraId="579D4A6A" w14:textId="77777777" w:rsidTr="003057FB">
        <w:trPr>
          <w:trHeight w:val="269"/>
        </w:trPr>
        <w:tc>
          <w:tcPr>
            <w:tcW w:w="7970" w:type="dxa"/>
            <w:tcBorders>
              <w:top w:val="nil"/>
              <w:left w:val="nil"/>
              <w:bottom w:val="nil"/>
              <w:right w:val="nil"/>
            </w:tcBorders>
            <w:shd w:val="clear" w:color="auto" w:fill="auto"/>
            <w:noWrap/>
            <w:vAlign w:val="bottom"/>
            <w:hideMark/>
          </w:tcPr>
          <w:p w14:paraId="202008ED" w14:textId="77777777" w:rsidR="00B9311E" w:rsidRPr="00BD77D8" w:rsidRDefault="00B9311E" w:rsidP="00B9311E">
            <w:pPr>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14:paraId="08033C46"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244" w:type="dxa"/>
            <w:tcBorders>
              <w:top w:val="nil"/>
              <w:left w:val="nil"/>
              <w:bottom w:val="nil"/>
              <w:right w:val="nil"/>
            </w:tcBorders>
            <w:shd w:val="clear" w:color="auto" w:fill="auto"/>
            <w:noWrap/>
            <w:vAlign w:val="bottom"/>
            <w:hideMark/>
          </w:tcPr>
          <w:p w14:paraId="7F2C0A8A"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2D3308C2" w14:textId="77777777" w:rsidTr="003057FB">
        <w:trPr>
          <w:trHeight w:val="269"/>
        </w:trPr>
        <w:tc>
          <w:tcPr>
            <w:tcW w:w="7970" w:type="dxa"/>
            <w:tcBorders>
              <w:top w:val="nil"/>
              <w:left w:val="nil"/>
              <w:bottom w:val="nil"/>
              <w:right w:val="nil"/>
            </w:tcBorders>
            <w:shd w:val="clear" w:color="auto" w:fill="auto"/>
            <w:noWrap/>
            <w:vAlign w:val="center"/>
            <w:hideMark/>
          </w:tcPr>
          <w:p w14:paraId="483CAF21" w14:textId="77777777" w:rsidR="00B9311E" w:rsidRPr="00BD77D8" w:rsidRDefault="00B9311E" w:rsidP="00B9311E">
            <w:pPr>
              <w:spacing w:after="0" w:line="240" w:lineRule="auto"/>
              <w:rPr>
                <w:sz w:val="18"/>
                <w:szCs w:val="18"/>
              </w:rPr>
            </w:pPr>
            <w:r w:rsidRPr="00BD77D8">
              <w:rPr>
                <w:sz w:val="18"/>
                <w:szCs w:val="18"/>
              </w:rPr>
              <w:t xml:space="preserve"> Number of full-time equivalent employees </w:t>
            </w:r>
          </w:p>
        </w:tc>
        <w:tc>
          <w:tcPr>
            <w:tcW w:w="1134" w:type="dxa"/>
            <w:tcBorders>
              <w:top w:val="nil"/>
              <w:left w:val="nil"/>
              <w:bottom w:val="single" w:sz="4" w:space="0" w:color="auto"/>
              <w:right w:val="nil"/>
            </w:tcBorders>
            <w:shd w:val="clear" w:color="auto" w:fill="auto"/>
            <w:vAlign w:val="bottom"/>
            <w:hideMark/>
          </w:tcPr>
          <w:p w14:paraId="5B177109" w14:textId="77777777" w:rsidR="00B9311E" w:rsidRPr="00BD77D8" w:rsidRDefault="00B9311E" w:rsidP="00B9311E">
            <w:pPr>
              <w:spacing w:after="0" w:line="240" w:lineRule="auto"/>
              <w:jc w:val="right"/>
              <w:rPr>
                <w:sz w:val="18"/>
                <w:szCs w:val="18"/>
              </w:rPr>
            </w:pPr>
            <w:r w:rsidRPr="00BD77D8">
              <w:rPr>
                <w:sz w:val="18"/>
                <w:szCs w:val="18"/>
              </w:rPr>
              <w:t xml:space="preserve">      1,796 </w:t>
            </w:r>
          </w:p>
        </w:tc>
        <w:tc>
          <w:tcPr>
            <w:tcW w:w="1244" w:type="dxa"/>
            <w:tcBorders>
              <w:top w:val="nil"/>
              <w:left w:val="nil"/>
              <w:bottom w:val="single" w:sz="4" w:space="0" w:color="auto"/>
              <w:right w:val="nil"/>
            </w:tcBorders>
            <w:shd w:val="clear" w:color="auto" w:fill="auto"/>
            <w:vAlign w:val="bottom"/>
            <w:hideMark/>
          </w:tcPr>
          <w:p w14:paraId="2D583D43" w14:textId="77777777" w:rsidR="00B9311E" w:rsidRPr="00BD77D8" w:rsidRDefault="00B9311E" w:rsidP="00B9311E">
            <w:pPr>
              <w:spacing w:after="0" w:line="240" w:lineRule="auto"/>
              <w:jc w:val="right"/>
              <w:rPr>
                <w:sz w:val="18"/>
                <w:szCs w:val="18"/>
              </w:rPr>
            </w:pPr>
            <w:r w:rsidRPr="00BD77D8">
              <w:rPr>
                <w:sz w:val="18"/>
                <w:szCs w:val="18"/>
              </w:rPr>
              <w:t xml:space="preserve">      1,888 </w:t>
            </w:r>
          </w:p>
        </w:tc>
      </w:tr>
    </w:tbl>
    <w:bookmarkEnd w:id="117"/>
    <w:p w14:paraId="7A65F32F" w14:textId="77777777" w:rsidR="00760ABD" w:rsidRPr="00BD77D8" w:rsidRDefault="00B9311E" w:rsidP="00760ABD">
      <w:pPr>
        <w:spacing w:before="240" w:after="240" w:line="208" w:lineRule="exact"/>
        <w:ind w:right="142"/>
        <w:textAlignment w:val="baseline"/>
        <w:rPr>
          <w:rFonts w:eastAsia="Arial"/>
          <w:b/>
          <w:bCs/>
          <w:sz w:val="18"/>
          <w:szCs w:val="18"/>
          <w:lang w:eastAsia="en-US"/>
        </w:rPr>
      </w:pPr>
      <w:r w:rsidRPr="00BD77D8">
        <w:rPr>
          <w:rFonts w:eastAsia="Arial"/>
          <w:b/>
          <w:bCs/>
          <w:sz w:val="18"/>
          <w:szCs w:val="18"/>
          <w:lang w:eastAsia="en-US"/>
        </w:rPr>
        <w:t>Accounting policy – Wages and salaries</w:t>
      </w:r>
    </w:p>
    <w:p w14:paraId="5CCBF189" w14:textId="31147F57" w:rsidR="00B9311E" w:rsidRPr="00BD77D8" w:rsidRDefault="00B9311E" w:rsidP="00760ABD">
      <w:pPr>
        <w:spacing w:before="240" w:after="240" w:line="208" w:lineRule="exact"/>
        <w:ind w:right="142"/>
        <w:textAlignment w:val="baseline"/>
        <w:rPr>
          <w:rFonts w:eastAsia="Arial"/>
          <w:b/>
          <w:sz w:val="18"/>
          <w:szCs w:val="18"/>
          <w:lang w:eastAsia="en-US"/>
        </w:rPr>
      </w:pPr>
      <w:r w:rsidRPr="00BD77D8">
        <w:rPr>
          <w:rFonts w:eastAsia="Arial"/>
          <w:sz w:val="18"/>
          <w:szCs w:val="18"/>
          <w:lang w:eastAsia="en-US"/>
        </w:rPr>
        <w:t xml:space="preserve">Wages and salaries due, but unpaid at reporting date, are recognised in the </w:t>
      </w:r>
      <w:r w:rsidRPr="00BD77D8">
        <w:rPr>
          <w:rFonts w:eastAsia="Arial"/>
          <w:spacing w:val="3"/>
          <w:sz w:val="18"/>
          <w:szCs w:val="18"/>
          <w:lang w:eastAsia="en-US"/>
        </w:rPr>
        <w:t>statement of financial performance</w:t>
      </w:r>
      <w:r w:rsidRPr="00BD77D8">
        <w:rPr>
          <w:rFonts w:eastAsia="Arial"/>
          <w:sz w:val="18"/>
          <w:szCs w:val="18"/>
          <w:lang w:eastAsia="en-US"/>
        </w:rPr>
        <w:t xml:space="preserve"> at the current salary rates. As the department expects such liabilities to be wholly settled within 12 months of reporting date, the liabilities are recognised at undiscounted amounts. Wages and salaries include any non-vesting sick leave that has been paid by the department during the financial year.</w:t>
      </w:r>
    </w:p>
    <w:p w14:paraId="26FF851D" w14:textId="77777777" w:rsidR="00B9311E" w:rsidRPr="00BD77D8" w:rsidRDefault="00B9311E" w:rsidP="00760ABD">
      <w:pPr>
        <w:spacing w:after="240" w:line="205" w:lineRule="exact"/>
        <w:textAlignment w:val="baseline"/>
        <w:rPr>
          <w:rFonts w:eastAsia="Arial"/>
          <w:b/>
          <w:bCs/>
          <w:sz w:val="18"/>
          <w:szCs w:val="18"/>
          <w:lang w:eastAsia="en-US"/>
        </w:rPr>
      </w:pPr>
      <w:r w:rsidRPr="00BD77D8">
        <w:rPr>
          <w:rFonts w:eastAsia="Arial"/>
          <w:b/>
          <w:bCs/>
          <w:sz w:val="18"/>
          <w:szCs w:val="18"/>
          <w:lang w:eastAsia="en-US"/>
        </w:rPr>
        <w:t>Accounting policy - Annual leave</w:t>
      </w:r>
    </w:p>
    <w:p w14:paraId="789499B7" w14:textId="77777777" w:rsidR="00B9311E" w:rsidRPr="00BD77D8" w:rsidRDefault="00B9311E" w:rsidP="00760ABD">
      <w:pPr>
        <w:spacing w:after="240" w:line="206" w:lineRule="exact"/>
        <w:textAlignment w:val="baseline"/>
        <w:rPr>
          <w:rFonts w:eastAsia="Arial"/>
          <w:b/>
          <w:sz w:val="18"/>
          <w:szCs w:val="18"/>
          <w:lang w:eastAsia="en-US"/>
        </w:rPr>
      </w:pPr>
      <w:r w:rsidRPr="00BD77D8">
        <w:rPr>
          <w:rFonts w:eastAsia="Arial"/>
          <w:sz w:val="18"/>
          <w:szCs w:val="18"/>
          <w:lang w:eastAsia="en-US"/>
        </w:rPr>
        <w:t>Under the Queensland Government’s Annual Leave Central Scheme, a levy is made on the department to cover the cost of employees' annual leave (including leave loading and on-costs). The levies are expensed in the period in which they are payable. Amounts paid to employees for annual leave are claimed from the scheme quarterly in arrears.</w:t>
      </w:r>
    </w:p>
    <w:p w14:paraId="7DB0F416" w14:textId="77777777" w:rsidR="00B9311E" w:rsidRPr="00BD77D8" w:rsidRDefault="00B9311E" w:rsidP="00760ABD">
      <w:pPr>
        <w:spacing w:after="240" w:line="205" w:lineRule="exact"/>
        <w:textAlignment w:val="baseline"/>
        <w:rPr>
          <w:rFonts w:eastAsia="Arial"/>
          <w:b/>
          <w:bCs/>
          <w:sz w:val="18"/>
          <w:szCs w:val="18"/>
          <w:lang w:eastAsia="en-US"/>
        </w:rPr>
      </w:pPr>
      <w:r w:rsidRPr="00BD77D8">
        <w:rPr>
          <w:rFonts w:eastAsia="Arial"/>
          <w:b/>
          <w:bCs/>
          <w:sz w:val="18"/>
          <w:szCs w:val="18"/>
          <w:lang w:eastAsia="en-US"/>
        </w:rPr>
        <w:t xml:space="preserve">Accounting policy - </w:t>
      </w:r>
      <w:proofErr w:type="gramStart"/>
      <w:r w:rsidRPr="00BD77D8">
        <w:rPr>
          <w:rFonts w:eastAsia="Arial"/>
          <w:b/>
          <w:bCs/>
          <w:sz w:val="18"/>
          <w:szCs w:val="18"/>
          <w:lang w:eastAsia="en-US"/>
        </w:rPr>
        <w:t>Long</w:t>
      </w:r>
      <w:proofErr w:type="gramEnd"/>
      <w:r w:rsidRPr="00BD77D8">
        <w:rPr>
          <w:rFonts w:eastAsia="Arial"/>
          <w:b/>
          <w:bCs/>
          <w:sz w:val="18"/>
          <w:szCs w:val="18"/>
          <w:lang w:eastAsia="en-US"/>
        </w:rPr>
        <w:t xml:space="preserve"> service leave</w:t>
      </w:r>
    </w:p>
    <w:p w14:paraId="37F1A73A" w14:textId="77777777" w:rsidR="00B9311E" w:rsidRPr="00BD77D8" w:rsidRDefault="00B9311E" w:rsidP="00760ABD">
      <w:pPr>
        <w:spacing w:after="240" w:line="206" w:lineRule="exact"/>
        <w:textAlignment w:val="baseline"/>
        <w:rPr>
          <w:rFonts w:eastAsia="Arial"/>
          <w:b/>
          <w:sz w:val="18"/>
          <w:szCs w:val="18"/>
          <w:lang w:eastAsia="en-US"/>
        </w:rPr>
      </w:pPr>
      <w:r w:rsidRPr="00BD77D8">
        <w:rPr>
          <w:rFonts w:eastAsia="Arial"/>
          <w:sz w:val="18"/>
          <w:szCs w:val="18"/>
          <w:lang w:eastAsia="en-US"/>
        </w:rPr>
        <w:t>Under the Queensland Government’s Long Service Leave Scheme, a levy is made on the department to cover the cost of employees' long service leave. The levies are expensed in the period in which they are payable. Amounts paid to employees for long service leave are claimed from the scheme quarterly in arrears.</w:t>
      </w:r>
    </w:p>
    <w:p w14:paraId="118628D4" w14:textId="77777777" w:rsidR="00B9311E" w:rsidRPr="00BD77D8" w:rsidRDefault="00B9311E" w:rsidP="00760ABD">
      <w:pPr>
        <w:spacing w:after="240" w:line="205" w:lineRule="exact"/>
        <w:textAlignment w:val="baseline"/>
        <w:rPr>
          <w:rFonts w:eastAsia="Arial"/>
          <w:b/>
          <w:bCs/>
          <w:sz w:val="18"/>
          <w:szCs w:val="18"/>
          <w:lang w:eastAsia="en-US"/>
        </w:rPr>
      </w:pPr>
      <w:r w:rsidRPr="00BD77D8">
        <w:rPr>
          <w:rFonts w:eastAsia="Arial"/>
          <w:b/>
          <w:bCs/>
          <w:sz w:val="18"/>
          <w:szCs w:val="18"/>
          <w:lang w:eastAsia="en-US"/>
        </w:rPr>
        <w:t>Accounting policy - Superannuation</w:t>
      </w:r>
    </w:p>
    <w:p w14:paraId="3D1C6F1B" w14:textId="77777777" w:rsidR="00B9311E" w:rsidRPr="00BD77D8" w:rsidRDefault="00B9311E" w:rsidP="00760ABD">
      <w:pPr>
        <w:spacing w:after="240" w:line="206" w:lineRule="exact"/>
        <w:textAlignment w:val="baseline"/>
        <w:rPr>
          <w:rFonts w:eastAsia="Arial"/>
          <w:b/>
          <w:spacing w:val="-1"/>
          <w:sz w:val="18"/>
          <w:szCs w:val="18"/>
          <w:lang w:eastAsia="en-US"/>
        </w:rPr>
      </w:pPr>
      <w:r w:rsidRPr="00BD77D8">
        <w:rPr>
          <w:rFonts w:eastAsia="Arial"/>
          <w:spacing w:val="-1"/>
          <w:sz w:val="18"/>
          <w:szCs w:val="18"/>
          <w:lang w:eastAsia="en-US"/>
        </w:rPr>
        <w:t>Post-employment benefits for superannuation are provided through defined contribution (accumulation) plans or the Queensland Government’s defined benefit plan (the former QSuper defined benefit categories now administered by the Government Division of the Australian Retirement Trust) as determined by the employee’s conditions of employment.</w:t>
      </w:r>
    </w:p>
    <w:p w14:paraId="3B6AB70A" w14:textId="77777777" w:rsidR="00B9311E" w:rsidRPr="00BD77D8" w:rsidRDefault="00B9311E" w:rsidP="00B9311E">
      <w:pPr>
        <w:spacing w:after="0" w:line="206" w:lineRule="exact"/>
        <w:textAlignment w:val="baseline"/>
        <w:rPr>
          <w:rFonts w:eastAsia="Arial"/>
          <w:b/>
          <w:sz w:val="18"/>
          <w:szCs w:val="18"/>
          <w:u w:val="single"/>
          <w:lang w:eastAsia="en-US"/>
        </w:rPr>
      </w:pPr>
      <w:r w:rsidRPr="00BD77D8">
        <w:rPr>
          <w:rFonts w:eastAsia="Arial"/>
          <w:i/>
          <w:iCs/>
          <w:sz w:val="18"/>
          <w:szCs w:val="18"/>
          <w:u w:val="single"/>
          <w:lang w:eastAsia="en-US"/>
        </w:rPr>
        <w:t>Defined Contribution Plans</w:t>
      </w:r>
      <w:r w:rsidRPr="00BD77D8">
        <w:rPr>
          <w:rFonts w:eastAsia="Arial"/>
          <w:sz w:val="18"/>
          <w:szCs w:val="18"/>
          <w:lang w:eastAsia="en-US"/>
        </w:rPr>
        <w:t xml:space="preserve"> - Contributions are made to eligible complying superannuation funds based on the rates specified in the relevant EBA or other conditions of employment. Contributions are expensed when they are paid or become payable following completion of the employee’s service each pay period.</w:t>
      </w:r>
    </w:p>
    <w:p w14:paraId="5CB4A0DB" w14:textId="668A5403" w:rsidR="00B9311E" w:rsidRPr="00BD77D8" w:rsidRDefault="00DE382E" w:rsidP="00C3515C">
      <w:pPr>
        <w:spacing w:before="960" w:after="0" w:line="240" w:lineRule="auto"/>
        <w:rPr>
          <w:rFonts w:eastAsia="Arial"/>
          <w:bCs/>
          <w:sz w:val="18"/>
          <w:szCs w:val="18"/>
          <w:lang w:eastAsia="en-US"/>
        </w:rPr>
      </w:pP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t>Page 17 of 45</w:t>
      </w:r>
      <w:r w:rsidR="00B9311E" w:rsidRPr="00BD77D8">
        <w:rPr>
          <w:rFonts w:eastAsia="Arial"/>
          <w:sz w:val="18"/>
          <w:szCs w:val="18"/>
          <w:lang w:eastAsia="en-US"/>
        </w:rPr>
        <w:br w:type="page"/>
      </w:r>
    </w:p>
    <w:p w14:paraId="188BD3CB"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4748CB3E"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4EA9E1B7"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6644FB4D" w14:textId="77777777" w:rsidR="00B9311E" w:rsidRPr="00BD77D8" w:rsidRDefault="00B9311E" w:rsidP="00B9311E">
      <w:pPr>
        <w:pBdr>
          <w:bottom w:val="single" w:sz="4" w:space="1" w:color="auto"/>
        </w:pBdr>
        <w:spacing w:after="0" w:line="252" w:lineRule="exact"/>
        <w:textAlignment w:val="baseline"/>
        <w:rPr>
          <w:rFonts w:eastAsia="Arial"/>
          <w:b/>
          <w:sz w:val="18"/>
          <w:szCs w:val="18"/>
          <w:lang w:eastAsia="en-US"/>
        </w:rPr>
      </w:pPr>
    </w:p>
    <w:p w14:paraId="12376FF5" w14:textId="77777777" w:rsidR="00B9311E" w:rsidRPr="00BD77D8" w:rsidRDefault="00B9311E" w:rsidP="00E47A6E">
      <w:pPr>
        <w:spacing w:before="240" w:line="180" w:lineRule="atLeast"/>
        <w:rPr>
          <w:rFonts w:eastAsia="Arial"/>
          <w:b/>
          <w:bCs/>
          <w:sz w:val="22"/>
          <w:szCs w:val="22"/>
          <w:lang w:eastAsia="en-US"/>
        </w:rPr>
      </w:pPr>
      <w:r w:rsidRPr="00BD77D8">
        <w:rPr>
          <w:rFonts w:eastAsia="Arial"/>
          <w:b/>
          <w:bCs/>
          <w:sz w:val="22"/>
          <w:szCs w:val="22"/>
          <w:lang w:eastAsia="en-US"/>
        </w:rPr>
        <w:t>B2 – Expenses (continued)</w:t>
      </w:r>
    </w:p>
    <w:p w14:paraId="73CED6A7" w14:textId="77777777" w:rsidR="00B9311E" w:rsidRPr="00BD77D8" w:rsidRDefault="00B9311E" w:rsidP="00760ABD">
      <w:pPr>
        <w:spacing w:before="139" w:after="240" w:line="205" w:lineRule="exact"/>
        <w:textAlignment w:val="baseline"/>
        <w:rPr>
          <w:rFonts w:eastAsia="Arial"/>
          <w:b/>
          <w:bCs/>
          <w:spacing w:val="1"/>
          <w:sz w:val="18"/>
          <w:szCs w:val="22"/>
          <w:lang w:eastAsia="en-US"/>
        </w:rPr>
      </w:pPr>
      <w:r w:rsidRPr="00BD77D8">
        <w:rPr>
          <w:rFonts w:eastAsia="Arial"/>
          <w:b/>
          <w:bCs/>
          <w:spacing w:val="1"/>
          <w:sz w:val="18"/>
          <w:szCs w:val="22"/>
          <w:lang w:eastAsia="en-US"/>
        </w:rPr>
        <w:t>B2-1 Employee Expenses (continued)</w:t>
      </w:r>
    </w:p>
    <w:p w14:paraId="673B1CDC" w14:textId="77777777" w:rsidR="00B9311E" w:rsidRPr="00BD77D8" w:rsidRDefault="00B9311E" w:rsidP="00B9311E">
      <w:pPr>
        <w:spacing w:after="0" w:line="206" w:lineRule="exact"/>
        <w:textAlignment w:val="baseline"/>
        <w:rPr>
          <w:rFonts w:eastAsia="Arial"/>
          <w:b/>
          <w:sz w:val="18"/>
          <w:szCs w:val="18"/>
          <w:lang w:eastAsia="en-US"/>
        </w:rPr>
      </w:pPr>
      <w:r w:rsidRPr="00BD77D8">
        <w:rPr>
          <w:rFonts w:eastAsia="Arial"/>
          <w:i/>
          <w:iCs/>
          <w:sz w:val="18"/>
          <w:szCs w:val="18"/>
          <w:u w:val="single"/>
          <w:lang w:eastAsia="en-US"/>
        </w:rPr>
        <w:t>Defined Benefit Plan</w:t>
      </w:r>
      <w:r w:rsidRPr="00BD77D8">
        <w:rPr>
          <w:rFonts w:eastAsia="Arial"/>
          <w:sz w:val="18"/>
          <w:szCs w:val="18"/>
          <w:lang w:eastAsia="en-US"/>
        </w:rPr>
        <w:t xml:space="preserve"> - The liability for defined benefits is held on a whole-of-government basis and reported in those financial statements pursuant to AASB 1049 </w:t>
      </w:r>
      <w:r w:rsidRPr="00BD77D8">
        <w:rPr>
          <w:rFonts w:eastAsia="Arial"/>
          <w:i/>
          <w:iCs/>
          <w:sz w:val="18"/>
          <w:szCs w:val="18"/>
          <w:lang w:eastAsia="en-US"/>
        </w:rPr>
        <w:t>Whole of Government and General Government Sector Financial Reporting</w:t>
      </w:r>
      <w:r w:rsidRPr="00BD77D8">
        <w:rPr>
          <w:rFonts w:eastAsia="Arial"/>
          <w:sz w:val="18"/>
          <w:szCs w:val="18"/>
          <w:lang w:eastAsia="en-US"/>
        </w:rPr>
        <w:t xml:space="preserve">. The </w:t>
      </w:r>
      <w:proofErr w:type="gramStart"/>
      <w:r w:rsidRPr="00BD77D8">
        <w:rPr>
          <w:rFonts w:eastAsia="Arial"/>
          <w:sz w:val="18"/>
          <w:szCs w:val="18"/>
          <w:lang w:eastAsia="en-US"/>
        </w:rPr>
        <w:t>amount</w:t>
      </w:r>
      <w:proofErr w:type="gramEnd"/>
      <w:r w:rsidRPr="00BD77D8">
        <w:rPr>
          <w:rFonts w:eastAsia="Arial"/>
          <w:sz w:val="18"/>
          <w:szCs w:val="18"/>
          <w:lang w:eastAsia="en-US"/>
        </w:rPr>
        <w:t xml:space="preserve"> of contributions for defined benefit plan obligations is based upon the rates determined on the advice of the State Actuary. Contributions are paid by the department at the specified rate following completion of the employee’s </w:t>
      </w:r>
    </w:p>
    <w:p w14:paraId="61CF0ADF" w14:textId="77777777" w:rsidR="00B9311E" w:rsidRPr="00BD77D8" w:rsidRDefault="00B9311E" w:rsidP="00760ABD">
      <w:pPr>
        <w:spacing w:after="240" w:line="206" w:lineRule="exact"/>
        <w:textAlignment w:val="baseline"/>
        <w:rPr>
          <w:rFonts w:eastAsia="Arial"/>
          <w:b/>
          <w:sz w:val="18"/>
          <w:szCs w:val="18"/>
          <w:lang w:eastAsia="en-US"/>
        </w:rPr>
      </w:pPr>
      <w:r w:rsidRPr="00BD77D8">
        <w:rPr>
          <w:rFonts w:eastAsia="Arial"/>
          <w:sz w:val="18"/>
          <w:szCs w:val="18"/>
          <w:lang w:eastAsia="en-US"/>
        </w:rPr>
        <w:t>service each pay period. The department’s obligations are limited to those contributions paid.</w:t>
      </w:r>
    </w:p>
    <w:p w14:paraId="785224D8" w14:textId="77777777" w:rsidR="00B9311E" w:rsidRPr="00BD77D8" w:rsidRDefault="00B9311E" w:rsidP="00760ABD">
      <w:pPr>
        <w:spacing w:after="240" w:line="205" w:lineRule="exact"/>
        <w:textAlignment w:val="baseline"/>
        <w:rPr>
          <w:rFonts w:eastAsia="Arial"/>
          <w:b/>
          <w:bCs/>
          <w:sz w:val="18"/>
          <w:szCs w:val="18"/>
          <w:lang w:eastAsia="en-US"/>
        </w:rPr>
      </w:pPr>
      <w:r w:rsidRPr="00BD77D8">
        <w:rPr>
          <w:rFonts w:eastAsia="Arial"/>
          <w:b/>
          <w:bCs/>
          <w:sz w:val="18"/>
          <w:szCs w:val="18"/>
          <w:lang w:eastAsia="en-US"/>
        </w:rPr>
        <w:t>Accounting policy - Workers compensation premiums</w:t>
      </w:r>
    </w:p>
    <w:p w14:paraId="2C3E298C" w14:textId="77777777" w:rsidR="00B9311E" w:rsidRPr="00BD77D8" w:rsidRDefault="00B9311E" w:rsidP="00760ABD">
      <w:pPr>
        <w:spacing w:after="240" w:line="206" w:lineRule="exact"/>
        <w:textAlignment w:val="baseline"/>
        <w:rPr>
          <w:rFonts w:eastAsia="Arial"/>
          <w:b/>
          <w:sz w:val="18"/>
          <w:szCs w:val="18"/>
          <w:lang w:eastAsia="en-US"/>
        </w:rPr>
      </w:pPr>
      <w:r w:rsidRPr="00BD77D8">
        <w:rPr>
          <w:rFonts w:eastAsia="Arial"/>
          <w:sz w:val="18"/>
          <w:szCs w:val="18"/>
          <w:lang w:eastAsia="en-US"/>
        </w:rPr>
        <w:t xml:space="preserve">The department pays premiums to </w:t>
      </w:r>
      <w:proofErr w:type="spellStart"/>
      <w:r w:rsidRPr="00BD77D8">
        <w:rPr>
          <w:rFonts w:eastAsia="Arial"/>
          <w:sz w:val="18"/>
          <w:szCs w:val="18"/>
          <w:lang w:eastAsia="en-US"/>
        </w:rPr>
        <w:t>WorkCover</w:t>
      </w:r>
      <w:proofErr w:type="spellEnd"/>
      <w:r w:rsidRPr="00BD77D8">
        <w:rPr>
          <w:rFonts w:eastAsia="Arial"/>
          <w:sz w:val="18"/>
          <w:szCs w:val="18"/>
          <w:lang w:eastAsia="en-US"/>
        </w:rPr>
        <w:t xml:space="preserve"> Queensland in respect of its obligations for employee compensation. Workers' compensation insurance is a consequence of employing employees but is not counted in an employee's total remuneration package. It is not employee benefits and is recognised separately as employee related expenses. </w:t>
      </w:r>
    </w:p>
    <w:p w14:paraId="32FD1C37" w14:textId="77777777" w:rsidR="00B9311E" w:rsidRPr="00BD77D8" w:rsidRDefault="00B9311E" w:rsidP="00760ABD">
      <w:pPr>
        <w:spacing w:after="240" w:line="206" w:lineRule="exact"/>
        <w:textAlignment w:val="baseline"/>
        <w:rPr>
          <w:rFonts w:eastAsia="Arial"/>
          <w:b/>
          <w:sz w:val="18"/>
          <w:szCs w:val="18"/>
          <w:lang w:eastAsia="en-US"/>
        </w:rPr>
      </w:pPr>
      <w:r w:rsidRPr="00BD77D8">
        <w:rPr>
          <w:rFonts w:eastAsia="Arial"/>
          <w:sz w:val="18"/>
          <w:szCs w:val="18"/>
          <w:lang w:eastAsia="en-US"/>
        </w:rPr>
        <w:t>Key management personnel and remuneration disclosures are detailed in Note F1.</w:t>
      </w:r>
    </w:p>
    <w:p w14:paraId="59B2CE7B"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B2-2 Supplies and Services</w:t>
      </w:r>
    </w:p>
    <w:tbl>
      <w:tblPr>
        <w:tblW w:w="10280" w:type="dxa"/>
        <w:tblCellMar>
          <w:left w:w="0" w:type="dxa"/>
          <w:right w:w="0" w:type="dxa"/>
        </w:tblCellMar>
        <w:tblLook w:val="04A0" w:firstRow="1" w:lastRow="0" w:firstColumn="1" w:lastColumn="0" w:noHBand="0" w:noVBand="1"/>
      </w:tblPr>
      <w:tblGrid>
        <w:gridCol w:w="7966"/>
        <w:gridCol w:w="1125"/>
        <w:gridCol w:w="1189"/>
      </w:tblGrid>
      <w:tr w:rsidR="00BD77D8" w:rsidRPr="00BD77D8" w14:paraId="10F8F75B" w14:textId="77777777" w:rsidTr="003057FB">
        <w:trPr>
          <w:trHeight w:val="272"/>
        </w:trPr>
        <w:tc>
          <w:tcPr>
            <w:tcW w:w="0" w:type="auto"/>
            <w:tcBorders>
              <w:top w:val="nil"/>
              <w:left w:val="nil"/>
              <w:bottom w:val="nil"/>
              <w:right w:val="nil"/>
            </w:tcBorders>
            <w:shd w:val="clear" w:color="auto" w:fill="auto"/>
            <w:vAlign w:val="center"/>
            <w:hideMark/>
          </w:tcPr>
          <w:p w14:paraId="3BA83D3E" w14:textId="77777777" w:rsidR="00B9311E" w:rsidRPr="00BD77D8" w:rsidRDefault="00B9311E" w:rsidP="00B9311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0425754"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0" w:type="auto"/>
            <w:tcBorders>
              <w:top w:val="nil"/>
              <w:left w:val="nil"/>
              <w:bottom w:val="nil"/>
              <w:right w:val="nil"/>
            </w:tcBorders>
            <w:shd w:val="clear" w:color="auto" w:fill="auto"/>
            <w:noWrap/>
            <w:vAlign w:val="bottom"/>
            <w:hideMark/>
          </w:tcPr>
          <w:p w14:paraId="4C1D0942"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1040FAE0" w14:textId="77777777" w:rsidTr="003057FB">
        <w:trPr>
          <w:trHeight w:val="272"/>
        </w:trPr>
        <w:tc>
          <w:tcPr>
            <w:tcW w:w="0" w:type="auto"/>
            <w:tcBorders>
              <w:top w:val="nil"/>
              <w:left w:val="nil"/>
              <w:bottom w:val="nil"/>
              <w:right w:val="nil"/>
            </w:tcBorders>
            <w:shd w:val="clear" w:color="auto" w:fill="auto"/>
            <w:vAlign w:val="center"/>
            <w:hideMark/>
          </w:tcPr>
          <w:p w14:paraId="3A361163" w14:textId="77777777" w:rsidR="00B9311E" w:rsidRPr="00BD77D8" w:rsidRDefault="00B9311E" w:rsidP="00B9311E">
            <w:pPr>
              <w:spacing w:after="0" w:line="240" w:lineRule="auto"/>
              <w:jc w:val="right"/>
              <w:rPr>
                <w:sz w:val="18"/>
                <w:szCs w:val="18"/>
              </w:rPr>
            </w:pPr>
          </w:p>
        </w:tc>
        <w:tc>
          <w:tcPr>
            <w:tcW w:w="0" w:type="auto"/>
            <w:tcBorders>
              <w:top w:val="nil"/>
              <w:left w:val="nil"/>
              <w:bottom w:val="single" w:sz="4" w:space="0" w:color="auto"/>
              <w:right w:val="nil"/>
            </w:tcBorders>
            <w:shd w:val="clear" w:color="auto" w:fill="auto"/>
            <w:noWrap/>
            <w:vAlign w:val="bottom"/>
            <w:hideMark/>
          </w:tcPr>
          <w:p w14:paraId="4745C6B3" w14:textId="77777777" w:rsidR="00B9311E" w:rsidRPr="00BD77D8" w:rsidRDefault="00B9311E" w:rsidP="00B9311E">
            <w:pPr>
              <w:spacing w:after="0" w:line="240" w:lineRule="auto"/>
              <w:jc w:val="right"/>
              <w:rPr>
                <w:b/>
                <w:bCs/>
                <w:sz w:val="18"/>
                <w:szCs w:val="18"/>
              </w:rPr>
            </w:pPr>
            <w:r w:rsidRPr="00BD77D8">
              <w:rPr>
                <w:b/>
                <w:bCs/>
                <w:sz w:val="18"/>
                <w:szCs w:val="18"/>
              </w:rPr>
              <w:t>$'000</w:t>
            </w:r>
          </w:p>
        </w:tc>
        <w:tc>
          <w:tcPr>
            <w:tcW w:w="0" w:type="auto"/>
            <w:tcBorders>
              <w:top w:val="nil"/>
              <w:left w:val="nil"/>
              <w:bottom w:val="single" w:sz="4" w:space="0" w:color="auto"/>
              <w:right w:val="nil"/>
            </w:tcBorders>
            <w:shd w:val="clear" w:color="auto" w:fill="auto"/>
            <w:noWrap/>
            <w:vAlign w:val="bottom"/>
            <w:hideMark/>
          </w:tcPr>
          <w:p w14:paraId="5AE4A2A8" w14:textId="77777777" w:rsidR="00B9311E" w:rsidRPr="00BD77D8" w:rsidRDefault="00B9311E" w:rsidP="00B9311E">
            <w:pPr>
              <w:spacing w:after="0" w:line="240" w:lineRule="auto"/>
              <w:jc w:val="right"/>
              <w:rPr>
                <w:b/>
                <w:bCs/>
                <w:sz w:val="18"/>
                <w:szCs w:val="18"/>
              </w:rPr>
            </w:pPr>
            <w:r w:rsidRPr="00BD77D8">
              <w:rPr>
                <w:b/>
                <w:bCs/>
                <w:sz w:val="18"/>
                <w:szCs w:val="18"/>
              </w:rPr>
              <w:t>$'000</w:t>
            </w:r>
          </w:p>
        </w:tc>
      </w:tr>
      <w:tr w:rsidR="00BD77D8" w:rsidRPr="00BD77D8" w14:paraId="6F298ACC" w14:textId="77777777" w:rsidTr="003057FB">
        <w:trPr>
          <w:trHeight w:val="272"/>
        </w:trPr>
        <w:tc>
          <w:tcPr>
            <w:tcW w:w="0" w:type="auto"/>
            <w:tcBorders>
              <w:top w:val="nil"/>
              <w:left w:val="nil"/>
              <w:bottom w:val="nil"/>
              <w:right w:val="nil"/>
            </w:tcBorders>
            <w:shd w:val="clear" w:color="auto" w:fill="auto"/>
            <w:vAlign w:val="center"/>
            <w:hideMark/>
          </w:tcPr>
          <w:p w14:paraId="27E50FCF" w14:textId="77777777" w:rsidR="00B9311E" w:rsidRPr="00BD77D8" w:rsidRDefault="00B9311E" w:rsidP="00B9311E">
            <w:pPr>
              <w:spacing w:after="0" w:line="240" w:lineRule="auto"/>
              <w:rPr>
                <w:b/>
                <w:bCs/>
                <w:sz w:val="18"/>
                <w:szCs w:val="18"/>
              </w:rPr>
            </w:pPr>
            <w:r w:rsidRPr="00BD77D8">
              <w:rPr>
                <w:b/>
                <w:bCs/>
                <w:sz w:val="18"/>
                <w:szCs w:val="18"/>
              </w:rPr>
              <w:t xml:space="preserve"> Service Procurement </w:t>
            </w:r>
          </w:p>
        </w:tc>
        <w:tc>
          <w:tcPr>
            <w:tcW w:w="0" w:type="auto"/>
            <w:tcBorders>
              <w:top w:val="nil"/>
              <w:left w:val="nil"/>
              <w:bottom w:val="nil"/>
              <w:right w:val="nil"/>
            </w:tcBorders>
            <w:shd w:val="clear" w:color="auto" w:fill="auto"/>
            <w:noWrap/>
            <w:vAlign w:val="bottom"/>
            <w:hideMark/>
          </w:tcPr>
          <w:p w14:paraId="199C4707" w14:textId="77777777" w:rsidR="00B9311E" w:rsidRPr="00BD77D8" w:rsidRDefault="00B9311E" w:rsidP="00B9311E">
            <w:pPr>
              <w:spacing w:after="0" w:line="240" w:lineRule="auto"/>
              <w:rPr>
                <w:b/>
                <w:bCs/>
                <w:sz w:val="18"/>
                <w:szCs w:val="18"/>
              </w:rPr>
            </w:pPr>
          </w:p>
        </w:tc>
        <w:tc>
          <w:tcPr>
            <w:tcW w:w="0" w:type="auto"/>
            <w:tcBorders>
              <w:top w:val="nil"/>
              <w:left w:val="nil"/>
              <w:bottom w:val="nil"/>
              <w:right w:val="nil"/>
            </w:tcBorders>
            <w:shd w:val="clear" w:color="auto" w:fill="auto"/>
            <w:noWrap/>
            <w:vAlign w:val="bottom"/>
            <w:hideMark/>
          </w:tcPr>
          <w:p w14:paraId="1B5D8E51"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074D3E69" w14:textId="77777777" w:rsidTr="003057FB">
        <w:trPr>
          <w:trHeight w:val="272"/>
        </w:trPr>
        <w:tc>
          <w:tcPr>
            <w:tcW w:w="0" w:type="auto"/>
            <w:tcBorders>
              <w:top w:val="nil"/>
              <w:left w:val="nil"/>
              <w:bottom w:val="nil"/>
              <w:right w:val="nil"/>
            </w:tcBorders>
            <w:shd w:val="clear" w:color="auto" w:fill="auto"/>
            <w:vAlign w:val="center"/>
            <w:hideMark/>
          </w:tcPr>
          <w:p w14:paraId="27BE97FE"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Disability Services </w:t>
            </w:r>
          </w:p>
        </w:tc>
        <w:tc>
          <w:tcPr>
            <w:tcW w:w="0" w:type="auto"/>
            <w:tcBorders>
              <w:top w:val="nil"/>
              <w:left w:val="nil"/>
              <w:bottom w:val="nil"/>
              <w:right w:val="nil"/>
            </w:tcBorders>
            <w:shd w:val="clear" w:color="auto" w:fill="auto"/>
            <w:vAlign w:val="center"/>
            <w:hideMark/>
          </w:tcPr>
          <w:p w14:paraId="55D9A3B2" w14:textId="77777777" w:rsidR="00B9311E" w:rsidRPr="00BD77D8" w:rsidRDefault="00B9311E" w:rsidP="00B9311E">
            <w:pPr>
              <w:spacing w:after="0" w:line="240" w:lineRule="auto"/>
              <w:jc w:val="right"/>
              <w:rPr>
                <w:sz w:val="18"/>
                <w:szCs w:val="18"/>
              </w:rPr>
            </w:pPr>
            <w:r w:rsidRPr="00BD77D8">
              <w:rPr>
                <w:sz w:val="18"/>
                <w:szCs w:val="18"/>
              </w:rPr>
              <w:t xml:space="preserve">    7,520 </w:t>
            </w:r>
          </w:p>
        </w:tc>
        <w:tc>
          <w:tcPr>
            <w:tcW w:w="0" w:type="auto"/>
            <w:tcBorders>
              <w:top w:val="nil"/>
              <w:left w:val="nil"/>
              <w:bottom w:val="nil"/>
              <w:right w:val="nil"/>
            </w:tcBorders>
            <w:shd w:val="clear" w:color="auto" w:fill="auto"/>
            <w:vAlign w:val="center"/>
            <w:hideMark/>
          </w:tcPr>
          <w:p w14:paraId="1969B4E4" w14:textId="77777777" w:rsidR="00B9311E" w:rsidRPr="00BD77D8" w:rsidRDefault="00B9311E" w:rsidP="00B9311E">
            <w:pPr>
              <w:spacing w:after="0" w:line="240" w:lineRule="auto"/>
              <w:jc w:val="right"/>
              <w:rPr>
                <w:sz w:val="18"/>
                <w:szCs w:val="18"/>
              </w:rPr>
            </w:pPr>
            <w:r w:rsidRPr="00BD77D8">
              <w:rPr>
                <w:sz w:val="18"/>
                <w:szCs w:val="18"/>
              </w:rPr>
              <w:t xml:space="preserve">    10,048 </w:t>
            </w:r>
          </w:p>
        </w:tc>
      </w:tr>
      <w:tr w:rsidR="00BD77D8" w:rsidRPr="00BD77D8" w14:paraId="14291331" w14:textId="77777777" w:rsidTr="003057FB">
        <w:trPr>
          <w:trHeight w:val="272"/>
        </w:trPr>
        <w:tc>
          <w:tcPr>
            <w:tcW w:w="0" w:type="auto"/>
            <w:tcBorders>
              <w:top w:val="nil"/>
              <w:left w:val="nil"/>
              <w:bottom w:val="nil"/>
              <w:right w:val="nil"/>
            </w:tcBorders>
            <w:shd w:val="clear" w:color="auto" w:fill="auto"/>
            <w:noWrap/>
            <w:vAlign w:val="center"/>
            <w:hideMark/>
          </w:tcPr>
          <w:p w14:paraId="396002BC"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Seniors Services </w:t>
            </w:r>
          </w:p>
        </w:tc>
        <w:tc>
          <w:tcPr>
            <w:tcW w:w="0" w:type="auto"/>
            <w:tcBorders>
              <w:top w:val="nil"/>
              <w:left w:val="nil"/>
              <w:bottom w:val="nil"/>
              <w:right w:val="nil"/>
            </w:tcBorders>
            <w:shd w:val="clear" w:color="auto" w:fill="auto"/>
            <w:vAlign w:val="center"/>
            <w:hideMark/>
          </w:tcPr>
          <w:p w14:paraId="3355AFCD" w14:textId="77777777" w:rsidR="00B9311E" w:rsidRPr="00BD77D8" w:rsidRDefault="00B9311E" w:rsidP="00B9311E">
            <w:pPr>
              <w:spacing w:after="0" w:line="240" w:lineRule="auto"/>
              <w:jc w:val="right"/>
              <w:rPr>
                <w:sz w:val="18"/>
                <w:szCs w:val="18"/>
              </w:rPr>
            </w:pPr>
            <w:r w:rsidRPr="00BD77D8">
              <w:rPr>
                <w:sz w:val="18"/>
                <w:szCs w:val="18"/>
              </w:rPr>
              <w:t xml:space="preserve">    9,988 </w:t>
            </w:r>
          </w:p>
        </w:tc>
        <w:tc>
          <w:tcPr>
            <w:tcW w:w="0" w:type="auto"/>
            <w:tcBorders>
              <w:top w:val="nil"/>
              <w:left w:val="nil"/>
              <w:bottom w:val="nil"/>
              <w:right w:val="nil"/>
            </w:tcBorders>
            <w:shd w:val="clear" w:color="auto" w:fill="auto"/>
            <w:vAlign w:val="center"/>
            <w:hideMark/>
          </w:tcPr>
          <w:p w14:paraId="79462C94" w14:textId="77777777" w:rsidR="00B9311E" w:rsidRPr="00BD77D8" w:rsidRDefault="00B9311E" w:rsidP="00B9311E">
            <w:pPr>
              <w:spacing w:after="0" w:line="240" w:lineRule="auto"/>
              <w:jc w:val="right"/>
              <w:rPr>
                <w:sz w:val="18"/>
                <w:szCs w:val="18"/>
              </w:rPr>
            </w:pPr>
            <w:r w:rsidRPr="00BD77D8">
              <w:rPr>
                <w:sz w:val="18"/>
                <w:szCs w:val="18"/>
              </w:rPr>
              <w:t xml:space="preserve">      9,946 </w:t>
            </w:r>
          </w:p>
        </w:tc>
      </w:tr>
      <w:tr w:rsidR="00BD77D8" w:rsidRPr="00BD77D8" w14:paraId="451EEA32" w14:textId="77777777" w:rsidTr="003057FB">
        <w:trPr>
          <w:trHeight w:val="272"/>
        </w:trPr>
        <w:tc>
          <w:tcPr>
            <w:tcW w:w="0" w:type="auto"/>
            <w:tcBorders>
              <w:top w:val="nil"/>
              <w:left w:val="nil"/>
              <w:bottom w:val="nil"/>
              <w:right w:val="nil"/>
            </w:tcBorders>
            <w:shd w:val="clear" w:color="auto" w:fill="auto"/>
            <w:noWrap/>
            <w:vAlign w:val="center"/>
            <w:hideMark/>
          </w:tcPr>
          <w:p w14:paraId="06D20829"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Aboriginal and Torres Strait Islander Partnerships Services * </w:t>
            </w:r>
          </w:p>
        </w:tc>
        <w:tc>
          <w:tcPr>
            <w:tcW w:w="0" w:type="auto"/>
            <w:tcBorders>
              <w:top w:val="nil"/>
              <w:left w:val="nil"/>
              <w:bottom w:val="nil"/>
              <w:right w:val="nil"/>
            </w:tcBorders>
            <w:shd w:val="clear" w:color="auto" w:fill="auto"/>
            <w:vAlign w:val="center"/>
            <w:hideMark/>
          </w:tcPr>
          <w:p w14:paraId="428FB9B4" w14:textId="77777777" w:rsidR="00B9311E" w:rsidRPr="00BD77D8" w:rsidRDefault="00B9311E" w:rsidP="00B9311E">
            <w:pPr>
              <w:spacing w:after="0" w:line="240" w:lineRule="auto"/>
              <w:jc w:val="right"/>
              <w:rPr>
                <w:sz w:val="18"/>
                <w:szCs w:val="18"/>
              </w:rPr>
            </w:pPr>
            <w:r w:rsidRPr="00BD77D8">
              <w:rPr>
                <w:sz w:val="18"/>
                <w:szCs w:val="18"/>
              </w:rPr>
              <w:t xml:space="preserve">       372 </w:t>
            </w:r>
          </w:p>
        </w:tc>
        <w:tc>
          <w:tcPr>
            <w:tcW w:w="0" w:type="auto"/>
            <w:tcBorders>
              <w:top w:val="nil"/>
              <w:left w:val="nil"/>
              <w:bottom w:val="nil"/>
              <w:right w:val="nil"/>
            </w:tcBorders>
            <w:shd w:val="clear" w:color="auto" w:fill="auto"/>
            <w:vAlign w:val="center"/>
            <w:hideMark/>
          </w:tcPr>
          <w:p w14:paraId="1ED3F9B2" w14:textId="77777777" w:rsidR="00B9311E" w:rsidRPr="00BD77D8" w:rsidRDefault="00B9311E" w:rsidP="00B9311E">
            <w:pPr>
              <w:spacing w:after="0" w:line="240" w:lineRule="auto"/>
              <w:jc w:val="right"/>
              <w:rPr>
                <w:sz w:val="18"/>
                <w:szCs w:val="18"/>
              </w:rPr>
            </w:pPr>
            <w:r w:rsidRPr="00BD77D8">
              <w:rPr>
                <w:sz w:val="18"/>
                <w:szCs w:val="18"/>
              </w:rPr>
              <w:t xml:space="preserve">      1,172 </w:t>
            </w:r>
          </w:p>
        </w:tc>
      </w:tr>
      <w:tr w:rsidR="00BD77D8" w:rsidRPr="00BD77D8" w14:paraId="534E33C6" w14:textId="77777777" w:rsidTr="003057FB">
        <w:trPr>
          <w:trHeight w:val="272"/>
        </w:trPr>
        <w:tc>
          <w:tcPr>
            <w:tcW w:w="0" w:type="auto"/>
            <w:tcBorders>
              <w:top w:val="nil"/>
              <w:left w:val="nil"/>
              <w:bottom w:val="nil"/>
              <w:right w:val="nil"/>
            </w:tcBorders>
            <w:shd w:val="clear" w:color="auto" w:fill="auto"/>
            <w:noWrap/>
            <w:vAlign w:val="center"/>
            <w:hideMark/>
          </w:tcPr>
          <w:p w14:paraId="4E0B5369"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Community Services* </w:t>
            </w:r>
          </w:p>
        </w:tc>
        <w:tc>
          <w:tcPr>
            <w:tcW w:w="0" w:type="auto"/>
            <w:tcBorders>
              <w:top w:val="nil"/>
              <w:left w:val="nil"/>
              <w:bottom w:val="nil"/>
              <w:right w:val="nil"/>
            </w:tcBorders>
            <w:shd w:val="clear" w:color="auto" w:fill="auto"/>
            <w:vAlign w:val="center"/>
            <w:hideMark/>
          </w:tcPr>
          <w:p w14:paraId="238BB56B"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vAlign w:val="center"/>
            <w:hideMark/>
          </w:tcPr>
          <w:p w14:paraId="41BB8E48" w14:textId="77777777" w:rsidR="00B9311E" w:rsidRPr="00BD77D8" w:rsidRDefault="00B9311E" w:rsidP="00B9311E">
            <w:pPr>
              <w:spacing w:after="0" w:line="240" w:lineRule="auto"/>
              <w:jc w:val="right"/>
              <w:rPr>
                <w:sz w:val="18"/>
                <w:szCs w:val="18"/>
              </w:rPr>
            </w:pPr>
            <w:r w:rsidRPr="00BD77D8">
              <w:rPr>
                <w:sz w:val="18"/>
                <w:szCs w:val="18"/>
              </w:rPr>
              <w:t xml:space="preserve">    48,789 </w:t>
            </w:r>
          </w:p>
        </w:tc>
      </w:tr>
      <w:tr w:rsidR="00BD77D8" w:rsidRPr="00BD77D8" w14:paraId="1DC72D13" w14:textId="77777777" w:rsidTr="003057FB">
        <w:trPr>
          <w:trHeight w:val="272"/>
        </w:trPr>
        <w:tc>
          <w:tcPr>
            <w:tcW w:w="0" w:type="auto"/>
            <w:tcBorders>
              <w:top w:val="nil"/>
              <w:left w:val="nil"/>
              <w:bottom w:val="nil"/>
              <w:right w:val="nil"/>
            </w:tcBorders>
            <w:shd w:val="clear" w:color="auto" w:fill="auto"/>
            <w:noWrap/>
            <w:vAlign w:val="center"/>
            <w:hideMark/>
          </w:tcPr>
          <w:p w14:paraId="7A25280A" w14:textId="77777777" w:rsidR="00B9311E" w:rsidRPr="00BD77D8" w:rsidRDefault="00B9311E" w:rsidP="00B9311E">
            <w:pPr>
              <w:spacing w:after="0" w:line="240" w:lineRule="auto"/>
              <w:rPr>
                <w:sz w:val="18"/>
                <w:szCs w:val="18"/>
              </w:rPr>
            </w:pPr>
            <w:r w:rsidRPr="00BD77D8">
              <w:rPr>
                <w:sz w:val="18"/>
                <w:szCs w:val="18"/>
              </w:rPr>
              <w:t xml:space="preserve"> Services provided by other State Agencies under MOU ^ </w:t>
            </w:r>
          </w:p>
        </w:tc>
        <w:tc>
          <w:tcPr>
            <w:tcW w:w="0" w:type="auto"/>
            <w:tcBorders>
              <w:top w:val="nil"/>
              <w:left w:val="nil"/>
              <w:bottom w:val="nil"/>
              <w:right w:val="nil"/>
            </w:tcBorders>
            <w:shd w:val="clear" w:color="auto" w:fill="auto"/>
            <w:vAlign w:val="center"/>
            <w:hideMark/>
          </w:tcPr>
          <w:p w14:paraId="7E7E0429" w14:textId="77777777" w:rsidR="00B9311E" w:rsidRPr="00BD77D8" w:rsidRDefault="00B9311E" w:rsidP="00B9311E">
            <w:pPr>
              <w:spacing w:after="0" w:line="240" w:lineRule="auto"/>
              <w:jc w:val="right"/>
              <w:rPr>
                <w:sz w:val="18"/>
                <w:szCs w:val="18"/>
              </w:rPr>
            </w:pPr>
            <w:r w:rsidRPr="00BD77D8">
              <w:rPr>
                <w:sz w:val="18"/>
                <w:szCs w:val="18"/>
              </w:rPr>
              <w:t xml:space="preserve"> 14,549 </w:t>
            </w:r>
          </w:p>
        </w:tc>
        <w:tc>
          <w:tcPr>
            <w:tcW w:w="0" w:type="auto"/>
            <w:tcBorders>
              <w:top w:val="nil"/>
              <w:left w:val="nil"/>
              <w:bottom w:val="nil"/>
              <w:right w:val="nil"/>
            </w:tcBorders>
            <w:shd w:val="clear" w:color="auto" w:fill="auto"/>
            <w:vAlign w:val="center"/>
            <w:hideMark/>
          </w:tcPr>
          <w:p w14:paraId="437294E7" w14:textId="77777777" w:rsidR="00B9311E" w:rsidRPr="00BD77D8" w:rsidRDefault="00B9311E" w:rsidP="00B9311E">
            <w:pPr>
              <w:spacing w:after="0" w:line="240" w:lineRule="auto"/>
              <w:jc w:val="right"/>
              <w:rPr>
                <w:sz w:val="18"/>
                <w:szCs w:val="18"/>
              </w:rPr>
            </w:pPr>
            <w:r w:rsidRPr="00BD77D8">
              <w:rPr>
                <w:sz w:val="18"/>
                <w:szCs w:val="18"/>
              </w:rPr>
              <w:t xml:space="preserve">    14,554 </w:t>
            </w:r>
          </w:p>
        </w:tc>
      </w:tr>
      <w:tr w:rsidR="00BD77D8" w:rsidRPr="00BD77D8" w14:paraId="0F2521A2" w14:textId="77777777" w:rsidTr="003057FB">
        <w:trPr>
          <w:trHeight w:val="272"/>
        </w:trPr>
        <w:tc>
          <w:tcPr>
            <w:tcW w:w="0" w:type="auto"/>
            <w:tcBorders>
              <w:top w:val="nil"/>
              <w:left w:val="nil"/>
              <w:bottom w:val="nil"/>
              <w:right w:val="nil"/>
            </w:tcBorders>
            <w:shd w:val="clear" w:color="auto" w:fill="auto"/>
            <w:noWrap/>
            <w:vAlign w:val="center"/>
            <w:hideMark/>
          </w:tcPr>
          <w:p w14:paraId="7D18EC7E" w14:textId="77777777" w:rsidR="00B9311E" w:rsidRPr="00BD77D8" w:rsidRDefault="00B9311E" w:rsidP="00B9311E">
            <w:pPr>
              <w:spacing w:after="0" w:line="240" w:lineRule="auto"/>
              <w:rPr>
                <w:sz w:val="18"/>
                <w:szCs w:val="18"/>
              </w:rPr>
            </w:pPr>
            <w:r w:rsidRPr="00BD77D8">
              <w:rPr>
                <w:sz w:val="18"/>
                <w:szCs w:val="18"/>
              </w:rPr>
              <w:t xml:space="preserve"> Property and motor vehicle expenses </w:t>
            </w:r>
          </w:p>
        </w:tc>
        <w:tc>
          <w:tcPr>
            <w:tcW w:w="0" w:type="auto"/>
            <w:tcBorders>
              <w:top w:val="nil"/>
              <w:left w:val="nil"/>
              <w:bottom w:val="nil"/>
              <w:right w:val="nil"/>
            </w:tcBorders>
            <w:shd w:val="clear" w:color="auto" w:fill="auto"/>
            <w:vAlign w:val="center"/>
            <w:hideMark/>
          </w:tcPr>
          <w:p w14:paraId="40359FA0" w14:textId="77777777" w:rsidR="00B9311E" w:rsidRPr="00BD77D8" w:rsidRDefault="00B9311E" w:rsidP="00B9311E">
            <w:pPr>
              <w:spacing w:after="0" w:line="240" w:lineRule="auto"/>
              <w:jc w:val="right"/>
              <w:rPr>
                <w:sz w:val="18"/>
                <w:szCs w:val="18"/>
              </w:rPr>
            </w:pPr>
            <w:r w:rsidRPr="00BD77D8">
              <w:rPr>
                <w:sz w:val="18"/>
                <w:szCs w:val="18"/>
              </w:rPr>
              <w:t xml:space="preserve"> 11,078 </w:t>
            </w:r>
          </w:p>
        </w:tc>
        <w:tc>
          <w:tcPr>
            <w:tcW w:w="0" w:type="auto"/>
            <w:tcBorders>
              <w:top w:val="nil"/>
              <w:left w:val="nil"/>
              <w:bottom w:val="nil"/>
              <w:right w:val="nil"/>
            </w:tcBorders>
            <w:shd w:val="clear" w:color="auto" w:fill="auto"/>
            <w:vAlign w:val="center"/>
            <w:hideMark/>
          </w:tcPr>
          <w:p w14:paraId="64398EB8" w14:textId="77777777" w:rsidR="00B9311E" w:rsidRPr="00BD77D8" w:rsidRDefault="00B9311E" w:rsidP="00B9311E">
            <w:pPr>
              <w:spacing w:after="0" w:line="240" w:lineRule="auto"/>
              <w:jc w:val="right"/>
              <w:rPr>
                <w:sz w:val="18"/>
                <w:szCs w:val="18"/>
              </w:rPr>
            </w:pPr>
            <w:r w:rsidRPr="00BD77D8">
              <w:rPr>
                <w:sz w:val="18"/>
                <w:szCs w:val="18"/>
              </w:rPr>
              <w:t xml:space="preserve">    10,067 </w:t>
            </w:r>
          </w:p>
        </w:tc>
      </w:tr>
      <w:tr w:rsidR="00BD77D8" w:rsidRPr="00BD77D8" w14:paraId="287B5BF7" w14:textId="77777777" w:rsidTr="003057FB">
        <w:trPr>
          <w:trHeight w:val="272"/>
        </w:trPr>
        <w:tc>
          <w:tcPr>
            <w:tcW w:w="0" w:type="auto"/>
            <w:tcBorders>
              <w:top w:val="nil"/>
              <w:left w:val="nil"/>
              <w:bottom w:val="nil"/>
              <w:right w:val="nil"/>
            </w:tcBorders>
            <w:shd w:val="clear" w:color="auto" w:fill="auto"/>
            <w:noWrap/>
            <w:vAlign w:val="center"/>
            <w:hideMark/>
          </w:tcPr>
          <w:p w14:paraId="1E87EFD6" w14:textId="77777777" w:rsidR="00B9311E" w:rsidRPr="00BD77D8" w:rsidRDefault="00B9311E" w:rsidP="00B9311E">
            <w:pPr>
              <w:spacing w:after="0" w:line="240" w:lineRule="auto"/>
              <w:rPr>
                <w:sz w:val="18"/>
                <w:szCs w:val="18"/>
              </w:rPr>
            </w:pPr>
            <w:r w:rsidRPr="00BD77D8">
              <w:rPr>
                <w:sz w:val="18"/>
                <w:szCs w:val="18"/>
              </w:rPr>
              <w:t xml:space="preserve"> Property support, repairs and maintenance costs </w:t>
            </w:r>
          </w:p>
        </w:tc>
        <w:tc>
          <w:tcPr>
            <w:tcW w:w="0" w:type="auto"/>
            <w:tcBorders>
              <w:top w:val="nil"/>
              <w:left w:val="nil"/>
              <w:bottom w:val="nil"/>
              <w:right w:val="nil"/>
            </w:tcBorders>
            <w:shd w:val="clear" w:color="auto" w:fill="auto"/>
            <w:vAlign w:val="center"/>
            <w:hideMark/>
          </w:tcPr>
          <w:p w14:paraId="6008B01E" w14:textId="77777777" w:rsidR="00B9311E" w:rsidRPr="00BD77D8" w:rsidRDefault="00B9311E" w:rsidP="00B9311E">
            <w:pPr>
              <w:spacing w:after="0" w:line="240" w:lineRule="auto"/>
              <w:jc w:val="right"/>
              <w:rPr>
                <w:sz w:val="18"/>
                <w:szCs w:val="18"/>
              </w:rPr>
            </w:pPr>
            <w:r w:rsidRPr="00BD77D8">
              <w:rPr>
                <w:sz w:val="18"/>
                <w:szCs w:val="18"/>
              </w:rPr>
              <w:t xml:space="preserve">    8,880 </w:t>
            </w:r>
          </w:p>
        </w:tc>
        <w:tc>
          <w:tcPr>
            <w:tcW w:w="0" w:type="auto"/>
            <w:tcBorders>
              <w:top w:val="nil"/>
              <w:left w:val="nil"/>
              <w:bottom w:val="nil"/>
              <w:right w:val="nil"/>
            </w:tcBorders>
            <w:shd w:val="clear" w:color="auto" w:fill="auto"/>
            <w:vAlign w:val="center"/>
            <w:hideMark/>
          </w:tcPr>
          <w:p w14:paraId="485964C3" w14:textId="77777777" w:rsidR="00B9311E" w:rsidRPr="00BD77D8" w:rsidRDefault="00B9311E" w:rsidP="00B9311E">
            <w:pPr>
              <w:spacing w:after="0" w:line="240" w:lineRule="auto"/>
              <w:jc w:val="right"/>
              <w:rPr>
                <w:sz w:val="18"/>
                <w:szCs w:val="18"/>
              </w:rPr>
            </w:pPr>
            <w:r w:rsidRPr="00BD77D8">
              <w:rPr>
                <w:sz w:val="18"/>
                <w:szCs w:val="18"/>
              </w:rPr>
              <w:t xml:space="preserve">      8,584 </w:t>
            </w:r>
          </w:p>
        </w:tc>
      </w:tr>
      <w:tr w:rsidR="00BD77D8" w:rsidRPr="00BD77D8" w14:paraId="1C4AD6FD" w14:textId="77777777" w:rsidTr="003057FB">
        <w:trPr>
          <w:trHeight w:val="272"/>
        </w:trPr>
        <w:tc>
          <w:tcPr>
            <w:tcW w:w="0" w:type="auto"/>
            <w:tcBorders>
              <w:top w:val="nil"/>
              <w:left w:val="nil"/>
              <w:bottom w:val="nil"/>
              <w:right w:val="nil"/>
            </w:tcBorders>
            <w:shd w:val="clear" w:color="auto" w:fill="auto"/>
            <w:noWrap/>
            <w:vAlign w:val="center"/>
            <w:hideMark/>
          </w:tcPr>
          <w:p w14:paraId="1F83E561" w14:textId="77777777" w:rsidR="00B9311E" w:rsidRPr="00BD77D8" w:rsidRDefault="00B9311E" w:rsidP="00B9311E">
            <w:pPr>
              <w:spacing w:after="0" w:line="240" w:lineRule="auto"/>
              <w:rPr>
                <w:sz w:val="18"/>
                <w:szCs w:val="18"/>
              </w:rPr>
            </w:pPr>
            <w:r w:rsidRPr="00BD77D8">
              <w:rPr>
                <w:sz w:val="18"/>
                <w:szCs w:val="18"/>
              </w:rPr>
              <w:t xml:space="preserve"> Professional and technical fees </w:t>
            </w:r>
          </w:p>
        </w:tc>
        <w:tc>
          <w:tcPr>
            <w:tcW w:w="0" w:type="auto"/>
            <w:tcBorders>
              <w:top w:val="nil"/>
              <w:left w:val="nil"/>
              <w:bottom w:val="nil"/>
              <w:right w:val="nil"/>
            </w:tcBorders>
            <w:shd w:val="clear" w:color="auto" w:fill="auto"/>
            <w:vAlign w:val="center"/>
            <w:hideMark/>
          </w:tcPr>
          <w:p w14:paraId="22037B21" w14:textId="77777777" w:rsidR="00B9311E" w:rsidRPr="00BD77D8" w:rsidRDefault="00B9311E" w:rsidP="00B9311E">
            <w:pPr>
              <w:spacing w:after="0" w:line="240" w:lineRule="auto"/>
              <w:jc w:val="right"/>
              <w:rPr>
                <w:sz w:val="18"/>
                <w:szCs w:val="18"/>
              </w:rPr>
            </w:pPr>
            <w:r w:rsidRPr="00BD77D8">
              <w:rPr>
                <w:sz w:val="18"/>
                <w:szCs w:val="18"/>
              </w:rPr>
              <w:t xml:space="preserve">    8,872 </w:t>
            </w:r>
          </w:p>
        </w:tc>
        <w:tc>
          <w:tcPr>
            <w:tcW w:w="0" w:type="auto"/>
            <w:tcBorders>
              <w:top w:val="nil"/>
              <w:left w:val="nil"/>
              <w:bottom w:val="nil"/>
              <w:right w:val="nil"/>
            </w:tcBorders>
            <w:shd w:val="clear" w:color="auto" w:fill="auto"/>
            <w:vAlign w:val="center"/>
            <w:hideMark/>
          </w:tcPr>
          <w:p w14:paraId="7A976000" w14:textId="77777777" w:rsidR="00B9311E" w:rsidRPr="00BD77D8" w:rsidRDefault="00B9311E" w:rsidP="00B9311E">
            <w:pPr>
              <w:spacing w:after="0" w:line="240" w:lineRule="auto"/>
              <w:jc w:val="right"/>
              <w:rPr>
                <w:sz w:val="18"/>
                <w:szCs w:val="18"/>
              </w:rPr>
            </w:pPr>
            <w:r w:rsidRPr="00BD77D8">
              <w:rPr>
                <w:sz w:val="18"/>
                <w:szCs w:val="18"/>
              </w:rPr>
              <w:t xml:space="preserve">      9,205 </w:t>
            </w:r>
          </w:p>
        </w:tc>
      </w:tr>
      <w:tr w:rsidR="00BD77D8" w:rsidRPr="00BD77D8" w14:paraId="2AE88A82" w14:textId="77777777" w:rsidTr="003057FB">
        <w:trPr>
          <w:trHeight w:val="272"/>
        </w:trPr>
        <w:tc>
          <w:tcPr>
            <w:tcW w:w="0" w:type="auto"/>
            <w:tcBorders>
              <w:top w:val="nil"/>
              <w:left w:val="nil"/>
              <w:bottom w:val="nil"/>
              <w:right w:val="nil"/>
            </w:tcBorders>
            <w:shd w:val="clear" w:color="auto" w:fill="auto"/>
            <w:noWrap/>
            <w:vAlign w:val="center"/>
            <w:hideMark/>
          </w:tcPr>
          <w:p w14:paraId="7E266C77" w14:textId="77777777" w:rsidR="00B9311E" w:rsidRPr="00BD77D8" w:rsidRDefault="00B9311E" w:rsidP="00B9311E">
            <w:pPr>
              <w:spacing w:after="0" w:line="240" w:lineRule="auto"/>
              <w:rPr>
                <w:sz w:val="18"/>
                <w:szCs w:val="18"/>
              </w:rPr>
            </w:pPr>
            <w:r w:rsidRPr="00BD77D8">
              <w:rPr>
                <w:sz w:val="18"/>
                <w:szCs w:val="18"/>
              </w:rPr>
              <w:t xml:space="preserve"> Other Supplies and Services </w:t>
            </w:r>
          </w:p>
        </w:tc>
        <w:tc>
          <w:tcPr>
            <w:tcW w:w="0" w:type="auto"/>
            <w:tcBorders>
              <w:top w:val="nil"/>
              <w:left w:val="nil"/>
              <w:bottom w:val="nil"/>
              <w:right w:val="nil"/>
            </w:tcBorders>
            <w:shd w:val="clear" w:color="auto" w:fill="auto"/>
            <w:vAlign w:val="center"/>
            <w:hideMark/>
          </w:tcPr>
          <w:p w14:paraId="231C1927" w14:textId="77777777" w:rsidR="00B9311E" w:rsidRPr="00BD77D8" w:rsidRDefault="00B9311E" w:rsidP="00B9311E">
            <w:pPr>
              <w:spacing w:after="0" w:line="240" w:lineRule="auto"/>
              <w:jc w:val="right"/>
              <w:rPr>
                <w:sz w:val="18"/>
                <w:szCs w:val="18"/>
              </w:rPr>
            </w:pPr>
            <w:r w:rsidRPr="00BD77D8">
              <w:rPr>
                <w:sz w:val="18"/>
                <w:szCs w:val="18"/>
              </w:rPr>
              <w:t xml:space="preserve">    6,377 </w:t>
            </w:r>
          </w:p>
        </w:tc>
        <w:tc>
          <w:tcPr>
            <w:tcW w:w="0" w:type="auto"/>
            <w:tcBorders>
              <w:top w:val="nil"/>
              <w:left w:val="nil"/>
              <w:bottom w:val="nil"/>
              <w:right w:val="nil"/>
            </w:tcBorders>
            <w:shd w:val="clear" w:color="auto" w:fill="auto"/>
            <w:vAlign w:val="center"/>
            <w:hideMark/>
          </w:tcPr>
          <w:p w14:paraId="07FDB3D4" w14:textId="77777777" w:rsidR="00B9311E" w:rsidRPr="00BD77D8" w:rsidRDefault="00B9311E" w:rsidP="00B9311E">
            <w:pPr>
              <w:spacing w:after="0" w:line="240" w:lineRule="auto"/>
              <w:jc w:val="right"/>
              <w:rPr>
                <w:sz w:val="18"/>
                <w:szCs w:val="18"/>
              </w:rPr>
            </w:pPr>
            <w:r w:rsidRPr="00BD77D8">
              <w:rPr>
                <w:sz w:val="18"/>
                <w:szCs w:val="18"/>
              </w:rPr>
              <w:t xml:space="preserve">      4,174 </w:t>
            </w:r>
          </w:p>
        </w:tc>
      </w:tr>
      <w:tr w:rsidR="00BD77D8" w:rsidRPr="00BD77D8" w14:paraId="008BC1D0" w14:textId="77777777" w:rsidTr="003057FB">
        <w:trPr>
          <w:trHeight w:val="272"/>
        </w:trPr>
        <w:tc>
          <w:tcPr>
            <w:tcW w:w="0" w:type="auto"/>
            <w:tcBorders>
              <w:top w:val="nil"/>
              <w:left w:val="nil"/>
              <w:bottom w:val="nil"/>
              <w:right w:val="nil"/>
            </w:tcBorders>
            <w:shd w:val="clear" w:color="auto" w:fill="auto"/>
            <w:vAlign w:val="center"/>
            <w:hideMark/>
          </w:tcPr>
          <w:p w14:paraId="3616636F"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0" w:type="auto"/>
            <w:tcBorders>
              <w:top w:val="single" w:sz="4" w:space="0" w:color="auto"/>
              <w:left w:val="nil"/>
              <w:bottom w:val="single" w:sz="4" w:space="0" w:color="auto"/>
              <w:right w:val="nil"/>
            </w:tcBorders>
            <w:shd w:val="clear" w:color="auto" w:fill="auto"/>
            <w:vAlign w:val="center"/>
            <w:hideMark/>
          </w:tcPr>
          <w:p w14:paraId="13F17ABC" w14:textId="77777777" w:rsidR="00B9311E" w:rsidRPr="00BD77D8" w:rsidRDefault="00B9311E" w:rsidP="00B9311E">
            <w:pPr>
              <w:spacing w:after="0" w:line="240" w:lineRule="auto"/>
              <w:jc w:val="right"/>
              <w:rPr>
                <w:b/>
                <w:bCs/>
                <w:sz w:val="18"/>
                <w:szCs w:val="18"/>
              </w:rPr>
            </w:pPr>
            <w:r w:rsidRPr="00BD77D8">
              <w:rPr>
                <w:b/>
                <w:bCs/>
                <w:sz w:val="18"/>
                <w:szCs w:val="18"/>
              </w:rPr>
              <w:t xml:space="preserve"> 67,636 </w:t>
            </w:r>
          </w:p>
        </w:tc>
        <w:tc>
          <w:tcPr>
            <w:tcW w:w="0" w:type="auto"/>
            <w:tcBorders>
              <w:top w:val="single" w:sz="4" w:space="0" w:color="auto"/>
              <w:left w:val="nil"/>
              <w:bottom w:val="single" w:sz="4" w:space="0" w:color="auto"/>
              <w:right w:val="nil"/>
            </w:tcBorders>
            <w:shd w:val="clear" w:color="auto" w:fill="auto"/>
            <w:vAlign w:val="center"/>
            <w:hideMark/>
          </w:tcPr>
          <w:p w14:paraId="31FE36DE" w14:textId="77777777" w:rsidR="00B9311E" w:rsidRPr="00BD77D8" w:rsidRDefault="00B9311E" w:rsidP="00B9311E">
            <w:pPr>
              <w:spacing w:after="0" w:line="240" w:lineRule="auto"/>
              <w:jc w:val="right"/>
              <w:rPr>
                <w:b/>
                <w:bCs/>
                <w:sz w:val="18"/>
                <w:szCs w:val="18"/>
              </w:rPr>
            </w:pPr>
            <w:r w:rsidRPr="00BD77D8">
              <w:rPr>
                <w:b/>
                <w:bCs/>
                <w:sz w:val="18"/>
                <w:szCs w:val="18"/>
              </w:rPr>
              <w:t xml:space="preserve"> 116,539 </w:t>
            </w:r>
          </w:p>
        </w:tc>
      </w:tr>
    </w:tbl>
    <w:p w14:paraId="157E3242" w14:textId="77777777" w:rsidR="00B9311E" w:rsidRPr="00BD77D8" w:rsidRDefault="00B9311E" w:rsidP="00760ABD">
      <w:pPr>
        <w:spacing w:before="240" w:after="0" w:line="206" w:lineRule="exact"/>
        <w:rPr>
          <w:rFonts w:eastAsia="Arial"/>
          <w:sz w:val="16"/>
          <w:szCs w:val="16"/>
          <w:lang w:eastAsia="en-US"/>
        </w:rPr>
      </w:pPr>
      <w:r w:rsidRPr="00BD77D8">
        <w:rPr>
          <w:rFonts w:eastAsia="Arial"/>
          <w:sz w:val="18"/>
          <w:szCs w:val="18"/>
          <w:lang w:eastAsia="en-US"/>
        </w:rPr>
        <w:t>*</w:t>
      </w:r>
      <w:r w:rsidRPr="00BD77D8">
        <w:rPr>
          <w:rFonts w:eastAsia="Arial"/>
          <w:sz w:val="16"/>
          <w:szCs w:val="16"/>
          <w:lang w:eastAsia="en-US"/>
        </w:rPr>
        <w:t xml:space="preserve">Aboriginal and Torres Strait Islander Partnerships (ATSIP) services comparative amounts are from 13 November 2020 to 30 June 2021 due to the 2020 Machinery-of-Government changes. </w:t>
      </w:r>
      <w:r w:rsidRPr="00BD77D8">
        <w:rPr>
          <w:rFonts w:eastAsia="Arial"/>
          <w:sz w:val="18"/>
          <w:szCs w:val="18"/>
          <w:lang w:eastAsia="en-US"/>
        </w:rPr>
        <w:t xml:space="preserve"> </w:t>
      </w:r>
      <w:r w:rsidRPr="00BD77D8">
        <w:rPr>
          <w:rFonts w:eastAsia="Arial"/>
          <w:sz w:val="16"/>
          <w:szCs w:val="16"/>
          <w:lang w:eastAsia="en-US"/>
        </w:rPr>
        <w:t>Community Services transactions are from 1 July 2020 to 30 November 2020 due to the Machinery-of-Government changes.</w:t>
      </w:r>
    </w:p>
    <w:p w14:paraId="255ADBF1" w14:textId="77777777" w:rsidR="00B9311E" w:rsidRPr="00BD77D8" w:rsidRDefault="00B9311E" w:rsidP="00760ABD">
      <w:pPr>
        <w:spacing w:after="240" w:line="206" w:lineRule="exact"/>
        <w:rPr>
          <w:rFonts w:eastAsia="Arial"/>
          <w:sz w:val="16"/>
          <w:szCs w:val="16"/>
          <w:lang w:eastAsia="en-US"/>
        </w:rPr>
      </w:pPr>
      <w:r w:rsidRPr="00BD77D8">
        <w:rPr>
          <w:rFonts w:eastAsia="Arial"/>
          <w:sz w:val="16"/>
          <w:szCs w:val="16"/>
          <w:lang w:eastAsia="en-US"/>
        </w:rPr>
        <w:t>^ Services provided by other State Agencies under MOU (refer to Note F2).</w:t>
      </w:r>
    </w:p>
    <w:p w14:paraId="0AB04D4E" w14:textId="77777777" w:rsidR="00B9311E" w:rsidRPr="00BD77D8" w:rsidRDefault="00B9311E" w:rsidP="00760ABD">
      <w:pPr>
        <w:spacing w:after="240" w:line="180" w:lineRule="atLeast"/>
        <w:textAlignment w:val="baseline"/>
        <w:rPr>
          <w:rFonts w:eastAsia="Arial"/>
          <w:b/>
          <w:bCs/>
          <w:spacing w:val="-1"/>
          <w:sz w:val="18"/>
          <w:szCs w:val="18"/>
          <w:lang w:eastAsia="en-US"/>
        </w:rPr>
      </w:pPr>
      <w:r w:rsidRPr="00BD77D8">
        <w:rPr>
          <w:rFonts w:eastAsia="Arial"/>
          <w:b/>
          <w:bCs/>
          <w:sz w:val="18"/>
          <w:szCs w:val="18"/>
          <w:lang w:eastAsia="en-US"/>
        </w:rPr>
        <w:t>Accounting policy - Property and Motor Vehicle Expenses</w:t>
      </w:r>
    </w:p>
    <w:p w14:paraId="12DB4F58" w14:textId="77777777" w:rsidR="00B9311E" w:rsidRPr="00BD77D8" w:rsidRDefault="00B9311E" w:rsidP="00760ABD">
      <w:pPr>
        <w:spacing w:after="240" w:line="180" w:lineRule="atLeast"/>
        <w:textAlignment w:val="baseline"/>
        <w:rPr>
          <w:rFonts w:eastAsia="Arial"/>
          <w:b/>
          <w:bCs/>
          <w:spacing w:val="-1"/>
          <w:sz w:val="18"/>
          <w:szCs w:val="18"/>
          <w:lang w:eastAsia="en-US"/>
        </w:rPr>
      </w:pPr>
      <w:r w:rsidRPr="00BD77D8">
        <w:rPr>
          <w:rFonts w:eastAsia="Arial"/>
          <w:spacing w:val="-1"/>
          <w:sz w:val="18"/>
          <w:szCs w:val="18"/>
          <w:lang w:eastAsia="en-US"/>
        </w:rPr>
        <w:t>The majority of the property and motor vehicle expenses relate to arrangements where the Department of Energy and Public Works provides the department with access to office accommodation and motor vehicles under government-wide frameworks. These arrangements are categorised as procurement of services rather than as leases because the Department of Energy and Public Works has substantive substitution rights over the assets.</w:t>
      </w:r>
    </w:p>
    <w:p w14:paraId="7549832C" w14:textId="77777777" w:rsidR="00B9311E" w:rsidRPr="00BD77D8" w:rsidRDefault="00B9311E" w:rsidP="00760ABD">
      <w:pPr>
        <w:spacing w:after="240" w:line="180" w:lineRule="atLeast"/>
        <w:textAlignment w:val="baseline"/>
        <w:rPr>
          <w:rFonts w:eastAsia="Arial"/>
          <w:b/>
          <w:bCs/>
          <w:sz w:val="18"/>
          <w:szCs w:val="18"/>
          <w:lang w:eastAsia="en-US"/>
        </w:rPr>
      </w:pPr>
      <w:r w:rsidRPr="00BD77D8">
        <w:rPr>
          <w:rFonts w:eastAsia="Arial"/>
          <w:b/>
          <w:bCs/>
          <w:sz w:val="18"/>
          <w:szCs w:val="18"/>
          <w:lang w:eastAsia="en-US"/>
        </w:rPr>
        <w:t>Accounting policy - Distinction between Service Procurement and Grants</w:t>
      </w:r>
    </w:p>
    <w:p w14:paraId="7429CD2C" w14:textId="77777777" w:rsidR="00B9311E" w:rsidRPr="00BD77D8" w:rsidRDefault="00B9311E" w:rsidP="00B9311E">
      <w:pPr>
        <w:spacing w:after="0" w:line="180" w:lineRule="atLeast"/>
        <w:rPr>
          <w:rFonts w:eastAsia="Arial"/>
          <w:sz w:val="18"/>
          <w:szCs w:val="18"/>
          <w:lang w:eastAsia="en-US"/>
        </w:rPr>
      </w:pPr>
      <w:r w:rsidRPr="00BD77D8">
        <w:rPr>
          <w:rFonts w:eastAsia="Arial"/>
          <w:sz w:val="18"/>
          <w:szCs w:val="18"/>
          <w:lang w:eastAsia="en-US"/>
        </w:rPr>
        <w:t>For a transaction to be classified as service procurement, the value of goods or services received by the department must be of approximately equal value to the value of the consideration exchanged for those goods or services. Where this is not the substance of the arrangement, the transaction is classified as a grant (refer to Note B2-3).</w:t>
      </w:r>
    </w:p>
    <w:p w14:paraId="4E5ED604" w14:textId="25F96329" w:rsidR="00F35846" w:rsidRPr="00BD77D8" w:rsidRDefault="00F35846" w:rsidP="00C3515C">
      <w:pPr>
        <w:spacing w:before="1080" w:after="0" w:line="180" w:lineRule="atLeast"/>
        <w:rPr>
          <w:rFonts w:eastAsia="Arial"/>
          <w:sz w:val="18"/>
          <w:szCs w:val="18"/>
          <w:lang w:eastAsia="en-US"/>
        </w:rPr>
      </w:pP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t>Page 18 of 45</w:t>
      </w:r>
    </w:p>
    <w:p w14:paraId="70F3B706" w14:textId="0DA08ADF" w:rsidR="00F35846" w:rsidRPr="00BD77D8" w:rsidRDefault="00F35846" w:rsidP="00B9311E">
      <w:pPr>
        <w:spacing w:after="0" w:line="180" w:lineRule="atLeast"/>
        <w:rPr>
          <w:rFonts w:eastAsia="PMingLiU"/>
          <w:sz w:val="18"/>
          <w:szCs w:val="18"/>
          <w:lang w:eastAsia="en-US"/>
        </w:rPr>
        <w:sectPr w:rsidR="00F35846" w:rsidRPr="00BD77D8" w:rsidSect="000160CF">
          <w:type w:val="nextColumn"/>
          <w:pgSz w:w="11909" w:h="16838"/>
          <w:pgMar w:top="794" w:right="794" w:bottom="794" w:left="794" w:header="720" w:footer="720" w:gutter="0"/>
          <w:cols w:space="720"/>
        </w:sectPr>
      </w:pP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p>
    <w:p w14:paraId="50C14C7A"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229FC25C"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65EFF552"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41A349F1"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4F1029D5" w14:textId="77777777" w:rsidR="00B9311E" w:rsidRPr="00BD77D8" w:rsidRDefault="00B9311E" w:rsidP="00E47A6E">
      <w:pPr>
        <w:spacing w:before="200" w:line="180" w:lineRule="atLeast"/>
        <w:rPr>
          <w:rFonts w:eastAsia="Arial"/>
          <w:b/>
          <w:bCs/>
          <w:sz w:val="22"/>
          <w:szCs w:val="22"/>
          <w:lang w:eastAsia="en-US"/>
        </w:rPr>
      </w:pPr>
      <w:r w:rsidRPr="00BD77D8">
        <w:rPr>
          <w:rFonts w:eastAsia="Arial"/>
          <w:b/>
          <w:bCs/>
          <w:sz w:val="22"/>
          <w:szCs w:val="22"/>
          <w:lang w:eastAsia="en-US"/>
        </w:rPr>
        <w:t>B2 – Expenses (continued)</w:t>
      </w:r>
    </w:p>
    <w:p w14:paraId="3BC4F2E6" w14:textId="77777777" w:rsidR="00B9311E" w:rsidRPr="00BD77D8" w:rsidRDefault="00B9311E" w:rsidP="00B9311E">
      <w:pPr>
        <w:spacing w:after="0" w:line="206" w:lineRule="exact"/>
        <w:textAlignment w:val="baseline"/>
        <w:rPr>
          <w:rFonts w:eastAsia="PMingLiU"/>
          <w:b/>
          <w:bCs/>
          <w:sz w:val="18"/>
          <w:szCs w:val="22"/>
          <w:lang w:val="en-US" w:eastAsia="en-US"/>
        </w:rPr>
      </w:pPr>
      <w:r w:rsidRPr="00BD77D8">
        <w:rPr>
          <w:rFonts w:eastAsia="PMingLiU"/>
          <w:b/>
          <w:bCs/>
          <w:sz w:val="18"/>
          <w:szCs w:val="22"/>
          <w:lang w:eastAsia="en-US"/>
        </w:rPr>
        <w:t>B2-3 Grants and Subsidies ^</w:t>
      </w:r>
    </w:p>
    <w:tbl>
      <w:tblPr>
        <w:tblW w:w="10301" w:type="dxa"/>
        <w:tblCellMar>
          <w:left w:w="0" w:type="dxa"/>
          <w:right w:w="0" w:type="dxa"/>
        </w:tblCellMar>
        <w:tblLook w:val="04A0" w:firstRow="1" w:lastRow="0" w:firstColumn="1" w:lastColumn="0" w:noHBand="0" w:noVBand="1"/>
      </w:tblPr>
      <w:tblGrid>
        <w:gridCol w:w="8190"/>
        <w:gridCol w:w="1102"/>
        <w:gridCol w:w="1009"/>
      </w:tblGrid>
      <w:tr w:rsidR="00BD77D8" w:rsidRPr="00BD77D8" w14:paraId="7C3CACFE" w14:textId="77777777" w:rsidTr="003057FB">
        <w:trPr>
          <w:trHeight w:val="287"/>
        </w:trPr>
        <w:tc>
          <w:tcPr>
            <w:tcW w:w="8222" w:type="dxa"/>
            <w:tcBorders>
              <w:top w:val="nil"/>
              <w:left w:val="nil"/>
              <w:bottom w:val="nil"/>
              <w:right w:val="nil"/>
            </w:tcBorders>
            <w:shd w:val="clear" w:color="auto" w:fill="auto"/>
            <w:vAlign w:val="center"/>
            <w:hideMark/>
          </w:tcPr>
          <w:p w14:paraId="0DA74177" w14:textId="77777777" w:rsidR="00B9311E" w:rsidRPr="00BD77D8" w:rsidRDefault="00B9311E" w:rsidP="00B9311E">
            <w:pPr>
              <w:spacing w:after="0" w:line="240" w:lineRule="auto"/>
              <w:rPr>
                <w:rFonts w:ascii="Times New Roman" w:hAnsi="Times New Roman" w:cs="Times New Roman"/>
                <w:sz w:val="24"/>
                <w:szCs w:val="24"/>
              </w:rPr>
            </w:pPr>
          </w:p>
        </w:tc>
        <w:tc>
          <w:tcPr>
            <w:tcW w:w="1086" w:type="dxa"/>
            <w:tcBorders>
              <w:top w:val="nil"/>
              <w:left w:val="nil"/>
              <w:bottom w:val="nil"/>
              <w:right w:val="nil"/>
            </w:tcBorders>
            <w:shd w:val="clear" w:color="auto" w:fill="auto"/>
            <w:noWrap/>
            <w:vAlign w:val="bottom"/>
            <w:hideMark/>
          </w:tcPr>
          <w:p w14:paraId="648738E3"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993" w:type="dxa"/>
            <w:tcBorders>
              <w:top w:val="nil"/>
              <w:left w:val="nil"/>
              <w:bottom w:val="nil"/>
              <w:right w:val="nil"/>
            </w:tcBorders>
            <w:shd w:val="clear" w:color="auto" w:fill="auto"/>
            <w:noWrap/>
            <w:vAlign w:val="bottom"/>
            <w:hideMark/>
          </w:tcPr>
          <w:p w14:paraId="329E4152"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3371EE77" w14:textId="77777777" w:rsidTr="003057FB">
        <w:trPr>
          <w:trHeight w:val="287"/>
        </w:trPr>
        <w:tc>
          <w:tcPr>
            <w:tcW w:w="8222" w:type="dxa"/>
            <w:tcBorders>
              <w:top w:val="nil"/>
              <w:left w:val="nil"/>
              <w:bottom w:val="nil"/>
              <w:right w:val="nil"/>
            </w:tcBorders>
            <w:shd w:val="clear" w:color="auto" w:fill="auto"/>
            <w:vAlign w:val="center"/>
            <w:hideMark/>
          </w:tcPr>
          <w:p w14:paraId="3EC5940B" w14:textId="77777777" w:rsidR="00B9311E" w:rsidRPr="00BD77D8" w:rsidRDefault="00B9311E" w:rsidP="00B9311E">
            <w:pPr>
              <w:spacing w:after="0" w:line="240" w:lineRule="auto"/>
              <w:jc w:val="right"/>
              <w:rPr>
                <w:sz w:val="18"/>
                <w:szCs w:val="18"/>
              </w:rPr>
            </w:pPr>
          </w:p>
        </w:tc>
        <w:tc>
          <w:tcPr>
            <w:tcW w:w="1086" w:type="dxa"/>
            <w:tcBorders>
              <w:top w:val="nil"/>
              <w:left w:val="nil"/>
              <w:bottom w:val="single" w:sz="4" w:space="0" w:color="auto"/>
              <w:right w:val="nil"/>
            </w:tcBorders>
            <w:shd w:val="clear" w:color="auto" w:fill="auto"/>
            <w:noWrap/>
            <w:vAlign w:val="bottom"/>
            <w:hideMark/>
          </w:tcPr>
          <w:p w14:paraId="3CCD48EE" w14:textId="77777777" w:rsidR="00B9311E" w:rsidRPr="00BD77D8" w:rsidRDefault="00B9311E" w:rsidP="00B9311E">
            <w:pPr>
              <w:spacing w:after="0" w:line="240" w:lineRule="auto"/>
              <w:jc w:val="right"/>
              <w:rPr>
                <w:b/>
                <w:bCs/>
                <w:sz w:val="18"/>
                <w:szCs w:val="18"/>
              </w:rPr>
            </w:pPr>
            <w:r w:rsidRPr="00BD77D8">
              <w:rPr>
                <w:b/>
                <w:bCs/>
                <w:sz w:val="18"/>
                <w:szCs w:val="18"/>
              </w:rPr>
              <w:t>$'000</w:t>
            </w:r>
          </w:p>
        </w:tc>
        <w:tc>
          <w:tcPr>
            <w:tcW w:w="993" w:type="dxa"/>
            <w:tcBorders>
              <w:top w:val="nil"/>
              <w:left w:val="nil"/>
              <w:bottom w:val="single" w:sz="4" w:space="0" w:color="auto"/>
              <w:right w:val="nil"/>
            </w:tcBorders>
            <w:shd w:val="clear" w:color="auto" w:fill="auto"/>
            <w:noWrap/>
            <w:vAlign w:val="bottom"/>
            <w:hideMark/>
          </w:tcPr>
          <w:p w14:paraId="2A73B19F" w14:textId="77777777" w:rsidR="00B9311E" w:rsidRPr="00BD77D8" w:rsidRDefault="00B9311E" w:rsidP="00B9311E">
            <w:pPr>
              <w:spacing w:after="0" w:line="240" w:lineRule="auto"/>
              <w:jc w:val="right"/>
              <w:rPr>
                <w:b/>
                <w:bCs/>
                <w:sz w:val="18"/>
                <w:szCs w:val="18"/>
              </w:rPr>
            </w:pPr>
            <w:r w:rsidRPr="00BD77D8">
              <w:rPr>
                <w:b/>
                <w:bCs/>
                <w:sz w:val="18"/>
                <w:szCs w:val="18"/>
              </w:rPr>
              <w:t>$'000</w:t>
            </w:r>
          </w:p>
        </w:tc>
      </w:tr>
      <w:tr w:rsidR="00BD77D8" w:rsidRPr="00BD77D8" w14:paraId="5AAD92A5" w14:textId="77777777" w:rsidTr="003057FB">
        <w:trPr>
          <w:trHeight w:val="287"/>
        </w:trPr>
        <w:tc>
          <w:tcPr>
            <w:tcW w:w="8222" w:type="dxa"/>
            <w:tcBorders>
              <w:top w:val="nil"/>
              <w:left w:val="nil"/>
              <w:bottom w:val="nil"/>
              <w:right w:val="nil"/>
            </w:tcBorders>
            <w:shd w:val="clear" w:color="auto" w:fill="auto"/>
            <w:vAlign w:val="center"/>
            <w:hideMark/>
          </w:tcPr>
          <w:p w14:paraId="34D60C92" w14:textId="77777777" w:rsidR="00B9311E" w:rsidRPr="00BD77D8" w:rsidRDefault="00B9311E" w:rsidP="00B9311E">
            <w:pPr>
              <w:spacing w:after="0" w:line="240" w:lineRule="auto"/>
              <w:rPr>
                <w:sz w:val="18"/>
                <w:szCs w:val="18"/>
              </w:rPr>
            </w:pPr>
            <w:r w:rsidRPr="00BD77D8">
              <w:rPr>
                <w:sz w:val="18"/>
                <w:szCs w:val="18"/>
              </w:rPr>
              <w:t xml:space="preserve"> Disability Services </w:t>
            </w:r>
          </w:p>
        </w:tc>
        <w:tc>
          <w:tcPr>
            <w:tcW w:w="1086" w:type="dxa"/>
            <w:tcBorders>
              <w:top w:val="nil"/>
              <w:left w:val="nil"/>
              <w:bottom w:val="nil"/>
              <w:right w:val="nil"/>
            </w:tcBorders>
            <w:shd w:val="clear" w:color="auto" w:fill="auto"/>
            <w:noWrap/>
            <w:vAlign w:val="bottom"/>
            <w:hideMark/>
          </w:tcPr>
          <w:p w14:paraId="12ACFF81" w14:textId="77777777" w:rsidR="00B9311E" w:rsidRPr="00BD77D8" w:rsidRDefault="00B9311E" w:rsidP="00B9311E">
            <w:pPr>
              <w:spacing w:after="0" w:line="240" w:lineRule="auto"/>
              <w:jc w:val="right"/>
              <w:rPr>
                <w:sz w:val="18"/>
                <w:szCs w:val="18"/>
              </w:rPr>
            </w:pPr>
            <w:r w:rsidRPr="00BD77D8">
              <w:rPr>
                <w:sz w:val="18"/>
                <w:szCs w:val="18"/>
              </w:rPr>
              <w:t>4,541</w:t>
            </w:r>
          </w:p>
        </w:tc>
        <w:tc>
          <w:tcPr>
            <w:tcW w:w="993" w:type="dxa"/>
            <w:tcBorders>
              <w:top w:val="nil"/>
              <w:left w:val="nil"/>
              <w:bottom w:val="nil"/>
              <w:right w:val="nil"/>
            </w:tcBorders>
            <w:shd w:val="clear" w:color="auto" w:fill="auto"/>
            <w:noWrap/>
            <w:vAlign w:val="bottom"/>
            <w:hideMark/>
          </w:tcPr>
          <w:p w14:paraId="11D2AFC3" w14:textId="77777777" w:rsidR="00B9311E" w:rsidRPr="00BD77D8" w:rsidRDefault="00B9311E" w:rsidP="00B9311E">
            <w:pPr>
              <w:spacing w:after="0" w:line="240" w:lineRule="auto"/>
              <w:jc w:val="right"/>
              <w:rPr>
                <w:sz w:val="18"/>
                <w:szCs w:val="18"/>
              </w:rPr>
            </w:pPr>
            <w:r w:rsidRPr="00BD77D8">
              <w:rPr>
                <w:sz w:val="18"/>
                <w:szCs w:val="18"/>
              </w:rPr>
              <w:t>4,099</w:t>
            </w:r>
          </w:p>
        </w:tc>
      </w:tr>
      <w:tr w:rsidR="00BD77D8" w:rsidRPr="00BD77D8" w14:paraId="4EEBE407" w14:textId="77777777" w:rsidTr="003057FB">
        <w:trPr>
          <w:trHeight w:val="287"/>
        </w:trPr>
        <w:tc>
          <w:tcPr>
            <w:tcW w:w="8222" w:type="dxa"/>
            <w:tcBorders>
              <w:top w:val="nil"/>
              <w:left w:val="nil"/>
              <w:bottom w:val="nil"/>
              <w:right w:val="nil"/>
            </w:tcBorders>
            <w:shd w:val="clear" w:color="auto" w:fill="auto"/>
            <w:vAlign w:val="center"/>
            <w:hideMark/>
          </w:tcPr>
          <w:p w14:paraId="4FDFB6BB" w14:textId="77777777" w:rsidR="00B9311E" w:rsidRPr="00BD77D8" w:rsidRDefault="00B9311E" w:rsidP="00B9311E">
            <w:pPr>
              <w:spacing w:after="0" w:line="240" w:lineRule="auto"/>
              <w:rPr>
                <w:sz w:val="18"/>
                <w:szCs w:val="18"/>
              </w:rPr>
            </w:pPr>
            <w:r w:rsidRPr="00BD77D8">
              <w:rPr>
                <w:sz w:val="18"/>
                <w:szCs w:val="18"/>
              </w:rPr>
              <w:t xml:space="preserve"> Seniors Services </w:t>
            </w:r>
          </w:p>
        </w:tc>
        <w:tc>
          <w:tcPr>
            <w:tcW w:w="1086" w:type="dxa"/>
            <w:tcBorders>
              <w:top w:val="nil"/>
              <w:left w:val="nil"/>
              <w:bottom w:val="nil"/>
              <w:right w:val="nil"/>
            </w:tcBorders>
            <w:shd w:val="clear" w:color="auto" w:fill="auto"/>
            <w:vAlign w:val="center"/>
            <w:hideMark/>
          </w:tcPr>
          <w:p w14:paraId="54720843" w14:textId="77777777" w:rsidR="00B9311E" w:rsidRPr="00BD77D8" w:rsidRDefault="00B9311E" w:rsidP="00B9311E">
            <w:pPr>
              <w:spacing w:after="0" w:line="240" w:lineRule="auto"/>
              <w:jc w:val="right"/>
              <w:rPr>
                <w:sz w:val="18"/>
                <w:szCs w:val="18"/>
              </w:rPr>
            </w:pPr>
            <w:r w:rsidRPr="00BD77D8">
              <w:rPr>
                <w:sz w:val="18"/>
                <w:szCs w:val="18"/>
              </w:rPr>
              <w:t xml:space="preserve">              223 </w:t>
            </w:r>
          </w:p>
        </w:tc>
        <w:tc>
          <w:tcPr>
            <w:tcW w:w="993" w:type="dxa"/>
            <w:tcBorders>
              <w:top w:val="nil"/>
              <w:left w:val="nil"/>
              <w:bottom w:val="nil"/>
              <w:right w:val="nil"/>
            </w:tcBorders>
            <w:shd w:val="clear" w:color="auto" w:fill="auto"/>
            <w:vAlign w:val="center"/>
            <w:hideMark/>
          </w:tcPr>
          <w:p w14:paraId="35B3D47F" w14:textId="77777777" w:rsidR="00B9311E" w:rsidRPr="00BD77D8" w:rsidRDefault="00B9311E" w:rsidP="00B9311E">
            <w:pPr>
              <w:spacing w:after="0" w:line="240" w:lineRule="auto"/>
              <w:jc w:val="right"/>
              <w:rPr>
                <w:sz w:val="18"/>
                <w:szCs w:val="18"/>
              </w:rPr>
            </w:pPr>
            <w:r w:rsidRPr="00BD77D8">
              <w:rPr>
                <w:sz w:val="18"/>
                <w:szCs w:val="18"/>
              </w:rPr>
              <w:t xml:space="preserve">       520 </w:t>
            </w:r>
          </w:p>
        </w:tc>
      </w:tr>
      <w:tr w:rsidR="00BD77D8" w:rsidRPr="00BD77D8" w14:paraId="785CC634" w14:textId="77777777" w:rsidTr="003057FB">
        <w:trPr>
          <w:trHeight w:val="287"/>
        </w:trPr>
        <w:tc>
          <w:tcPr>
            <w:tcW w:w="8222" w:type="dxa"/>
            <w:tcBorders>
              <w:top w:val="nil"/>
              <w:left w:val="nil"/>
              <w:bottom w:val="nil"/>
              <w:right w:val="nil"/>
            </w:tcBorders>
            <w:shd w:val="clear" w:color="auto" w:fill="auto"/>
            <w:vAlign w:val="center"/>
            <w:hideMark/>
          </w:tcPr>
          <w:p w14:paraId="4A97BCDB" w14:textId="77777777" w:rsidR="00B9311E" w:rsidRPr="00BD77D8" w:rsidRDefault="00B9311E" w:rsidP="00B9311E">
            <w:pPr>
              <w:spacing w:after="0" w:line="240" w:lineRule="auto"/>
              <w:rPr>
                <w:sz w:val="18"/>
                <w:szCs w:val="18"/>
              </w:rPr>
            </w:pPr>
            <w:r w:rsidRPr="00BD77D8">
              <w:rPr>
                <w:sz w:val="18"/>
                <w:szCs w:val="18"/>
              </w:rPr>
              <w:t xml:space="preserve"> Aboriginal and Torres Strait Islander Partnership Services * </w:t>
            </w:r>
          </w:p>
        </w:tc>
        <w:tc>
          <w:tcPr>
            <w:tcW w:w="1086" w:type="dxa"/>
            <w:tcBorders>
              <w:top w:val="nil"/>
              <w:left w:val="nil"/>
              <w:bottom w:val="nil"/>
              <w:right w:val="nil"/>
            </w:tcBorders>
            <w:shd w:val="clear" w:color="auto" w:fill="auto"/>
            <w:vAlign w:val="center"/>
            <w:hideMark/>
          </w:tcPr>
          <w:p w14:paraId="3A34EF02" w14:textId="77777777" w:rsidR="00B9311E" w:rsidRPr="00BD77D8" w:rsidRDefault="00B9311E" w:rsidP="00B9311E">
            <w:pPr>
              <w:spacing w:after="0" w:line="240" w:lineRule="auto"/>
              <w:jc w:val="right"/>
              <w:rPr>
                <w:sz w:val="18"/>
                <w:szCs w:val="18"/>
              </w:rPr>
            </w:pPr>
            <w:r w:rsidRPr="00BD77D8">
              <w:rPr>
                <w:sz w:val="18"/>
                <w:szCs w:val="18"/>
              </w:rPr>
              <w:t xml:space="preserve">         11,099 </w:t>
            </w:r>
          </w:p>
        </w:tc>
        <w:tc>
          <w:tcPr>
            <w:tcW w:w="993" w:type="dxa"/>
            <w:tcBorders>
              <w:top w:val="nil"/>
              <w:left w:val="nil"/>
              <w:bottom w:val="nil"/>
              <w:right w:val="nil"/>
            </w:tcBorders>
            <w:shd w:val="clear" w:color="auto" w:fill="auto"/>
            <w:vAlign w:val="center"/>
            <w:hideMark/>
          </w:tcPr>
          <w:p w14:paraId="1BC1E437" w14:textId="77777777" w:rsidR="00B9311E" w:rsidRPr="00BD77D8" w:rsidRDefault="00B9311E" w:rsidP="00B9311E">
            <w:pPr>
              <w:spacing w:after="0" w:line="240" w:lineRule="auto"/>
              <w:jc w:val="right"/>
              <w:rPr>
                <w:sz w:val="18"/>
                <w:szCs w:val="18"/>
              </w:rPr>
            </w:pPr>
            <w:r w:rsidRPr="00BD77D8">
              <w:rPr>
                <w:sz w:val="18"/>
                <w:szCs w:val="18"/>
              </w:rPr>
              <w:t xml:space="preserve">    2,922 </w:t>
            </w:r>
          </w:p>
        </w:tc>
      </w:tr>
      <w:tr w:rsidR="00BD77D8" w:rsidRPr="00BD77D8" w14:paraId="5AEBFFE8" w14:textId="77777777" w:rsidTr="003057FB">
        <w:trPr>
          <w:trHeight w:val="287"/>
        </w:trPr>
        <w:tc>
          <w:tcPr>
            <w:tcW w:w="8222" w:type="dxa"/>
            <w:tcBorders>
              <w:top w:val="nil"/>
              <w:left w:val="nil"/>
              <w:bottom w:val="nil"/>
              <w:right w:val="nil"/>
            </w:tcBorders>
            <w:shd w:val="clear" w:color="auto" w:fill="auto"/>
            <w:vAlign w:val="center"/>
            <w:hideMark/>
          </w:tcPr>
          <w:p w14:paraId="1A2CA9E3" w14:textId="77777777" w:rsidR="00B9311E" w:rsidRPr="00BD77D8" w:rsidRDefault="00B9311E" w:rsidP="00B9311E">
            <w:pPr>
              <w:spacing w:after="0" w:line="240" w:lineRule="auto"/>
              <w:rPr>
                <w:sz w:val="18"/>
                <w:szCs w:val="18"/>
              </w:rPr>
            </w:pPr>
            <w:r w:rsidRPr="00BD77D8">
              <w:rPr>
                <w:sz w:val="18"/>
                <w:szCs w:val="18"/>
              </w:rPr>
              <w:t xml:space="preserve"> Community Services * </w:t>
            </w:r>
          </w:p>
        </w:tc>
        <w:tc>
          <w:tcPr>
            <w:tcW w:w="1086" w:type="dxa"/>
            <w:tcBorders>
              <w:top w:val="nil"/>
              <w:left w:val="nil"/>
              <w:bottom w:val="nil"/>
              <w:right w:val="nil"/>
            </w:tcBorders>
            <w:shd w:val="clear" w:color="auto" w:fill="auto"/>
            <w:vAlign w:val="center"/>
            <w:hideMark/>
          </w:tcPr>
          <w:p w14:paraId="3E7E19A5"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3" w:type="dxa"/>
            <w:tcBorders>
              <w:top w:val="nil"/>
              <w:left w:val="nil"/>
              <w:bottom w:val="nil"/>
              <w:right w:val="nil"/>
            </w:tcBorders>
            <w:shd w:val="clear" w:color="auto" w:fill="auto"/>
            <w:vAlign w:val="center"/>
            <w:hideMark/>
          </w:tcPr>
          <w:p w14:paraId="06AAA0EB" w14:textId="77777777" w:rsidR="00B9311E" w:rsidRPr="00BD77D8" w:rsidRDefault="00B9311E" w:rsidP="00B9311E">
            <w:pPr>
              <w:spacing w:after="0" w:line="240" w:lineRule="auto"/>
              <w:jc w:val="right"/>
              <w:rPr>
                <w:sz w:val="18"/>
                <w:szCs w:val="18"/>
              </w:rPr>
            </w:pPr>
            <w:r w:rsidRPr="00BD77D8">
              <w:rPr>
                <w:sz w:val="18"/>
                <w:szCs w:val="18"/>
              </w:rPr>
              <w:t xml:space="preserve">    9,221 </w:t>
            </w:r>
          </w:p>
        </w:tc>
      </w:tr>
      <w:tr w:rsidR="00BD77D8" w:rsidRPr="00BD77D8" w14:paraId="2B4BA523" w14:textId="77777777" w:rsidTr="003057FB">
        <w:trPr>
          <w:trHeight w:val="302"/>
        </w:trPr>
        <w:tc>
          <w:tcPr>
            <w:tcW w:w="8222" w:type="dxa"/>
            <w:tcBorders>
              <w:top w:val="nil"/>
              <w:left w:val="nil"/>
              <w:bottom w:val="nil"/>
              <w:right w:val="nil"/>
            </w:tcBorders>
            <w:shd w:val="clear" w:color="auto" w:fill="auto"/>
            <w:vAlign w:val="center"/>
            <w:hideMark/>
          </w:tcPr>
          <w:p w14:paraId="2AC54B63" w14:textId="77777777" w:rsidR="00B9311E" w:rsidRPr="00BD77D8" w:rsidRDefault="00B9311E" w:rsidP="00B9311E">
            <w:pPr>
              <w:spacing w:after="0" w:line="240" w:lineRule="auto"/>
              <w:rPr>
                <w:sz w:val="18"/>
                <w:szCs w:val="18"/>
              </w:rPr>
            </w:pPr>
            <w:r w:rsidRPr="00BD77D8">
              <w:rPr>
                <w:sz w:val="18"/>
                <w:szCs w:val="18"/>
              </w:rPr>
              <w:t xml:space="preserve"> Donations and gifts </w:t>
            </w:r>
          </w:p>
        </w:tc>
        <w:tc>
          <w:tcPr>
            <w:tcW w:w="1086" w:type="dxa"/>
            <w:tcBorders>
              <w:top w:val="nil"/>
              <w:left w:val="nil"/>
              <w:bottom w:val="nil"/>
              <w:right w:val="nil"/>
            </w:tcBorders>
            <w:shd w:val="clear" w:color="auto" w:fill="auto"/>
            <w:vAlign w:val="center"/>
            <w:hideMark/>
          </w:tcPr>
          <w:p w14:paraId="6DE9E237"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3" w:type="dxa"/>
            <w:tcBorders>
              <w:top w:val="nil"/>
              <w:left w:val="nil"/>
              <w:bottom w:val="nil"/>
              <w:right w:val="nil"/>
            </w:tcBorders>
            <w:shd w:val="clear" w:color="auto" w:fill="auto"/>
            <w:vAlign w:val="center"/>
            <w:hideMark/>
          </w:tcPr>
          <w:p w14:paraId="40983C3C" w14:textId="77777777" w:rsidR="00B9311E" w:rsidRPr="00BD77D8" w:rsidRDefault="00B9311E" w:rsidP="00B9311E">
            <w:pPr>
              <w:spacing w:after="0" w:line="240" w:lineRule="auto"/>
              <w:jc w:val="right"/>
              <w:rPr>
                <w:sz w:val="18"/>
                <w:szCs w:val="18"/>
              </w:rPr>
            </w:pPr>
            <w:r w:rsidRPr="00BD77D8">
              <w:rPr>
                <w:sz w:val="18"/>
                <w:szCs w:val="18"/>
              </w:rPr>
              <w:t xml:space="preserve">            1 </w:t>
            </w:r>
          </w:p>
        </w:tc>
      </w:tr>
      <w:tr w:rsidR="00BD77D8" w:rsidRPr="00BD77D8" w14:paraId="7A5C4F26" w14:textId="77777777" w:rsidTr="003057FB">
        <w:trPr>
          <w:trHeight w:val="287"/>
        </w:trPr>
        <w:tc>
          <w:tcPr>
            <w:tcW w:w="8222" w:type="dxa"/>
            <w:tcBorders>
              <w:top w:val="nil"/>
              <w:left w:val="nil"/>
              <w:bottom w:val="nil"/>
              <w:right w:val="nil"/>
            </w:tcBorders>
            <w:shd w:val="clear" w:color="auto" w:fill="auto"/>
            <w:vAlign w:val="center"/>
            <w:hideMark/>
          </w:tcPr>
          <w:p w14:paraId="100AF34E"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1086" w:type="dxa"/>
            <w:tcBorders>
              <w:top w:val="single" w:sz="4" w:space="0" w:color="auto"/>
              <w:left w:val="nil"/>
              <w:bottom w:val="single" w:sz="4" w:space="0" w:color="auto"/>
              <w:right w:val="nil"/>
            </w:tcBorders>
            <w:shd w:val="clear" w:color="auto" w:fill="auto"/>
            <w:vAlign w:val="bottom"/>
            <w:hideMark/>
          </w:tcPr>
          <w:p w14:paraId="0F24A4AC" w14:textId="77777777" w:rsidR="00B9311E" w:rsidRPr="00BD77D8" w:rsidRDefault="00B9311E" w:rsidP="00B9311E">
            <w:pPr>
              <w:spacing w:after="0" w:line="240" w:lineRule="auto"/>
              <w:jc w:val="right"/>
              <w:rPr>
                <w:b/>
                <w:bCs/>
                <w:sz w:val="18"/>
                <w:szCs w:val="18"/>
              </w:rPr>
            </w:pPr>
            <w:r w:rsidRPr="00BD77D8">
              <w:rPr>
                <w:b/>
                <w:bCs/>
                <w:sz w:val="18"/>
                <w:szCs w:val="18"/>
              </w:rPr>
              <w:t xml:space="preserve">         15,863 </w:t>
            </w:r>
          </w:p>
        </w:tc>
        <w:tc>
          <w:tcPr>
            <w:tcW w:w="993" w:type="dxa"/>
            <w:tcBorders>
              <w:top w:val="single" w:sz="4" w:space="0" w:color="auto"/>
              <w:left w:val="nil"/>
              <w:bottom w:val="single" w:sz="4" w:space="0" w:color="auto"/>
              <w:right w:val="nil"/>
            </w:tcBorders>
            <w:shd w:val="clear" w:color="auto" w:fill="auto"/>
            <w:vAlign w:val="bottom"/>
            <w:hideMark/>
          </w:tcPr>
          <w:p w14:paraId="0BCE09D8" w14:textId="77777777" w:rsidR="00B9311E" w:rsidRPr="00BD77D8" w:rsidRDefault="00B9311E" w:rsidP="00B9311E">
            <w:pPr>
              <w:spacing w:after="0" w:line="240" w:lineRule="auto"/>
              <w:jc w:val="right"/>
              <w:rPr>
                <w:b/>
                <w:bCs/>
                <w:sz w:val="18"/>
                <w:szCs w:val="18"/>
              </w:rPr>
            </w:pPr>
            <w:r w:rsidRPr="00BD77D8">
              <w:rPr>
                <w:b/>
                <w:bCs/>
                <w:sz w:val="18"/>
                <w:szCs w:val="18"/>
              </w:rPr>
              <w:t xml:space="preserve"> 16,763 </w:t>
            </w:r>
          </w:p>
        </w:tc>
      </w:tr>
    </w:tbl>
    <w:p w14:paraId="60787667" w14:textId="77777777" w:rsidR="00B9311E" w:rsidRPr="00BD77D8" w:rsidRDefault="00B9311E" w:rsidP="00760ABD">
      <w:pPr>
        <w:spacing w:before="240" w:after="0" w:line="204" w:lineRule="exact"/>
        <w:textAlignment w:val="baseline"/>
        <w:rPr>
          <w:rFonts w:eastAsia="Arial"/>
          <w:b/>
          <w:bCs/>
          <w:sz w:val="16"/>
          <w:szCs w:val="16"/>
          <w:lang w:eastAsia="en-US"/>
        </w:rPr>
      </w:pPr>
      <w:r w:rsidRPr="00BD77D8">
        <w:rPr>
          <w:rFonts w:eastAsia="Arial"/>
          <w:sz w:val="16"/>
          <w:szCs w:val="16"/>
          <w:lang w:eastAsia="en-US"/>
        </w:rPr>
        <w:t>^ Refer to B2-2 for the accounting policy on the distinction between service procurement and grants.</w:t>
      </w:r>
    </w:p>
    <w:p w14:paraId="086328FC" w14:textId="77777777" w:rsidR="00B9311E" w:rsidRPr="00BD77D8" w:rsidRDefault="00B9311E" w:rsidP="00B9311E">
      <w:pPr>
        <w:spacing w:after="0" w:line="204" w:lineRule="exact"/>
        <w:textAlignment w:val="baseline"/>
        <w:rPr>
          <w:rFonts w:eastAsia="Arial"/>
          <w:b/>
          <w:bCs/>
          <w:sz w:val="16"/>
          <w:szCs w:val="16"/>
          <w:lang w:eastAsia="en-US"/>
        </w:rPr>
      </w:pPr>
      <w:r w:rsidRPr="00BD77D8">
        <w:rPr>
          <w:rFonts w:eastAsia="Arial"/>
          <w:sz w:val="16"/>
          <w:szCs w:val="16"/>
          <w:lang w:eastAsia="en-US"/>
        </w:rPr>
        <w:t>* ATSIP services comparative amounts are from 13 November 2020 to 30 June 2021 due to the 2020 Machinery-of-Government changes. Community Services transactions are from 1 July 2020 to 30 November 2020 due to the Machinery-of-Government changes.</w:t>
      </w:r>
    </w:p>
    <w:p w14:paraId="1C3B9D2F" w14:textId="77777777" w:rsidR="00B9311E" w:rsidRPr="00BD77D8" w:rsidRDefault="00B9311E" w:rsidP="00760ABD">
      <w:pPr>
        <w:spacing w:before="240" w:after="0" w:line="204" w:lineRule="exact"/>
        <w:textAlignment w:val="baseline"/>
        <w:rPr>
          <w:rFonts w:eastAsia="PMingLiU"/>
          <w:sz w:val="18"/>
          <w:szCs w:val="22"/>
          <w:lang w:val="en-US" w:eastAsia="en-US"/>
        </w:rPr>
      </w:pPr>
      <w:r w:rsidRPr="00BD77D8">
        <w:rPr>
          <w:rFonts w:eastAsia="Arial"/>
          <w:b/>
          <w:bCs/>
          <w:sz w:val="18"/>
          <w:szCs w:val="18"/>
          <w:lang w:eastAsia="en-US"/>
        </w:rPr>
        <w:t>B2-4 Depreciation and Amortisation</w:t>
      </w:r>
    </w:p>
    <w:tbl>
      <w:tblPr>
        <w:tblW w:w="10348" w:type="dxa"/>
        <w:tblCellMar>
          <w:left w:w="0" w:type="dxa"/>
          <w:right w:w="0" w:type="dxa"/>
        </w:tblCellMar>
        <w:tblLook w:val="04A0" w:firstRow="1" w:lastRow="0" w:firstColumn="1" w:lastColumn="0" w:noHBand="0" w:noVBand="1"/>
      </w:tblPr>
      <w:tblGrid>
        <w:gridCol w:w="8332"/>
        <w:gridCol w:w="976"/>
        <w:gridCol w:w="1040"/>
      </w:tblGrid>
      <w:tr w:rsidR="00BD77D8" w:rsidRPr="00BD77D8" w14:paraId="198EC13F" w14:textId="77777777" w:rsidTr="003057FB">
        <w:trPr>
          <w:trHeight w:val="267"/>
        </w:trPr>
        <w:tc>
          <w:tcPr>
            <w:tcW w:w="8364" w:type="dxa"/>
            <w:tcBorders>
              <w:top w:val="nil"/>
              <w:left w:val="nil"/>
              <w:bottom w:val="nil"/>
              <w:right w:val="nil"/>
            </w:tcBorders>
            <w:shd w:val="clear" w:color="auto" w:fill="auto"/>
            <w:vAlign w:val="center"/>
            <w:hideMark/>
          </w:tcPr>
          <w:p w14:paraId="3609C48E" w14:textId="77777777" w:rsidR="00B9311E" w:rsidRPr="00BD77D8" w:rsidRDefault="00B9311E" w:rsidP="00B9311E">
            <w:pPr>
              <w:spacing w:after="0" w:line="240" w:lineRule="auto"/>
              <w:rPr>
                <w:sz w:val="18"/>
                <w:szCs w:val="18"/>
              </w:rPr>
            </w:pPr>
            <w:r w:rsidRPr="00BD77D8">
              <w:rPr>
                <w:sz w:val="18"/>
                <w:szCs w:val="18"/>
              </w:rPr>
              <w:t xml:space="preserve">   </w:t>
            </w:r>
          </w:p>
        </w:tc>
        <w:tc>
          <w:tcPr>
            <w:tcW w:w="960" w:type="dxa"/>
            <w:tcBorders>
              <w:top w:val="nil"/>
              <w:left w:val="nil"/>
              <w:bottom w:val="nil"/>
              <w:right w:val="nil"/>
            </w:tcBorders>
            <w:shd w:val="clear" w:color="auto" w:fill="auto"/>
            <w:noWrap/>
            <w:vAlign w:val="bottom"/>
            <w:hideMark/>
          </w:tcPr>
          <w:p w14:paraId="2FC64312"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024" w:type="dxa"/>
            <w:tcBorders>
              <w:top w:val="nil"/>
              <w:left w:val="nil"/>
              <w:bottom w:val="nil"/>
              <w:right w:val="nil"/>
            </w:tcBorders>
            <w:shd w:val="clear" w:color="auto" w:fill="auto"/>
            <w:noWrap/>
            <w:vAlign w:val="bottom"/>
            <w:hideMark/>
          </w:tcPr>
          <w:p w14:paraId="6407C7F4"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6E5F0A0C" w14:textId="77777777" w:rsidTr="003057FB">
        <w:trPr>
          <w:trHeight w:val="267"/>
        </w:trPr>
        <w:tc>
          <w:tcPr>
            <w:tcW w:w="8364" w:type="dxa"/>
            <w:tcBorders>
              <w:top w:val="nil"/>
              <w:left w:val="nil"/>
              <w:bottom w:val="nil"/>
              <w:right w:val="nil"/>
            </w:tcBorders>
            <w:shd w:val="clear" w:color="auto" w:fill="auto"/>
            <w:vAlign w:val="center"/>
            <w:hideMark/>
          </w:tcPr>
          <w:p w14:paraId="14984D0E" w14:textId="77777777" w:rsidR="00B9311E" w:rsidRPr="00BD77D8" w:rsidRDefault="00B9311E" w:rsidP="00B9311E">
            <w:pPr>
              <w:spacing w:after="0" w:line="240" w:lineRule="auto"/>
              <w:rPr>
                <w:sz w:val="18"/>
                <w:szCs w:val="18"/>
              </w:rPr>
            </w:pPr>
            <w:r w:rsidRPr="00BD77D8">
              <w:rPr>
                <w:sz w:val="18"/>
                <w:szCs w:val="18"/>
              </w:rPr>
              <w:t xml:space="preserve">   </w:t>
            </w:r>
          </w:p>
        </w:tc>
        <w:tc>
          <w:tcPr>
            <w:tcW w:w="960" w:type="dxa"/>
            <w:tcBorders>
              <w:top w:val="nil"/>
              <w:left w:val="nil"/>
              <w:bottom w:val="single" w:sz="4" w:space="0" w:color="auto"/>
              <w:right w:val="nil"/>
            </w:tcBorders>
            <w:shd w:val="clear" w:color="auto" w:fill="auto"/>
            <w:noWrap/>
            <w:vAlign w:val="bottom"/>
            <w:hideMark/>
          </w:tcPr>
          <w:p w14:paraId="31D0CA49" w14:textId="77777777" w:rsidR="00B9311E" w:rsidRPr="00BD77D8" w:rsidRDefault="00B9311E" w:rsidP="00B9311E">
            <w:pPr>
              <w:spacing w:after="0" w:line="240" w:lineRule="auto"/>
              <w:jc w:val="right"/>
              <w:rPr>
                <w:b/>
                <w:bCs/>
                <w:sz w:val="18"/>
                <w:szCs w:val="18"/>
              </w:rPr>
            </w:pPr>
            <w:r w:rsidRPr="00BD77D8">
              <w:rPr>
                <w:b/>
                <w:bCs/>
                <w:sz w:val="18"/>
                <w:szCs w:val="18"/>
              </w:rPr>
              <w:t>$'000</w:t>
            </w:r>
          </w:p>
        </w:tc>
        <w:tc>
          <w:tcPr>
            <w:tcW w:w="1024" w:type="dxa"/>
            <w:tcBorders>
              <w:top w:val="nil"/>
              <w:left w:val="nil"/>
              <w:bottom w:val="single" w:sz="4" w:space="0" w:color="auto"/>
              <w:right w:val="nil"/>
            </w:tcBorders>
            <w:shd w:val="clear" w:color="auto" w:fill="auto"/>
            <w:noWrap/>
            <w:vAlign w:val="bottom"/>
            <w:hideMark/>
          </w:tcPr>
          <w:p w14:paraId="31ED0ED7" w14:textId="77777777" w:rsidR="00B9311E" w:rsidRPr="00BD77D8" w:rsidRDefault="00B9311E" w:rsidP="00B9311E">
            <w:pPr>
              <w:spacing w:after="0" w:line="240" w:lineRule="auto"/>
              <w:jc w:val="right"/>
              <w:rPr>
                <w:b/>
                <w:bCs/>
                <w:sz w:val="18"/>
                <w:szCs w:val="18"/>
              </w:rPr>
            </w:pPr>
            <w:r w:rsidRPr="00BD77D8">
              <w:rPr>
                <w:b/>
                <w:bCs/>
                <w:sz w:val="18"/>
                <w:szCs w:val="18"/>
              </w:rPr>
              <w:t>$'000</w:t>
            </w:r>
          </w:p>
        </w:tc>
      </w:tr>
      <w:tr w:rsidR="00BD77D8" w:rsidRPr="00BD77D8" w14:paraId="45ED06EE" w14:textId="77777777" w:rsidTr="003057FB">
        <w:trPr>
          <w:trHeight w:val="267"/>
        </w:trPr>
        <w:tc>
          <w:tcPr>
            <w:tcW w:w="8364" w:type="dxa"/>
            <w:tcBorders>
              <w:top w:val="nil"/>
              <w:left w:val="nil"/>
              <w:bottom w:val="nil"/>
              <w:right w:val="nil"/>
            </w:tcBorders>
            <w:shd w:val="clear" w:color="auto" w:fill="auto"/>
            <w:vAlign w:val="center"/>
            <w:hideMark/>
          </w:tcPr>
          <w:p w14:paraId="4F115430" w14:textId="77777777" w:rsidR="00B9311E" w:rsidRPr="00BD77D8" w:rsidRDefault="00B9311E" w:rsidP="00B9311E">
            <w:pPr>
              <w:spacing w:after="0" w:line="240" w:lineRule="auto"/>
              <w:rPr>
                <w:sz w:val="18"/>
                <w:szCs w:val="18"/>
              </w:rPr>
            </w:pPr>
            <w:r w:rsidRPr="00BD77D8">
              <w:rPr>
                <w:sz w:val="18"/>
                <w:szCs w:val="18"/>
              </w:rPr>
              <w:t xml:space="preserve"> Depreciation - property, plant and equipment (refer C4-1) </w:t>
            </w:r>
          </w:p>
        </w:tc>
        <w:tc>
          <w:tcPr>
            <w:tcW w:w="960" w:type="dxa"/>
            <w:tcBorders>
              <w:top w:val="nil"/>
              <w:left w:val="nil"/>
              <w:bottom w:val="nil"/>
              <w:right w:val="nil"/>
            </w:tcBorders>
            <w:shd w:val="clear" w:color="auto" w:fill="auto"/>
            <w:vAlign w:val="center"/>
            <w:hideMark/>
          </w:tcPr>
          <w:p w14:paraId="66D78994" w14:textId="77777777" w:rsidR="00B9311E" w:rsidRPr="00BD77D8" w:rsidRDefault="00B9311E" w:rsidP="00B9311E">
            <w:pPr>
              <w:spacing w:after="0" w:line="240" w:lineRule="auto"/>
              <w:jc w:val="right"/>
              <w:rPr>
                <w:sz w:val="18"/>
                <w:szCs w:val="18"/>
              </w:rPr>
            </w:pPr>
            <w:r w:rsidRPr="00BD77D8">
              <w:rPr>
                <w:sz w:val="18"/>
                <w:szCs w:val="18"/>
              </w:rPr>
              <w:t xml:space="preserve">  3,701 </w:t>
            </w:r>
          </w:p>
        </w:tc>
        <w:tc>
          <w:tcPr>
            <w:tcW w:w="1024" w:type="dxa"/>
            <w:tcBorders>
              <w:top w:val="nil"/>
              <w:left w:val="nil"/>
              <w:bottom w:val="nil"/>
              <w:right w:val="nil"/>
            </w:tcBorders>
            <w:shd w:val="clear" w:color="auto" w:fill="auto"/>
            <w:noWrap/>
            <w:vAlign w:val="center"/>
            <w:hideMark/>
          </w:tcPr>
          <w:p w14:paraId="75C5F24A" w14:textId="77777777" w:rsidR="00B9311E" w:rsidRPr="00BD77D8" w:rsidRDefault="00B9311E" w:rsidP="00B9311E">
            <w:pPr>
              <w:spacing w:after="0" w:line="240" w:lineRule="auto"/>
              <w:jc w:val="right"/>
              <w:rPr>
                <w:sz w:val="18"/>
                <w:szCs w:val="18"/>
              </w:rPr>
            </w:pPr>
            <w:r w:rsidRPr="00BD77D8">
              <w:rPr>
                <w:sz w:val="18"/>
                <w:szCs w:val="18"/>
              </w:rPr>
              <w:t>4,756</w:t>
            </w:r>
          </w:p>
        </w:tc>
      </w:tr>
      <w:tr w:rsidR="00BD77D8" w:rsidRPr="00BD77D8" w14:paraId="584FFAA4" w14:textId="77777777" w:rsidTr="003057FB">
        <w:trPr>
          <w:trHeight w:val="267"/>
        </w:trPr>
        <w:tc>
          <w:tcPr>
            <w:tcW w:w="8364" w:type="dxa"/>
            <w:tcBorders>
              <w:top w:val="nil"/>
              <w:left w:val="nil"/>
              <w:bottom w:val="nil"/>
              <w:right w:val="nil"/>
            </w:tcBorders>
            <w:shd w:val="clear" w:color="auto" w:fill="auto"/>
            <w:vAlign w:val="center"/>
            <w:hideMark/>
          </w:tcPr>
          <w:p w14:paraId="312FB0A7" w14:textId="77777777" w:rsidR="00B9311E" w:rsidRPr="00BD77D8" w:rsidRDefault="00B9311E" w:rsidP="00B9311E">
            <w:pPr>
              <w:spacing w:after="0" w:line="240" w:lineRule="auto"/>
              <w:rPr>
                <w:sz w:val="18"/>
                <w:szCs w:val="18"/>
              </w:rPr>
            </w:pPr>
            <w:r w:rsidRPr="00BD77D8">
              <w:rPr>
                <w:sz w:val="18"/>
                <w:szCs w:val="18"/>
              </w:rPr>
              <w:t xml:space="preserve"> Depreciation - right-of-use assets </w:t>
            </w:r>
          </w:p>
        </w:tc>
        <w:tc>
          <w:tcPr>
            <w:tcW w:w="960" w:type="dxa"/>
            <w:tcBorders>
              <w:top w:val="nil"/>
              <w:left w:val="nil"/>
              <w:bottom w:val="nil"/>
              <w:right w:val="nil"/>
            </w:tcBorders>
            <w:shd w:val="clear" w:color="auto" w:fill="auto"/>
            <w:vAlign w:val="center"/>
            <w:hideMark/>
          </w:tcPr>
          <w:p w14:paraId="0D98C87E"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024" w:type="dxa"/>
            <w:tcBorders>
              <w:top w:val="nil"/>
              <w:left w:val="nil"/>
              <w:bottom w:val="nil"/>
              <w:right w:val="nil"/>
            </w:tcBorders>
            <w:shd w:val="clear" w:color="auto" w:fill="auto"/>
            <w:vAlign w:val="center"/>
            <w:hideMark/>
          </w:tcPr>
          <w:p w14:paraId="39504ABD" w14:textId="77777777" w:rsidR="00B9311E" w:rsidRPr="00BD77D8" w:rsidRDefault="00B9311E" w:rsidP="00B9311E">
            <w:pPr>
              <w:spacing w:after="0" w:line="240" w:lineRule="auto"/>
              <w:jc w:val="right"/>
              <w:rPr>
                <w:sz w:val="18"/>
                <w:szCs w:val="18"/>
              </w:rPr>
            </w:pPr>
            <w:r w:rsidRPr="00BD77D8">
              <w:rPr>
                <w:sz w:val="18"/>
                <w:szCs w:val="18"/>
              </w:rPr>
              <w:t xml:space="preserve">            22 </w:t>
            </w:r>
          </w:p>
        </w:tc>
      </w:tr>
      <w:tr w:rsidR="00BD77D8" w:rsidRPr="00BD77D8" w14:paraId="2306B47E" w14:textId="77777777" w:rsidTr="003057FB">
        <w:trPr>
          <w:trHeight w:val="267"/>
        </w:trPr>
        <w:tc>
          <w:tcPr>
            <w:tcW w:w="8364" w:type="dxa"/>
            <w:tcBorders>
              <w:top w:val="nil"/>
              <w:left w:val="nil"/>
              <w:bottom w:val="nil"/>
              <w:right w:val="nil"/>
            </w:tcBorders>
            <w:shd w:val="clear" w:color="auto" w:fill="auto"/>
            <w:vAlign w:val="center"/>
            <w:hideMark/>
          </w:tcPr>
          <w:p w14:paraId="0F4F5872" w14:textId="77777777" w:rsidR="00B9311E" w:rsidRPr="00BD77D8" w:rsidRDefault="00B9311E" w:rsidP="00B9311E">
            <w:pPr>
              <w:spacing w:after="0" w:line="240" w:lineRule="auto"/>
              <w:rPr>
                <w:sz w:val="18"/>
                <w:szCs w:val="18"/>
              </w:rPr>
            </w:pPr>
            <w:r w:rsidRPr="00BD77D8">
              <w:rPr>
                <w:sz w:val="18"/>
                <w:szCs w:val="18"/>
              </w:rPr>
              <w:t xml:space="preserve"> Amortisation - intangible assets (refer C5-1) </w:t>
            </w:r>
          </w:p>
        </w:tc>
        <w:tc>
          <w:tcPr>
            <w:tcW w:w="960" w:type="dxa"/>
            <w:tcBorders>
              <w:top w:val="nil"/>
              <w:left w:val="nil"/>
              <w:bottom w:val="nil"/>
              <w:right w:val="nil"/>
            </w:tcBorders>
            <w:shd w:val="clear" w:color="auto" w:fill="auto"/>
            <w:vAlign w:val="center"/>
            <w:hideMark/>
          </w:tcPr>
          <w:p w14:paraId="7200D258" w14:textId="77777777" w:rsidR="00B9311E" w:rsidRPr="00BD77D8" w:rsidRDefault="00B9311E" w:rsidP="00B9311E">
            <w:pPr>
              <w:spacing w:after="0" w:line="240" w:lineRule="auto"/>
              <w:jc w:val="right"/>
              <w:rPr>
                <w:sz w:val="18"/>
                <w:szCs w:val="18"/>
              </w:rPr>
            </w:pPr>
            <w:r w:rsidRPr="00BD77D8">
              <w:rPr>
                <w:sz w:val="18"/>
                <w:szCs w:val="18"/>
              </w:rPr>
              <w:t xml:space="preserve">        83 </w:t>
            </w:r>
          </w:p>
        </w:tc>
        <w:tc>
          <w:tcPr>
            <w:tcW w:w="1024" w:type="dxa"/>
            <w:tcBorders>
              <w:top w:val="nil"/>
              <w:left w:val="nil"/>
              <w:bottom w:val="nil"/>
              <w:right w:val="nil"/>
            </w:tcBorders>
            <w:shd w:val="clear" w:color="auto" w:fill="auto"/>
            <w:vAlign w:val="center"/>
            <w:hideMark/>
          </w:tcPr>
          <w:p w14:paraId="24927E5E" w14:textId="77777777" w:rsidR="00B9311E" w:rsidRPr="00BD77D8" w:rsidRDefault="00B9311E" w:rsidP="00B9311E">
            <w:pPr>
              <w:spacing w:after="0" w:line="240" w:lineRule="auto"/>
              <w:jc w:val="right"/>
              <w:rPr>
                <w:sz w:val="18"/>
                <w:szCs w:val="18"/>
              </w:rPr>
            </w:pPr>
            <w:r w:rsidRPr="00BD77D8">
              <w:rPr>
                <w:sz w:val="18"/>
                <w:szCs w:val="18"/>
              </w:rPr>
              <w:t xml:space="preserve">         273 </w:t>
            </w:r>
          </w:p>
        </w:tc>
      </w:tr>
      <w:tr w:rsidR="00B9311E" w:rsidRPr="00BD77D8" w14:paraId="5D96D9DE" w14:textId="77777777" w:rsidTr="003057FB">
        <w:trPr>
          <w:trHeight w:val="267"/>
        </w:trPr>
        <w:tc>
          <w:tcPr>
            <w:tcW w:w="8364" w:type="dxa"/>
            <w:tcBorders>
              <w:top w:val="nil"/>
              <w:left w:val="nil"/>
              <w:bottom w:val="nil"/>
              <w:right w:val="nil"/>
            </w:tcBorders>
            <w:shd w:val="clear" w:color="auto" w:fill="auto"/>
            <w:vAlign w:val="center"/>
            <w:hideMark/>
          </w:tcPr>
          <w:p w14:paraId="5346FF2B"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960" w:type="dxa"/>
            <w:tcBorders>
              <w:top w:val="single" w:sz="4" w:space="0" w:color="auto"/>
              <w:left w:val="nil"/>
              <w:bottom w:val="single" w:sz="4" w:space="0" w:color="auto"/>
              <w:right w:val="nil"/>
            </w:tcBorders>
            <w:shd w:val="clear" w:color="auto" w:fill="auto"/>
            <w:vAlign w:val="center"/>
            <w:hideMark/>
          </w:tcPr>
          <w:p w14:paraId="65B7F3B4" w14:textId="77777777" w:rsidR="00B9311E" w:rsidRPr="00BD77D8" w:rsidRDefault="00B9311E" w:rsidP="00B9311E">
            <w:pPr>
              <w:spacing w:after="0" w:line="240" w:lineRule="auto"/>
              <w:jc w:val="right"/>
              <w:rPr>
                <w:b/>
                <w:bCs/>
                <w:sz w:val="18"/>
                <w:szCs w:val="18"/>
              </w:rPr>
            </w:pPr>
            <w:r w:rsidRPr="00BD77D8">
              <w:rPr>
                <w:b/>
                <w:bCs/>
                <w:sz w:val="18"/>
                <w:szCs w:val="18"/>
              </w:rPr>
              <w:t xml:space="preserve">  3,784 </w:t>
            </w:r>
          </w:p>
        </w:tc>
        <w:tc>
          <w:tcPr>
            <w:tcW w:w="1024" w:type="dxa"/>
            <w:tcBorders>
              <w:top w:val="single" w:sz="4" w:space="0" w:color="auto"/>
              <w:left w:val="nil"/>
              <w:bottom w:val="single" w:sz="4" w:space="0" w:color="auto"/>
              <w:right w:val="nil"/>
            </w:tcBorders>
            <w:shd w:val="clear" w:color="auto" w:fill="auto"/>
            <w:vAlign w:val="center"/>
            <w:hideMark/>
          </w:tcPr>
          <w:p w14:paraId="5D0D2D7C" w14:textId="77777777" w:rsidR="00B9311E" w:rsidRPr="00BD77D8" w:rsidRDefault="00B9311E" w:rsidP="00B9311E">
            <w:pPr>
              <w:spacing w:after="0" w:line="240" w:lineRule="auto"/>
              <w:jc w:val="right"/>
              <w:rPr>
                <w:b/>
                <w:bCs/>
                <w:sz w:val="18"/>
                <w:szCs w:val="18"/>
              </w:rPr>
            </w:pPr>
            <w:r w:rsidRPr="00BD77D8">
              <w:rPr>
                <w:b/>
                <w:bCs/>
                <w:sz w:val="18"/>
                <w:szCs w:val="18"/>
              </w:rPr>
              <w:t xml:space="preserve">      5,051 </w:t>
            </w:r>
          </w:p>
        </w:tc>
      </w:tr>
    </w:tbl>
    <w:p w14:paraId="162A5ADE" w14:textId="77777777" w:rsidR="00B9311E" w:rsidRPr="00BD77D8" w:rsidRDefault="00B9311E" w:rsidP="00B9311E">
      <w:pPr>
        <w:spacing w:after="0" w:line="20" w:lineRule="exact"/>
        <w:rPr>
          <w:rFonts w:eastAsia="PMingLiU"/>
          <w:sz w:val="18"/>
          <w:szCs w:val="18"/>
          <w:lang w:eastAsia="en-US"/>
        </w:rPr>
      </w:pPr>
    </w:p>
    <w:p w14:paraId="71ECABC5" w14:textId="77777777" w:rsidR="00B9311E" w:rsidRPr="00BD77D8" w:rsidRDefault="00B9311E" w:rsidP="00760ABD">
      <w:pPr>
        <w:spacing w:before="240" w:after="240" w:line="206" w:lineRule="exact"/>
        <w:textAlignment w:val="baseline"/>
        <w:rPr>
          <w:rFonts w:eastAsia="Arial"/>
          <w:b/>
          <w:bCs/>
          <w:sz w:val="16"/>
          <w:szCs w:val="16"/>
          <w:lang w:eastAsia="en-US"/>
        </w:rPr>
      </w:pPr>
      <w:r w:rsidRPr="00BD77D8">
        <w:rPr>
          <w:rFonts w:eastAsia="Arial"/>
          <w:sz w:val="16"/>
          <w:szCs w:val="16"/>
          <w:lang w:eastAsia="en-US"/>
        </w:rPr>
        <w:t>Refer to Notes C4-5 and C5-3 for the accounting policies for depreciation and amortisation expense.</w:t>
      </w:r>
    </w:p>
    <w:p w14:paraId="0A2CD999" w14:textId="77777777" w:rsidR="00B9311E" w:rsidRPr="00BD77D8" w:rsidRDefault="00B9311E" w:rsidP="00760ABD">
      <w:pPr>
        <w:spacing w:after="240" w:line="204" w:lineRule="exact"/>
        <w:textAlignment w:val="baseline"/>
        <w:rPr>
          <w:rFonts w:eastAsia="Arial"/>
          <w:b/>
          <w:bCs/>
          <w:sz w:val="18"/>
          <w:szCs w:val="18"/>
          <w:lang w:eastAsia="en-US"/>
        </w:rPr>
      </w:pPr>
      <w:r w:rsidRPr="00BD77D8">
        <w:rPr>
          <w:rFonts w:eastAsia="Arial"/>
          <w:b/>
          <w:bCs/>
          <w:sz w:val="18"/>
          <w:szCs w:val="18"/>
          <w:lang w:eastAsia="en-US"/>
        </w:rPr>
        <w:t>B2-5 Other Expenses</w:t>
      </w:r>
    </w:p>
    <w:tbl>
      <w:tblPr>
        <w:tblW w:w="10291" w:type="dxa"/>
        <w:tblCellMar>
          <w:left w:w="0" w:type="dxa"/>
          <w:right w:w="0" w:type="dxa"/>
        </w:tblCellMar>
        <w:tblLook w:val="04A0" w:firstRow="1" w:lastRow="0" w:firstColumn="1" w:lastColumn="0" w:noHBand="0" w:noVBand="1"/>
      </w:tblPr>
      <w:tblGrid>
        <w:gridCol w:w="8300"/>
        <w:gridCol w:w="1024"/>
        <w:gridCol w:w="967"/>
      </w:tblGrid>
      <w:tr w:rsidR="00BD77D8" w:rsidRPr="00BD77D8" w14:paraId="4C79483B" w14:textId="77777777" w:rsidTr="00760ABD">
        <w:trPr>
          <w:trHeight w:val="268"/>
        </w:trPr>
        <w:tc>
          <w:tcPr>
            <w:tcW w:w="8332" w:type="dxa"/>
            <w:tcBorders>
              <w:top w:val="nil"/>
              <w:left w:val="nil"/>
              <w:bottom w:val="nil"/>
              <w:right w:val="nil"/>
            </w:tcBorders>
            <w:shd w:val="clear" w:color="auto" w:fill="auto"/>
            <w:vAlign w:val="center"/>
            <w:hideMark/>
          </w:tcPr>
          <w:p w14:paraId="40D094F1" w14:textId="77777777" w:rsidR="00B9311E" w:rsidRPr="00BD77D8" w:rsidRDefault="00B9311E" w:rsidP="00B9311E">
            <w:pPr>
              <w:spacing w:after="0" w:line="240" w:lineRule="auto"/>
              <w:rPr>
                <w:rFonts w:ascii="Times New Roman" w:hAnsi="Times New Roman" w:cs="Times New Roman"/>
                <w:sz w:val="24"/>
                <w:szCs w:val="24"/>
              </w:rPr>
            </w:pPr>
          </w:p>
        </w:tc>
        <w:tc>
          <w:tcPr>
            <w:tcW w:w="1008" w:type="dxa"/>
            <w:tcBorders>
              <w:top w:val="nil"/>
              <w:left w:val="nil"/>
              <w:bottom w:val="nil"/>
              <w:right w:val="nil"/>
            </w:tcBorders>
            <w:shd w:val="clear" w:color="auto" w:fill="auto"/>
            <w:noWrap/>
            <w:vAlign w:val="bottom"/>
            <w:hideMark/>
          </w:tcPr>
          <w:p w14:paraId="1CEEB4A6"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951" w:type="dxa"/>
            <w:tcBorders>
              <w:top w:val="nil"/>
              <w:left w:val="nil"/>
              <w:bottom w:val="nil"/>
              <w:right w:val="nil"/>
            </w:tcBorders>
            <w:shd w:val="clear" w:color="auto" w:fill="auto"/>
            <w:noWrap/>
            <w:vAlign w:val="bottom"/>
            <w:hideMark/>
          </w:tcPr>
          <w:p w14:paraId="0C9508A5"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3D0D071C" w14:textId="77777777" w:rsidTr="00760ABD">
        <w:trPr>
          <w:trHeight w:val="268"/>
        </w:trPr>
        <w:tc>
          <w:tcPr>
            <w:tcW w:w="8332" w:type="dxa"/>
            <w:tcBorders>
              <w:top w:val="nil"/>
              <w:left w:val="nil"/>
              <w:bottom w:val="nil"/>
              <w:right w:val="nil"/>
            </w:tcBorders>
            <w:shd w:val="clear" w:color="auto" w:fill="auto"/>
            <w:vAlign w:val="center"/>
            <w:hideMark/>
          </w:tcPr>
          <w:p w14:paraId="63D4D24D" w14:textId="77777777" w:rsidR="00B9311E" w:rsidRPr="00BD77D8" w:rsidRDefault="00B9311E" w:rsidP="00B9311E">
            <w:pPr>
              <w:spacing w:after="0" w:line="240" w:lineRule="auto"/>
              <w:jc w:val="right"/>
              <w:rPr>
                <w:sz w:val="18"/>
                <w:szCs w:val="18"/>
              </w:rPr>
            </w:pPr>
          </w:p>
        </w:tc>
        <w:tc>
          <w:tcPr>
            <w:tcW w:w="1008" w:type="dxa"/>
            <w:tcBorders>
              <w:top w:val="nil"/>
              <w:left w:val="nil"/>
              <w:bottom w:val="single" w:sz="4" w:space="0" w:color="auto"/>
              <w:right w:val="nil"/>
            </w:tcBorders>
            <w:shd w:val="clear" w:color="auto" w:fill="auto"/>
            <w:noWrap/>
            <w:vAlign w:val="bottom"/>
            <w:hideMark/>
          </w:tcPr>
          <w:p w14:paraId="7694D020" w14:textId="77777777" w:rsidR="00B9311E" w:rsidRPr="00BD77D8" w:rsidRDefault="00B9311E" w:rsidP="00B9311E">
            <w:pPr>
              <w:spacing w:after="0" w:line="240" w:lineRule="auto"/>
              <w:jc w:val="right"/>
              <w:rPr>
                <w:b/>
                <w:bCs/>
                <w:sz w:val="18"/>
                <w:szCs w:val="18"/>
              </w:rPr>
            </w:pPr>
            <w:r w:rsidRPr="00BD77D8">
              <w:rPr>
                <w:b/>
                <w:bCs/>
                <w:sz w:val="18"/>
                <w:szCs w:val="18"/>
              </w:rPr>
              <w:t>$'000</w:t>
            </w:r>
          </w:p>
        </w:tc>
        <w:tc>
          <w:tcPr>
            <w:tcW w:w="951" w:type="dxa"/>
            <w:tcBorders>
              <w:top w:val="nil"/>
              <w:left w:val="nil"/>
              <w:bottom w:val="single" w:sz="4" w:space="0" w:color="auto"/>
              <w:right w:val="nil"/>
            </w:tcBorders>
            <w:shd w:val="clear" w:color="auto" w:fill="auto"/>
            <w:noWrap/>
            <w:vAlign w:val="bottom"/>
            <w:hideMark/>
          </w:tcPr>
          <w:p w14:paraId="46015B01" w14:textId="77777777" w:rsidR="00B9311E" w:rsidRPr="00BD77D8" w:rsidRDefault="00B9311E" w:rsidP="00B9311E">
            <w:pPr>
              <w:spacing w:after="0" w:line="240" w:lineRule="auto"/>
              <w:jc w:val="right"/>
              <w:rPr>
                <w:b/>
                <w:bCs/>
                <w:sz w:val="18"/>
                <w:szCs w:val="18"/>
              </w:rPr>
            </w:pPr>
            <w:r w:rsidRPr="00BD77D8">
              <w:rPr>
                <w:b/>
                <w:bCs/>
                <w:sz w:val="18"/>
                <w:szCs w:val="18"/>
              </w:rPr>
              <w:t>$'000</w:t>
            </w:r>
          </w:p>
        </w:tc>
      </w:tr>
      <w:tr w:rsidR="00BD77D8" w:rsidRPr="00BD77D8" w14:paraId="4DC0C84D" w14:textId="77777777" w:rsidTr="00760ABD">
        <w:trPr>
          <w:trHeight w:val="268"/>
        </w:trPr>
        <w:tc>
          <w:tcPr>
            <w:tcW w:w="8332" w:type="dxa"/>
            <w:tcBorders>
              <w:top w:val="nil"/>
              <w:left w:val="nil"/>
              <w:bottom w:val="nil"/>
              <w:right w:val="nil"/>
            </w:tcBorders>
            <w:shd w:val="clear" w:color="auto" w:fill="auto"/>
            <w:vAlign w:val="center"/>
            <w:hideMark/>
          </w:tcPr>
          <w:p w14:paraId="37D69D88" w14:textId="77777777" w:rsidR="00B9311E" w:rsidRPr="00BD77D8" w:rsidRDefault="00B9311E" w:rsidP="00B9311E">
            <w:pPr>
              <w:spacing w:after="0" w:line="240" w:lineRule="auto"/>
              <w:rPr>
                <w:sz w:val="18"/>
                <w:szCs w:val="18"/>
              </w:rPr>
            </w:pPr>
            <w:r w:rsidRPr="00BD77D8">
              <w:rPr>
                <w:sz w:val="18"/>
                <w:szCs w:val="18"/>
              </w:rPr>
              <w:t xml:space="preserve"> Net losses on disposal of property, plant and equipment </w:t>
            </w:r>
          </w:p>
        </w:tc>
        <w:tc>
          <w:tcPr>
            <w:tcW w:w="1008" w:type="dxa"/>
            <w:tcBorders>
              <w:top w:val="nil"/>
              <w:left w:val="nil"/>
              <w:bottom w:val="nil"/>
              <w:right w:val="nil"/>
            </w:tcBorders>
            <w:shd w:val="clear" w:color="auto" w:fill="auto"/>
            <w:vAlign w:val="center"/>
            <w:hideMark/>
          </w:tcPr>
          <w:p w14:paraId="3F663483" w14:textId="77777777" w:rsidR="00B9311E" w:rsidRPr="00BD77D8" w:rsidRDefault="00B9311E" w:rsidP="00B9311E">
            <w:pPr>
              <w:spacing w:after="0" w:line="240" w:lineRule="auto"/>
              <w:jc w:val="right"/>
              <w:rPr>
                <w:sz w:val="18"/>
                <w:szCs w:val="18"/>
              </w:rPr>
            </w:pPr>
            <w:r w:rsidRPr="00BD77D8">
              <w:rPr>
                <w:sz w:val="18"/>
                <w:szCs w:val="18"/>
              </w:rPr>
              <w:t xml:space="preserve">         3 </w:t>
            </w:r>
          </w:p>
        </w:tc>
        <w:tc>
          <w:tcPr>
            <w:tcW w:w="951" w:type="dxa"/>
            <w:tcBorders>
              <w:top w:val="nil"/>
              <w:left w:val="nil"/>
              <w:bottom w:val="nil"/>
              <w:right w:val="nil"/>
            </w:tcBorders>
            <w:shd w:val="clear" w:color="auto" w:fill="auto"/>
            <w:noWrap/>
            <w:vAlign w:val="center"/>
            <w:hideMark/>
          </w:tcPr>
          <w:p w14:paraId="4EF951B7" w14:textId="77777777" w:rsidR="00B9311E" w:rsidRPr="00BD77D8" w:rsidRDefault="00B9311E" w:rsidP="00B9311E">
            <w:pPr>
              <w:spacing w:after="0" w:line="240" w:lineRule="auto"/>
              <w:jc w:val="right"/>
              <w:rPr>
                <w:sz w:val="18"/>
                <w:szCs w:val="18"/>
              </w:rPr>
            </w:pPr>
            <w:r w:rsidRPr="00BD77D8">
              <w:rPr>
                <w:sz w:val="18"/>
                <w:szCs w:val="18"/>
              </w:rPr>
              <w:t>209</w:t>
            </w:r>
          </w:p>
        </w:tc>
      </w:tr>
      <w:tr w:rsidR="00BD77D8" w:rsidRPr="00BD77D8" w14:paraId="25FB21D6" w14:textId="77777777" w:rsidTr="00760ABD">
        <w:trPr>
          <w:trHeight w:val="268"/>
        </w:trPr>
        <w:tc>
          <w:tcPr>
            <w:tcW w:w="8332" w:type="dxa"/>
            <w:tcBorders>
              <w:top w:val="nil"/>
              <w:left w:val="nil"/>
              <w:bottom w:val="nil"/>
              <w:right w:val="nil"/>
            </w:tcBorders>
            <w:shd w:val="clear" w:color="auto" w:fill="auto"/>
            <w:vAlign w:val="center"/>
            <w:hideMark/>
          </w:tcPr>
          <w:p w14:paraId="77D0FE3F" w14:textId="77777777" w:rsidR="00B9311E" w:rsidRPr="00BD77D8" w:rsidRDefault="00B9311E" w:rsidP="00B9311E">
            <w:pPr>
              <w:spacing w:after="0" w:line="240" w:lineRule="auto"/>
              <w:rPr>
                <w:sz w:val="18"/>
                <w:szCs w:val="18"/>
              </w:rPr>
            </w:pPr>
            <w:r w:rsidRPr="00BD77D8">
              <w:rPr>
                <w:sz w:val="18"/>
                <w:szCs w:val="18"/>
              </w:rPr>
              <w:t xml:space="preserve"> Insurance premiums - QGIF </w:t>
            </w:r>
          </w:p>
        </w:tc>
        <w:tc>
          <w:tcPr>
            <w:tcW w:w="1008" w:type="dxa"/>
            <w:tcBorders>
              <w:top w:val="nil"/>
              <w:left w:val="nil"/>
              <w:bottom w:val="nil"/>
              <w:right w:val="nil"/>
            </w:tcBorders>
            <w:shd w:val="clear" w:color="auto" w:fill="auto"/>
            <w:vAlign w:val="center"/>
            <w:hideMark/>
          </w:tcPr>
          <w:p w14:paraId="27B6B3A5" w14:textId="77777777" w:rsidR="00B9311E" w:rsidRPr="00BD77D8" w:rsidRDefault="00B9311E" w:rsidP="00B9311E">
            <w:pPr>
              <w:spacing w:after="0" w:line="240" w:lineRule="auto"/>
              <w:jc w:val="right"/>
              <w:rPr>
                <w:sz w:val="18"/>
                <w:szCs w:val="18"/>
              </w:rPr>
            </w:pPr>
            <w:r w:rsidRPr="00BD77D8">
              <w:rPr>
                <w:sz w:val="18"/>
                <w:szCs w:val="18"/>
              </w:rPr>
              <w:t xml:space="preserve">     686 </w:t>
            </w:r>
          </w:p>
        </w:tc>
        <w:tc>
          <w:tcPr>
            <w:tcW w:w="951" w:type="dxa"/>
            <w:tcBorders>
              <w:top w:val="nil"/>
              <w:left w:val="nil"/>
              <w:bottom w:val="nil"/>
              <w:right w:val="nil"/>
            </w:tcBorders>
            <w:shd w:val="clear" w:color="auto" w:fill="auto"/>
            <w:vAlign w:val="center"/>
            <w:hideMark/>
          </w:tcPr>
          <w:p w14:paraId="2716850E" w14:textId="77777777" w:rsidR="00B9311E" w:rsidRPr="00BD77D8" w:rsidRDefault="00B9311E" w:rsidP="00B9311E">
            <w:pPr>
              <w:spacing w:after="0" w:line="240" w:lineRule="auto"/>
              <w:jc w:val="right"/>
              <w:rPr>
                <w:sz w:val="18"/>
                <w:szCs w:val="18"/>
              </w:rPr>
            </w:pPr>
            <w:r w:rsidRPr="00BD77D8">
              <w:rPr>
                <w:sz w:val="18"/>
                <w:szCs w:val="18"/>
              </w:rPr>
              <w:t xml:space="preserve">       758 </w:t>
            </w:r>
          </w:p>
        </w:tc>
      </w:tr>
      <w:tr w:rsidR="00BD77D8" w:rsidRPr="00BD77D8" w14:paraId="1F0C555F" w14:textId="77777777" w:rsidTr="00760ABD">
        <w:trPr>
          <w:trHeight w:val="268"/>
        </w:trPr>
        <w:tc>
          <w:tcPr>
            <w:tcW w:w="8332" w:type="dxa"/>
            <w:tcBorders>
              <w:top w:val="nil"/>
              <w:left w:val="nil"/>
              <w:bottom w:val="nil"/>
              <w:right w:val="nil"/>
            </w:tcBorders>
            <w:shd w:val="clear" w:color="auto" w:fill="auto"/>
            <w:vAlign w:val="center"/>
            <w:hideMark/>
          </w:tcPr>
          <w:p w14:paraId="2E4DC79D" w14:textId="77777777" w:rsidR="00B9311E" w:rsidRPr="00BD77D8" w:rsidRDefault="00B9311E" w:rsidP="00B9311E">
            <w:pPr>
              <w:spacing w:after="0" w:line="240" w:lineRule="auto"/>
              <w:rPr>
                <w:sz w:val="18"/>
                <w:szCs w:val="18"/>
              </w:rPr>
            </w:pPr>
            <w:r w:rsidRPr="00BD77D8">
              <w:rPr>
                <w:sz w:val="18"/>
                <w:szCs w:val="18"/>
              </w:rPr>
              <w:t xml:space="preserve"> Queensland Audit Office - external audit fees ^ </w:t>
            </w:r>
          </w:p>
        </w:tc>
        <w:tc>
          <w:tcPr>
            <w:tcW w:w="1008" w:type="dxa"/>
            <w:tcBorders>
              <w:top w:val="nil"/>
              <w:left w:val="nil"/>
              <w:bottom w:val="nil"/>
              <w:right w:val="nil"/>
            </w:tcBorders>
            <w:shd w:val="clear" w:color="auto" w:fill="auto"/>
            <w:vAlign w:val="center"/>
            <w:hideMark/>
          </w:tcPr>
          <w:p w14:paraId="78EFA6B3" w14:textId="77777777" w:rsidR="00B9311E" w:rsidRPr="00BD77D8" w:rsidRDefault="00B9311E" w:rsidP="00B9311E">
            <w:pPr>
              <w:spacing w:after="0" w:line="240" w:lineRule="auto"/>
              <w:jc w:val="right"/>
              <w:rPr>
                <w:sz w:val="18"/>
                <w:szCs w:val="18"/>
              </w:rPr>
            </w:pPr>
            <w:r w:rsidRPr="00BD77D8">
              <w:rPr>
                <w:sz w:val="18"/>
                <w:szCs w:val="18"/>
              </w:rPr>
              <w:t xml:space="preserve">     285 </w:t>
            </w:r>
          </w:p>
        </w:tc>
        <w:tc>
          <w:tcPr>
            <w:tcW w:w="951" w:type="dxa"/>
            <w:tcBorders>
              <w:top w:val="nil"/>
              <w:left w:val="nil"/>
              <w:bottom w:val="nil"/>
              <w:right w:val="nil"/>
            </w:tcBorders>
            <w:shd w:val="clear" w:color="auto" w:fill="auto"/>
            <w:vAlign w:val="center"/>
            <w:hideMark/>
          </w:tcPr>
          <w:p w14:paraId="1CDB2AF9" w14:textId="77777777" w:rsidR="00B9311E" w:rsidRPr="00BD77D8" w:rsidRDefault="00B9311E" w:rsidP="00B9311E">
            <w:pPr>
              <w:spacing w:after="0" w:line="240" w:lineRule="auto"/>
              <w:jc w:val="right"/>
              <w:rPr>
                <w:sz w:val="18"/>
                <w:szCs w:val="18"/>
              </w:rPr>
            </w:pPr>
            <w:r w:rsidRPr="00BD77D8">
              <w:rPr>
                <w:sz w:val="18"/>
                <w:szCs w:val="18"/>
              </w:rPr>
              <w:t xml:space="preserve">       285 </w:t>
            </w:r>
          </w:p>
        </w:tc>
      </w:tr>
      <w:tr w:rsidR="00BD77D8" w:rsidRPr="00BD77D8" w14:paraId="5C49DDD5" w14:textId="77777777" w:rsidTr="00760ABD">
        <w:trPr>
          <w:trHeight w:val="268"/>
        </w:trPr>
        <w:tc>
          <w:tcPr>
            <w:tcW w:w="8332" w:type="dxa"/>
            <w:tcBorders>
              <w:top w:val="nil"/>
              <w:left w:val="nil"/>
              <w:bottom w:val="nil"/>
              <w:right w:val="nil"/>
            </w:tcBorders>
            <w:shd w:val="clear" w:color="auto" w:fill="auto"/>
            <w:vAlign w:val="center"/>
            <w:hideMark/>
          </w:tcPr>
          <w:p w14:paraId="3733D8DB" w14:textId="77777777" w:rsidR="00B9311E" w:rsidRPr="00BD77D8" w:rsidRDefault="00B9311E" w:rsidP="00B9311E">
            <w:pPr>
              <w:spacing w:after="0" w:line="240" w:lineRule="auto"/>
              <w:rPr>
                <w:sz w:val="18"/>
                <w:szCs w:val="18"/>
              </w:rPr>
            </w:pPr>
            <w:r w:rsidRPr="00BD77D8">
              <w:rPr>
                <w:sz w:val="18"/>
                <w:szCs w:val="18"/>
              </w:rPr>
              <w:t xml:space="preserve"> Losses of Public Property # </w:t>
            </w:r>
          </w:p>
        </w:tc>
        <w:tc>
          <w:tcPr>
            <w:tcW w:w="1008" w:type="dxa"/>
            <w:tcBorders>
              <w:top w:val="nil"/>
              <w:left w:val="nil"/>
              <w:bottom w:val="nil"/>
              <w:right w:val="nil"/>
            </w:tcBorders>
            <w:shd w:val="clear" w:color="auto" w:fill="auto"/>
            <w:vAlign w:val="center"/>
            <w:hideMark/>
          </w:tcPr>
          <w:p w14:paraId="5B131E00" w14:textId="77777777" w:rsidR="00B9311E" w:rsidRPr="00BD77D8" w:rsidRDefault="00B9311E" w:rsidP="00B9311E">
            <w:pPr>
              <w:spacing w:after="0" w:line="240" w:lineRule="auto"/>
              <w:jc w:val="right"/>
              <w:rPr>
                <w:sz w:val="18"/>
                <w:szCs w:val="18"/>
              </w:rPr>
            </w:pPr>
            <w:r w:rsidRPr="00BD77D8">
              <w:rPr>
                <w:sz w:val="18"/>
                <w:szCs w:val="18"/>
              </w:rPr>
              <w:t xml:space="preserve">     814 </w:t>
            </w:r>
          </w:p>
        </w:tc>
        <w:tc>
          <w:tcPr>
            <w:tcW w:w="951" w:type="dxa"/>
            <w:tcBorders>
              <w:top w:val="nil"/>
              <w:left w:val="nil"/>
              <w:bottom w:val="nil"/>
              <w:right w:val="nil"/>
            </w:tcBorders>
            <w:shd w:val="clear" w:color="auto" w:fill="auto"/>
            <w:vAlign w:val="center"/>
            <w:hideMark/>
          </w:tcPr>
          <w:p w14:paraId="0772DB0B"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2B9C5217" w14:textId="77777777" w:rsidTr="00760ABD">
        <w:trPr>
          <w:trHeight w:val="268"/>
        </w:trPr>
        <w:tc>
          <w:tcPr>
            <w:tcW w:w="8332" w:type="dxa"/>
            <w:tcBorders>
              <w:top w:val="nil"/>
              <w:left w:val="nil"/>
              <w:bottom w:val="nil"/>
              <w:right w:val="nil"/>
            </w:tcBorders>
            <w:shd w:val="clear" w:color="auto" w:fill="auto"/>
            <w:vAlign w:val="center"/>
            <w:hideMark/>
          </w:tcPr>
          <w:p w14:paraId="18D00DFF" w14:textId="77777777" w:rsidR="00B9311E" w:rsidRPr="00BD77D8" w:rsidRDefault="00B9311E" w:rsidP="00B9311E">
            <w:pPr>
              <w:spacing w:after="0" w:line="240" w:lineRule="auto"/>
              <w:rPr>
                <w:sz w:val="18"/>
                <w:szCs w:val="18"/>
              </w:rPr>
            </w:pPr>
            <w:r w:rsidRPr="00BD77D8">
              <w:rPr>
                <w:sz w:val="18"/>
                <w:szCs w:val="18"/>
              </w:rPr>
              <w:t xml:space="preserve"> Special payments - ex gratia payments </w:t>
            </w:r>
          </w:p>
        </w:tc>
        <w:tc>
          <w:tcPr>
            <w:tcW w:w="1008" w:type="dxa"/>
            <w:tcBorders>
              <w:top w:val="nil"/>
              <w:left w:val="nil"/>
              <w:bottom w:val="nil"/>
              <w:right w:val="nil"/>
            </w:tcBorders>
            <w:shd w:val="clear" w:color="auto" w:fill="auto"/>
            <w:vAlign w:val="center"/>
            <w:hideMark/>
          </w:tcPr>
          <w:p w14:paraId="00B5AC68"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951" w:type="dxa"/>
            <w:tcBorders>
              <w:top w:val="nil"/>
              <w:left w:val="nil"/>
              <w:bottom w:val="nil"/>
              <w:right w:val="nil"/>
            </w:tcBorders>
            <w:shd w:val="clear" w:color="auto" w:fill="auto"/>
            <w:vAlign w:val="center"/>
            <w:hideMark/>
          </w:tcPr>
          <w:p w14:paraId="54A3D12B" w14:textId="77777777" w:rsidR="00B9311E" w:rsidRPr="00BD77D8" w:rsidRDefault="00B9311E" w:rsidP="00B9311E">
            <w:pPr>
              <w:spacing w:after="0" w:line="240" w:lineRule="auto"/>
              <w:jc w:val="right"/>
              <w:rPr>
                <w:sz w:val="18"/>
                <w:szCs w:val="18"/>
              </w:rPr>
            </w:pPr>
            <w:r w:rsidRPr="00BD77D8">
              <w:rPr>
                <w:sz w:val="18"/>
                <w:szCs w:val="18"/>
              </w:rPr>
              <w:t xml:space="preserve">            3 </w:t>
            </w:r>
          </w:p>
        </w:tc>
      </w:tr>
      <w:tr w:rsidR="00BD77D8" w:rsidRPr="00BD77D8" w14:paraId="42D18841" w14:textId="77777777" w:rsidTr="00760ABD">
        <w:trPr>
          <w:trHeight w:val="268"/>
        </w:trPr>
        <w:tc>
          <w:tcPr>
            <w:tcW w:w="8332" w:type="dxa"/>
            <w:tcBorders>
              <w:top w:val="nil"/>
              <w:left w:val="nil"/>
              <w:bottom w:val="nil"/>
              <w:right w:val="nil"/>
            </w:tcBorders>
            <w:shd w:val="clear" w:color="auto" w:fill="auto"/>
            <w:vAlign w:val="center"/>
            <w:hideMark/>
          </w:tcPr>
          <w:p w14:paraId="2705F7C7" w14:textId="77777777" w:rsidR="00B9311E" w:rsidRPr="00BD77D8" w:rsidRDefault="00B9311E" w:rsidP="00B9311E">
            <w:pPr>
              <w:spacing w:after="0" w:line="240" w:lineRule="auto"/>
              <w:rPr>
                <w:sz w:val="18"/>
                <w:szCs w:val="18"/>
              </w:rPr>
            </w:pPr>
            <w:r w:rsidRPr="00BD77D8">
              <w:rPr>
                <w:sz w:val="18"/>
                <w:szCs w:val="18"/>
              </w:rPr>
              <w:t xml:space="preserve"> Other * </w:t>
            </w:r>
          </w:p>
        </w:tc>
        <w:tc>
          <w:tcPr>
            <w:tcW w:w="1008" w:type="dxa"/>
            <w:tcBorders>
              <w:top w:val="nil"/>
              <w:left w:val="nil"/>
              <w:bottom w:val="nil"/>
              <w:right w:val="nil"/>
            </w:tcBorders>
            <w:shd w:val="clear" w:color="auto" w:fill="auto"/>
            <w:vAlign w:val="center"/>
            <w:hideMark/>
          </w:tcPr>
          <w:p w14:paraId="2AFF4258" w14:textId="77777777" w:rsidR="00B9311E" w:rsidRPr="00BD77D8" w:rsidRDefault="00B9311E" w:rsidP="00B9311E">
            <w:pPr>
              <w:spacing w:after="0" w:line="240" w:lineRule="auto"/>
              <w:jc w:val="right"/>
              <w:rPr>
                <w:sz w:val="18"/>
                <w:szCs w:val="18"/>
              </w:rPr>
            </w:pPr>
            <w:r w:rsidRPr="00BD77D8">
              <w:rPr>
                <w:sz w:val="18"/>
                <w:szCs w:val="18"/>
              </w:rPr>
              <w:t xml:space="preserve">     424 </w:t>
            </w:r>
          </w:p>
        </w:tc>
        <w:tc>
          <w:tcPr>
            <w:tcW w:w="951" w:type="dxa"/>
            <w:tcBorders>
              <w:top w:val="nil"/>
              <w:left w:val="nil"/>
              <w:bottom w:val="nil"/>
              <w:right w:val="nil"/>
            </w:tcBorders>
            <w:shd w:val="clear" w:color="auto" w:fill="auto"/>
            <w:vAlign w:val="center"/>
            <w:hideMark/>
          </w:tcPr>
          <w:p w14:paraId="1DA0F486" w14:textId="77777777" w:rsidR="00B9311E" w:rsidRPr="00BD77D8" w:rsidRDefault="00B9311E" w:rsidP="00B9311E">
            <w:pPr>
              <w:spacing w:after="0" w:line="240" w:lineRule="auto"/>
              <w:jc w:val="right"/>
              <w:rPr>
                <w:sz w:val="18"/>
                <w:szCs w:val="18"/>
              </w:rPr>
            </w:pPr>
            <w:r w:rsidRPr="00BD77D8">
              <w:rPr>
                <w:sz w:val="18"/>
                <w:szCs w:val="18"/>
              </w:rPr>
              <w:t xml:space="preserve">    1,689 </w:t>
            </w:r>
          </w:p>
        </w:tc>
      </w:tr>
      <w:tr w:rsidR="00B9311E" w:rsidRPr="00BD77D8" w14:paraId="7E6D2ECD" w14:textId="77777777" w:rsidTr="00760ABD">
        <w:trPr>
          <w:trHeight w:val="268"/>
        </w:trPr>
        <w:tc>
          <w:tcPr>
            <w:tcW w:w="8332" w:type="dxa"/>
            <w:tcBorders>
              <w:top w:val="nil"/>
              <w:left w:val="nil"/>
              <w:bottom w:val="nil"/>
              <w:right w:val="nil"/>
            </w:tcBorders>
            <w:shd w:val="clear" w:color="auto" w:fill="auto"/>
            <w:vAlign w:val="center"/>
            <w:hideMark/>
          </w:tcPr>
          <w:p w14:paraId="7B64FBB4"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1008" w:type="dxa"/>
            <w:tcBorders>
              <w:top w:val="single" w:sz="4" w:space="0" w:color="auto"/>
              <w:left w:val="nil"/>
              <w:bottom w:val="single" w:sz="4" w:space="0" w:color="auto"/>
              <w:right w:val="nil"/>
            </w:tcBorders>
            <w:shd w:val="clear" w:color="auto" w:fill="auto"/>
            <w:vAlign w:val="center"/>
            <w:hideMark/>
          </w:tcPr>
          <w:p w14:paraId="6C191D47" w14:textId="77777777" w:rsidR="00B9311E" w:rsidRPr="00BD77D8" w:rsidRDefault="00B9311E" w:rsidP="00B9311E">
            <w:pPr>
              <w:spacing w:after="0" w:line="240" w:lineRule="auto"/>
              <w:jc w:val="right"/>
              <w:rPr>
                <w:b/>
                <w:bCs/>
                <w:sz w:val="18"/>
                <w:szCs w:val="18"/>
              </w:rPr>
            </w:pPr>
            <w:r w:rsidRPr="00BD77D8">
              <w:rPr>
                <w:b/>
                <w:bCs/>
                <w:sz w:val="18"/>
                <w:szCs w:val="18"/>
              </w:rPr>
              <w:t xml:space="preserve"> 2,214 </w:t>
            </w:r>
          </w:p>
        </w:tc>
        <w:tc>
          <w:tcPr>
            <w:tcW w:w="951" w:type="dxa"/>
            <w:tcBorders>
              <w:top w:val="single" w:sz="4" w:space="0" w:color="auto"/>
              <w:left w:val="nil"/>
              <w:bottom w:val="single" w:sz="4" w:space="0" w:color="auto"/>
              <w:right w:val="nil"/>
            </w:tcBorders>
            <w:shd w:val="clear" w:color="auto" w:fill="auto"/>
            <w:vAlign w:val="center"/>
            <w:hideMark/>
          </w:tcPr>
          <w:p w14:paraId="1A85146C" w14:textId="77777777" w:rsidR="00B9311E" w:rsidRPr="00BD77D8" w:rsidRDefault="00B9311E" w:rsidP="00B9311E">
            <w:pPr>
              <w:spacing w:after="0" w:line="240" w:lineRule="auto"/>
              <w:jc w:val="right"/>
              <w:rPr>
                <w:b/>
                <w:bCs/>
                <w:sz w:val="18"/>
                <w:szCs w:val="18"/>
              </w:rPr>
            </w:pPr>
            <w:r w:rsidRPr="00BD77D8">
              <w:rPr>
                <w:b/>
                <w:bCs/>
                <w:sz w:val="18"/>
                <w:szCs w:val="18"/>
              </w:rPr>
              <w:t xml:space="preserve">    2,944 </w:t>
            </w:r>
          </w:p>
        </w:tc>
      </w:tr>
    </w:tbl>
    <w:p w14:paraId="249AFC1E" w14:textId="77777777" w:rsidR="00B9311E" w:rsidRPr="00BD77D8" w:rsidRDefault="00B9311E" w:rsidP="00B9311E">
      <w:pPr>
        <w:spacing w:after="0" w:line="20" w:lineRule="exact"/>
        <w:rPr>
          <w:rFonts w:eastAsia="PMingLiU"/>
          <w:sz w:val="18"/>
          <w:szCs w:val="18"/>
          <w:lang w:eastAsia="en-US"/>
        </w:rPr>
      </w:pPr>
    </w:p>
    <w:p w14:paraId="68C6C2CB" w14:textId="77777777" w:rsidR="00B9311E" w:rsidRPr="00BD77D8" w:rsidRDefault="00B9311E" w:rsidP="00760ABD">
      <w:pPr>
        <w:spacing w:before="200" w:after="0" w:line="206" w:lineRule="exact"/>
        <w:ind w:right="646"/>
        <w:textAlignment w:val="baseline"/>
        <w:rPr>
          <w:rFonts w:eastAsia="Arial"/>
          <w:b/>
          <w:bCs/>
          <w:sz w:val="16"/>
          <w:szCs w:val="16"/>
          <w:lang w:eastAsia="en-US"/>
        </w:rPr>
      </w:pPr>
      <w:r w:rsidRPr="00BD77D8">
        <w:rPr>
          <w:rFonts w:eastAsia="PMingLiU"/>
          <w:sz w:val="16"/>
          <w:szCs w:val="20"/>
          <w:lang w:eastAsia="en-US"/>
        </w:rPr>
        <w:t xml:space="preserve">^ </w:t>
      </w:r>
      <w:r w:rsidRPr="00BD77D8">
        <w:rPr>
          <w:rFonts w:eastAsia="PMingLiU"/>
          <w:sz w:val="16"/>
          <w:szCs w:val="16"/>
          <w:lang w:eastAsia="en-US"/>
        </w:rPr>
        <w:t xml:space="preserve">Total audit fees quoted by the Queensland Audit Office relating to the 2021-22 financial statements are </w:t>
      </w:r>
      <w:r w:rsidRPr="00BD77D8">
        <w:rPr>
          <w:rFonts w:eastAsia="Arial"/>
          <w:sz w:val="16"/>
          <w:szCs w:val="16"/>
          <w:lang w:eastAsia="en-US"/>
        </w:rPr>
        <w:t>$0.285M (2020-21: $0.285M). There are no non-audit services included in this amount.</w:t>
      </w:r>
    </w:p>
    <w:p w14:paraId="28474DCD" w14:textId="77777777" w:rsidR="00B9311E" w:rsidRPr="00BD77D8" w:rsidRDefault="00B9311E" w:rsidP="00E47A6E">
      <w:pPr>
        <w:spacing w:before="200" w:after="0" w:line="206" w:lineRule="exact"/>
        <w:ind w:right="646"/>
        <w:textAlignment w:val="baseline"/>
        <w:rPr>
          <w:rFonts w:eastAsia="Arial"/>
          <w:b/>
          <w:bCs/>
          <w:spacing w:val="-1"/>
          <w:sz w:val="16"/>
          <w:szCs w:val="16"/>
          <w:lang w:eastAsia="en-US"/>
        </w:rPr>
      </w:pPr>
      <w:r w:rsidRPr="00BD77D8">
        <w:rPr>
          <w:rFonts w:eastAsia="Arial"/>
          <w:spacing w:val="-1"/>
          <w:sz w:val="16"/>
          <w:szCs w:val="16"/>
          <w:lang w:eastAsia="en-US"/>
        </w:rPr>
        <w:t># As a result of property damage caused by a client in care, a loss of public property has been recognised, Certain losses of public property are insured with the Queensland Government Insurance Fund (QGIF). The claim made in respect of this loss has yet to be assessed by QGIF and the amount recoverable cannot be estimated reliably at reporting date. Upon notification by QGIF of the acceptance of the claim, revenue will be recognised for the agreed settlement amount and disclosed as 'Other revenue - Insurance compensation from loss of property'.</w:t>
      </w:r>
    </w:p>
    <w:p w14:paraId="243FFDD8" w14:textId="77777777" w:rsidR="00B9311E" w:rsidRPr="00BD77D8" w:rsidRDefault="00B9311E" w:rsidP="00760ABD">
      <w:pPr>
        <w:spacing w:before="200" w:after="0" w:line="200" w:lineRule="exact"/>
        <w:textAlignment w:val="baseline"/>
        <w:rPr>
          <w:rFonts w:eastAsia="Arial"/>
          <w:spacing w:val="-1"/>
          <w:sz w:val="18"/>
          <w:szCs w:val="18"/>
          <w:lang w:eastAsia="en-US"/>
        </w:rPr>
      </w:pPr>
      <w:r w:rsidRPr="00BD77D8">
        <w:rPr>
          <w:rFonts w:eastAsia="PMingLiU"/>
          <w:sz w:val="16"/>
          <w:szCs w:val="20"/>
          <w:lang w:eastAsia="en-US"/>
        </w:rPr>
        <w:t>*  Other expenses include services received below fair value, including archiving services provided by Queensland State Archives (2021-22 $327K, 2020-21 $198K) and COVID 19 test kits supplied by Queensland Health (2021-22 $74K, 2020-21 Nil). Services received below fair value in 2020-21 included $1.4 million relating to volunteer services for Community Recovery. The Community Recovery program was transferred to Department of Communities, Housing and Digital Economy in the 2020 Machinery-of-Government changes.</w:t>
      </w:r>
    </w:p>
    <w:p w14:paraId="2791E8BC" w14:textId="77777777" w:rsidR="00B9311E" w:rsidRPr="00BD77D8" w:rsidRDefault="00B9311E" w:rsidP="00760ABD">
      <w:pPr>
        <w:spacing w:before="200" w:after="0" w:line="200" w:lineRule="exact"/>
        <w:textAlignment w:val="baseline"/>
        <w:rPr>
          <w:rFonts w:eastAsia="Arial"/>
          <w:b/>
          <w:bCs/>
          <w:spacing w:val="-1"/>
          <w:sz w:val="18"/>
          <w:szCs w:val="18"/>
          <w:lang w:eastAsia="en-US"/>
        </w:rPr>
      </w:pPr>
      <w:r w:rsidRPr="00BD77D8">
        <w:rPr>
          <w:rFonts w:eastAsia="Arial"/>
          <w:b/>
          <w:bCs/>
          <w:spacing w:val="-1"/>
          <w:sz w:val="18"/>
          <w:szCs w:val="18"/>
          <w:lang w:eastAsia="en-US"/>
        </w:rPr>
        <w:t>Special Payments</w:t>
      </w:r>
    </w:p>
    <w:p w14:paraId="707274DE" w14:textId="77777777" w:rsidR="00B9311E" w:rsidRPr="00BD77D8" w:rsidRDefault="00B9311E" w:rsidP="00B9311E">
      <w:pPr>
        <w:tabs>
          <w:tab w:val="left" w:pos="720"/>
        </w:tabs>
        <w:spacing w:after="0" w:line="218" w:lineRule="exact"/>
        <w:textAlignment w:val="baseline"/>
        <w:rPr>
          <w:rFonts w:eastAsia="Arial"/>
          <w:b/>
          <w:bCs/>
          <w:sz w:val="18"/>
          <w:szCs w:val="18"/>
          <w:lang w:eastAsia="en-US"/>
        </w:rPr>
      </w:pPr>
      <w:r w:rsidRPr="00BD77D8">
        <w:rPr>
          <w:rFonts w:eastAsia="Arial"/>
          <w:sz w:val="18"/>
          <w:szCs w:val="18"/>
          <w:lang w:eastAsia="en-US"/>
        </w:rPr>
        <w:t xml:space="preserve">Special payments represent ex gratia expenditure and other expenditure that the department is not contractually or legally obligated to make to other parties. No individual special payments over $5,000 were made during 2021-22. No individual special payments over $5,000 were made during 2020-21. </w:t>
      </w:r>
    </w:p>
    <w:p w14:paraId="71FA6999" w14:textId="3A5C86EE" w:rsidR="00B9311E" w:rsidRPr="00BD77D8" w:rsidRDefault="00B9311E" w:rsidP="00B9311E">
      <w:pPr>
        <w:spacing w:after="0" w:line="204" w:lineRule="exact"/>
        <w:rPr>
          <w:rFonts w:eastAsia="Arial"/>
          <w:b/>
          <w:bCs/>
          <w:sz w:val="18"/>
          <w:szCs w:val="18"/>
          <w:lang w:eastAsia="en-US"/>
        </w:rPr>
        <w:sectPr w:rsidR="00B9311E" w:rsidRPr="00BD77D8" w:rsidSect="000160CF">
          <w:type w:val="nextColumn"/>
          <w:pgSz w:w="11909" w:h="16838"/>
          <w:pgMar w:top="794" w:right="794" w:bottom="794" w:left="794" w:header="720" w:footer="720" w:gutter="0"/>
          <w:cols w:space="720"/>
        </w:sectPr>
      </w:pPr>
    </w:p>
    <w:p w14:paraId="2EB203A6"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7E42D4E3"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64EE03A5"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1A0EC276"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1191015C" w14:textId="3CEA0803" w:rsidR="00B9311E" w:rsidRPr="00BD77D8" w:rsidRDefault="00B9311E" w:rsidP="00E47A6E">
      <w:pPr>
        <w:spacing w:before="200"/>
        <w:rPr>
          <w:rFonts w:eastAsia="Arial"/>
          <w:b/>
          <w:bCs/>
          <w:sz w:val="18"/>
          <w:szCs w:val="18"/>
          <w:lang w:eastAsia="en-US"/>
        </w:rPr>
      </w:pPr>
      <w:bookmarkStart w:id="118" w:name="_Toc111494807"/>
      <w:bookmarkStart w:id="119" w:name="_Toc111540679"/>
      <w:bookmarkStart w:id="120" w:name="_Toc111559242"/>
      <w:bookmarkStart w:id="121" w:name="_Toc113196514"/>
      <w:bookmarkStart w:id="122" w:name="_Toc113196862"/>
      <w:bookmarkStart w:id="123" w:name="_Toc113261992"/>
      <w:bookmarkStart w:id="124" w:name="_Toc113349146"/>
      <w:bookmarkStart w:id="125" w:name="_Toc113358071"/>
      <w:r w:rsidRPr="00BD77D8">
        <w:rPr>
          <w:rFonts w:eastAsia="Arial"/>
          <w:b/>
          <w:bCs/>
          <w:sz w:val="24"/>
          <w:szCs w:val="24"/>
          <w:lang w:eastAsia="en-US"/>
        </w:rPr>
        <w:t>Our Financial Position</w:t>
      </w:r>
      <w:bookmarkEnd w:id="118"/>
      <w:bookmarkEnd w:id="119"/>
      <w:bookmarkEnd w:id="120"/>
      <w:bookmarkEnd w:id="121"/>
      <w:bookmarkEnd w:id="122"/>
      <w:bookmarkEnd w:id="123"/>
      <w:bookmarkEnd w:id="124"/>
      <w:bookmarkEnd w:id="125"/>
    </w:p>
    <w:p w14:paraId="02EDD196" w14:textId="77777777" w:rsidR="00B9311E" w:rsidRPr="00BD77D8" w:rsidRDefault="00B9311E" w:rsidP="009D387F">
      <w:pPr>
        <w:spacing w:line="180" w:lineRule="atLeast"/>
        <w:rPr>
          <w:rFonts w:ascii="Calibri Light" w:hAnsi="Calibri Light" w:cs="Times New Roman"/>
          <w:b/>
          <w:bCs/>
          <w:sz w:val="22"/>
          <w:szCs w:val="22"/>
          <w:lang w:val="en-US" w:eastAsia="en-US"/>
        </w:rPr>
      </w:pPr>
      <w:bookmarkStart w:id="126" w:name="_Toc111494808"/>
      <w:bookmarkStart w:id="127" w:name="_Toc111540680"/>
      <w:bookmarkStart w:id="128" w:name="_Toc111559243"/>
      <w:bookmarkStart w:id="129" w:name="_Toc113196515"/>
      <w:bookmarkStart w:id="130" w:name="_Toc113196863"/>
      <w:bookmarkStart w:id="131" w:name="_Toc113261993"/>
      <w:bookmarkStart w:id="132" w:name="_Toc113349147"/>
      <w:bookmarkStart w:id="133" w:name="_Toc113358072"/>
      <w:r w:rsidRPr="00BD77D8">
        <w:rPr>
          <w:rFonts w:eastAsia="Arial"/>
          <w:b/>
          <w:bCs/>
          <w:sz w:val="22"/>
          <w:szCs w:val="22"/>
          <w:lang w:eastAsia="en-US"/>
        </w:rPr>
        <w:t>C1 Cash and Cash Equivalents</w:t>
      </w:r>
      <w:bookmarkEnd w:id="126"/>
      <w:bookmarkEnd w:id="127"/>
      <w:bookmarkEnd w:id="128"/>
      <w:bookmarkEnd w:id="129"/>
      <w:bookmarkEnd w:id="130"/>
      <w:bookmarkEnd w:id="131"/>
      <w:bookmarkEnd w:id="132"/>
      <w:bookmarkEnd w:id="133"/>
    </w:p>
    <w:tbl>
      <w:tblPr>
        <w:tblW w:w="10348" w:type="dxa"/>
        <w:tblCellMar>
          <w:left w:w="0" w:type="dxa"/>
          <w:right w:w="0" w:type="dxa"/>
        </w:tblCellMar>
        <w:tblLook w:val="04A0" w:firstRow="1" w:lastRow="0" w:firstColumn="1" w:lastColumn="0" w:noHBand="0" w:noVBand="1"/>
      </w:tblPr>
      <w:tblGrid>
        <w:gridCol w:w="8048"/>
        <w:gridCol w:w="1102"/>
        <w:gridCol w:w="1198"/>
      </w:tblGrid>
      <w:tr w:rsidR="00BD77D8" w:rsidRPr="00BD77D8" w14:paraId="1AA6B3C2" w14:textId="77777777" w:rsidTr="003057FB">
        <w:trPr>
          <w:trHeight w:val="267"/>
        </w:trPr>
        <w:tc>
          <w:tcPr>
            <w:tcW w:w="8080" w:type="dxa"/>
            <w:tcBorders>
              <w:top w:val="nil"/>
              <w:left w:val="nil"/>
              <w:bottom w:val="nil"/>
              <w:right w:val="nil"/>
            </w:tcBorders>
            <w:shd w:val="clear" w:color="auto" w:fill="auto"/>
            <w:vAlign w:val="center"/>
            <w:hideMark/>
          </w:tcPr>
          <w:p w14:paraId="788E0C94" w14:textId="77777777" w:rsidR="00B9311E" w:rsidRPr="00BD77D8" w:rsidRDefault="00B9311E" w:rsidP="00B9311E">
            <w:pPr>
              <w:spacing w:after="0" w:line="240" w:lineRule="auto"/>
              <w:rPr>
                <w:rFonts w:ascii="Times New Roman" w:hAnsi="Times New Roman" w:cs="Times New Roman"/>
                <w:sz w:val="24"/>
                <w:szCs w:val="24"/>
              </w:rPr>
            </w:pPr>
          </w:p>
        </w:tc>
        <w:tc>
          <w:tcPr>
            <w:tcW w:w="1086" w:type="dxa"/>
            <w:tcBorders>
              <w:top w:val="nil"/>
              <w:left w:val="nil"/>
              <w:bottom w:val="nil"/>
              <w:right w:val="nil"/>
            </w:tcBorders>
            <w:shd w:val="clear" w:color="auto" w:fill="auto"/>
            <w:noWrap/>
            <w:vAlign w:val="bottom"/>
            <w:hideMark/>
          </w:tcPr>
          <w:p w14:paraId="7C858698"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182" w:type="dxa"/>
            <w:tcBorders>
              <w:top w:val="nil"/>
              <w:left w:val="nil"/>
              <w:bottom w:val="nil"/>
              <w:right w:val="nil"/>
            </w:tcBorders>
            <w:shd w:val="clear" w:color="auto" w:fill="auto"/>
            <w:noWrap/>
            <w:vAlign w:val="bottom"/>
            <w:hideMark/>
          </w:tcPr>
          <w:p w14:paraId="29897DAA"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21D29112" w14:textId="77777777" w:rsidTr="003057FB">
        <w:trPr>
          <w:trHeight w:val="267"/>
        </w:trPr>
        <w:tc>
          <w:tcPr>
            <w:tcW w:w="8080" w:type="dxa"/>
            <w:tcBorders>
              <w:top w:val="nil"/>
              <w:left w:val="nil"/>
              <w:bottom w:val="nil"/>
              <w:right w:val="nil"/>
            </w:tcBorders>
            <w:shd w:val="clear" w:color="auto" w:fill="auto"/>
            <w:vAlign w:val="center"/>
            <w:hideMark/>
          </w:tcPr>
          <w:p w14:paraId="084ADA85" w14:textId="77777777" w:rsidR="00B9311E" w:rsidRPr="00BD77D8" w:rsidRDefault="00B9311E" w:rsidP="00B9311E">
            <w:pPr>
              <w:spacing w:after="0" w:line="240" w:lineRule="auto"/>
              <w:jc w:val="right"/>
              <w:rPr>
                <w:sz w:val="18"/>
                <w:szCs w:val="18"/>
              </w:rPr>
            </w:pPr>
          </w:p>
        </w:tc>
        <w:tc>
          <w:tcPr>
            <w:tcW w:w="1086" w:type="dxa"/>
            <w:tcBorders>
              <w:top w:val="nil"/>
              <w:left w:val="nil"/>
              <w:bottom w:val="single" w:sz="4" w:space="0" w:color="auto"/>
              <w:right w:val="nil"/>
            </w:tcBorders>
            <w:shd w:val="clear" w:color="auto" w:fill="auto"/>
            <w:noWrap/>
            <w:vAlign w:val="bottom"/>
            <w:hideMark/>
          </w:tcPr>
          <w:p w14:paraId="3AADC6E8" w14:textId="77777777" w:rsidR="00B9311E" w:rsidRPr="00BD77D8" w:rsidRDefault="00B9311E" w:rsidP="00B9311E">
            <w:pPr>
              <w:spacing w:after="0" w:line="240" w:lineRule="auto"/>
              <w:jc w:val="right"/>
              <w:rPr>
                <w:b/>
                <w:bCs/>
                <w:sz w:val="18"/>
                <w:szCs w:val="18"/>
              </w:rPr>
            </w:pPr>
            <w:r w:rsidRPr="00BD77D8">
              <w:rPr>
                <w:b/>
                <w:bCs/>
                <w:sz w:val="18"/>
                <w:szCs w:val="18"/>
              </w:rPr>
              <w:t>$'000</w:t>
            </w:r>
          </w:p>
        </w:tc>
        <w:tc>
          <w:tcPr>
            <w:tcW w:w="1182" w:type="dxa"/>
            <w:tcBorders>
              <w:top w:val="nil"/>
              <w:left w:val="nil"/>
              <w:bottom w:val="single" w:sz="4" w:space="0" w:color="auto"/>
              <w:right w:val="nil"/>
            </w:tcBorders>
            <w:shd w:val="clear" w:color="auto" w:fill="auto"/>
            <w:noWrap/>
            <w:vAlign w:val="bottom"/>
            <w:hideMark/>
          </w:tcPr>
          <w:p w14:paraId="37B47AAA" w14:textId="77777777" w:rsidR="00B9311E" w:rsidRPr="00BD77D8" w:rsidRDefault="00B9311E" w:rsidP="00B9311E">
            <w:pPr>
              <w:spacing w:after="0" w:line="240" w:lineRule="auto"/>
              <w:jc w:val="right"/>
              <w:rPr>
                <w:b/>
                <w:bCs/>
                <w:sz w:val="18"/>
                <w:szCs w:val="18"/>
              </w:rPr>
            </w:pPr>
            <w:r w:rsidRPr="00BD77D8">
              <w:rPr>
                <w:b/>
                <w:bCs/>
                <w:sz w:val="18"/>
                <w:szCs w:val="18"/>
              </w:rPr>
              <w:t>$'000</w:t>
            </w:r>
          </w:p>
        </w:tc>
      </w:tr>
      <w:tr w:rsidR="00BD77D8" w:rsidRPr="00BD77D8" w14:paraId="3D678CA7" w14:textId="77777777" w:rsidTr="003057FB">
        <w:trPr>
          <w:trHeight w:val="267"/>
        </w:trPr>
        <w:tc>
          <w:tcPr>
            <w:tcW w:w="8080" w:type="dxa"/>
            <w:tcBorders>
              <w:top w:val="nil"/>
              <w:left w:val="nil"/>
              <w:bottom w:val="nil"/>
              <w:right w:val="nil"/>
            </w:tcBorders>
            <w:shd w:val="clear" w:color="auto" w:fill="auto"/>
            <w:vAlign w:val="center"/>
            <w:hideMark/>
          </w:tcPr>
          <w:p w14:paraId="261413B1" w14:textId="77777777" w:rsidR="00B9311E" w:rsidRPr="00BD77D8" w:rsidRDefault="00B9311E" w:rsidP="00B9311E">
            <w:pPr>
              <w:spacing w:after="0" w:line="240" w:lineRule="auto"/>
              <w:rPr>
                <w:sz w:val="18"/>
                <w:szCs w:val="18"/>
              </w:rPr>
            </w:pPr>
            <w:r w:rsidRPr="00BD77D8">
              <w:rPr>
                <w:sz w:val="18"/>
                <w:szCs w:val="18"/>
              </w:rPr>
              <w:t xml:space="preserve"> Cash on hand </w:t>
            </w:r>
          </w:p>
        </w:tc>
        <w:tc>
          <w:tcPr>
            <w:tcW w:w="1086" w:type="dxa"/>
            <w:tcBorders>
              <w:top w:val="nil"/>
              <w:left w:val="nil"/>
              <w:bottom w:val="nil"/>
              <w:right w:val="nil"/>
            </w:tcBorders>
            <w:shd w:val="clear" w:color="auto" w:fill="auto"/>
            <w:vAlign w:val="center"/>
            <w:hideMark/>
          </w:tcPr>
          <w:p w14:paraId="6B4430F5"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1182" w:type="dxa"/>
            <w:tcBorders>
              <w:top w:val="nil"/>
              <w:left w:val="nil"/>
              <w:bottom w:val="nil"/>
              <w:right w:val="nil"/>
            </w:tcBorders>
            <w:shd w:val="clear" w:color="auto" w:fill="auto"/>
            <w:vAlign w:val="center"/>
            <w:hideMark/>
          </w:tcPr>
          <w:p w14:paraId="32172808" w14:textId="77777777" w:rsidR="00B9311E" w:rsidRPr="00BD77D8" w:rsidRDefault="00B9311E" w:rsidP="00B9311E">
            <w:pPr>
              <w:spacing w:after="0" w:line="240" w:lineRule="auto"/>
              <w:jc w:val="right"/>
              <w:rPr>
                <w:sz w:val="18"/>
                <w:szCs w:val="18"/>
              </w:rPr>
            </w:pPr>
            <w:r w:rsidRPr="00BD77D8">
              <w:rPr>
                <w:sz w:val="18"/>
                <w:szCs w:val="18"/>
              </w:rPr>
              <w:t xml:space="preserve">              5 </w:t>
            </w:r>
          </w:p>
        </w:tc>
      </w:tr>
      <w:tr w:rsidR="00BD77D8" w:rsidRPr="00BD77D8" w14:paraId="0242BBC9" w14:textId="77777777" w:rsidTr="003057FB">
        <w:trPr>
          <w:trHeight w:val="267"/>
        </w:trPr>
        <w:tc>
          <w:tcPr>
            <w:tcW w:w="8080" w:type="dxa"/>
            <w:tcBorders>
              <w:top w:val="nil"/>
              <w:left w:val="nil"/>
              <w:bottom w:val="nil"/>
              <w:right w:val="nil"/>
            </w:tcBorders>
            <w:shd w:val="clear" w:color="auto" w:fill="auto"/>
            <w:vAlign w:val="center"/>
            <w:hideMark/>
          </w:tcPr>
          <w:p w14:paraId="488BC307" w14:textId="77777777" w:rsidR="00B9311E" w:rsidRPr="00BD77D8" w:rsidRDefault="00B9311E" w:rsidP="00B9311E">
            <w:pPr>
              <w:spacing w:after="0" w:line="240" w:lineRule="auto"/>
              <w:rPr>
                <w:sz w:val="18"/>
                <w:szCs w:val="18"/>
              </w:rPr>
            </w:pPr>
            <w:r w:rsidRPr="00BD77D8">
              <w:rPr>
                <w:sz w:val="18"/>
                <w:szCs w:val="18"/>
              </w:rPr>
              <w:t xml:space="preserve"> Cash at Bank </w:t>
            </w:r>
          </w:p>
        </w:tc>
        <w:tc>
          <w:tcPr>
            <w:tcW w:w="1086" w:type="dxa"/>
            <w:tcBorders>
              <w:top w:val="nil"/>
              <w:left w:val="nil"/>
              <w:bottom w:val="nil"/>
              <w:right w:val="nil"/>
            </w:tcBorders>
            <w:shd w:val="clear" w:color="auto" w:fill="auto"/>
            <w:vAlign w:val="center"/>
            <w:hideMark/>
          </w:tcPr>
          <w:p w14:paraId="34C5ADA6" w14:textId="77777777" w:rsidR="00B9311E" w:rsidRPr="00BD77D8" w:rsidRDefault="00B9311E" w:rsidP="00B9311E">
            <w:pPr>
              <w:spacing w:after="0" w:line="240" w:lineRule="auto"/>
              <w:jc w:val="right"/>
              <w:rPr>
                <w:sz w:val="18"/>
                <w:szCs w:val="18"/>
              </w:rPr>
            </w:pPr>
            <w:r w:rsidRPr="00BD77D8">
              <w:rPr>
                <w:sz w:val="18"/>
                <w:szCs w:val="18"/>
              </w:rPr>
              <w:t xml:space="preserve"> 51,003 </w:t>
            </w:r>
          </w:p>
        </w:tc>
        <w:tc>
          <w:tcPr>
            <w:tcW w:w="1182" w:type="dxa"/>
            <w:tcBorders>
              <w:top w:val="nil"/>
              <w:left w:val="nil"/>
              <w:bottom w:val="nil"/>
              <w:right w:val="nil"/>
            </w:tcBorders>
            <w:shd w:val="clear" w:color="auto" w:fill="auto"/>
            <w:vAlign w:val="center"/>
            <w:hideMark/>
          </w:tcPr>
          <w:p w14:paraId="1EA3856F" w14:textId="77777777" w:rsidR="00B9311E" w:rsidRPr="00BD77D8" w:rsidRDefault="00B9311E" w:rsidP="00B9311E">
            <w:pPr>
              <w:spacing w:after="0" w:line="240" w:lineRule="auto"/>
              <w:jc w:val="right"/>
              <w:rPr>
                <w:sz w:val="18"/>
                <w:szCs w:val="18"/>
              </w:rPr>
            </w:pPr>
            <w:r w:rsidRPr="00BD77D8">
              <w:rPr>
                <w:sz w:val="18"/>
                <w:szCs w:val="18"/>
              </w:rPr>
              <w:t xml:space="preserve">    54,835 </w:t>
            </w:r>
          </w:p>
        </w:tc>
      </w:tr>
      <w:tr w:rsidR="00BD77D8" w:rsidRPr="00BD77D8" w14:paraId="0558FEAE" w14:textId="77777777" w:rsidTr="003057FB">
        <w:trPr>
          <w:trHeight w:val="267"/>
        </w:trPr>
        <w:tc>
          <w:tcPr>
            <w:tcW w:w="8080" w:type="dxa"/>
            <w:tcBorders>
              <w:top w:val="nil"/>
              <w:left w:val="nil"/>
              <w:bottom w:val="nil"/>
              <w:right w:val="nil"/>
            </w:tcBorders>
            <w:shd w:val="clear" w:color="auto" w:fill="auto"/>
            <w:vAlign w:val="center"/>
            <w:hideMark/>
          </w:tcPr>
          <w:p w14:paraId="552AB3EF"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1086" w:type="dxa"/>
            <w:tcBorders>
              <w:top w:val="single" w:sz="4" w:space="0" w:color="auto"/>
              <w:left w:val="nil"/>
              <w:bottom w:val="single" w:sz="4" w:space="0" w:color="auto"/>
              <w:right w:val="nil"/>
            </w:tcBorders>
            <w:shd w:val="clear" w:color="auto" w:fill="auto"/>
            <w:vAlign w:val="center"/>
            <w:hideMark/>
          </w:tcPr>
          <w:p w14:paraId="6245AE38" w14:textId="77777777" w:rsidR="00B9311E" w:rsidRPr="00BD77D8" w:rsidRDefault="00B9311E" w:rsidP="00B9311E">
            <w:pPr>
              <w:spacing w:after="0" w:line="240" w:lineRule="auto"/>
              <w:jc w:val="right"/>
              <w:rPr>
                <w:b/>
                <w:bCs/>
                <w:sz w:val="18"/>
                <w:szCs w:val="18"/>
              </w:rPr>
            </w:pPr>
            <w:r w:rsidRPr="00BD77D8">
              <w:rPr>
                <w:b/>
                <w:bCs/>
                <w:sz w:val="18"/>
                <w:szCs w:val="18"/>
              </w:rPr>
              <w:t xml:space="preserve"> 51,005 </w:t>
            </w:r>
          </w:p>
        </w:tc>
        <w:tc>
          <w:tcPr>
            <w:tcW w:w="1182" w:type="dxa"/>
            <w:tcBorders>
              <w:top w:val="single" w:sz="4" w:space="0" w:color="auto"/>
              <w:left w:val="nil"/>
              <w:bottom w:val="single" w:sz="4" w:space="0" w:color="auto"/>
              <w:right w:val="nil"/>
            </w:tcBorders>
            <w:shd w:val="clear" w:color="auto" w:fill="auto"/>
            <w:vAlign w:val="center"/>
            <w:hideMark/>
          </w:tcPr>
          <w:p w14:paraId="26397562" w14:textId="77777777" w:rsidR="00B9311E" w:rsidRPr="00BD77D8" w:rsidRDefault="00B9311E" w:rsidP="00B9311E">
            <w:pPr>
              <w:spacing w:after="0" w:line="240" w:lineRule="auto"/>
              <w:jc w:val="right"/>
              <w:rPr>
                <w:b/>
                <w:bCs/>
                <w:sz w:val="18"/>
                <w:szCs w:val="18"/>
              </w:rPr>
            </w:pPr>
            <w:r w:rsidRPr="00BD77D8">
              <w:rPr>
                <w:b/>
                <w:bCs/>
                <w:sz w:val="18"/>
                <w:szCs w:val="18"/>
              </w:rPr>
              <w:t xml:space="preserve">    54,840 </w:t>
            </w:r>
          </w:p>
        </w:tc>
      </w:tr>
    </w:tbl>
    <w:p w14:paraId="23933BC4" w14:textId="77777777" w:rsidR="00B9311E" w:rsidRPr="00BD77D8" w:rsidRDefault="00B9311E" w:rsidP="00E47A6E">
      <w:pPr>
        <w:spacing w:before="200" w:line="206" w:lineRule="exact"/>
        <w:textAlignment w:val="baseline"/>
        <w:rPr>
          <w:rFonts w:eastAsia="Arial"/>
          <w:b/>
          <w:bCs/>
          <w:sz w:val="18"/>
          <w:szCs w:val="18"/>
          <w:lang w:eastAsia="en-US"/>
        </w:rPr>
      </w:pPr>
      <w:r w:rsidRPr="00BD77D8">
        <w:rPr>
          <w:rFonts w:eastAsia="Arial"/>
          <w:b/>
          <w:bCs/>
          <w:sz w:val="18"/>
          <w:szCs w:val="18"/>
          <w:lang w:eastAsia="en-US"/>
        </w:rPr>
        <w:t>Accounting policy - Cash and Cash equivalents</w:t>
      </w:r>
    </w:p>
    <w:p w14:paraId="5F353705" w14:textId="77777777" w:rsidR="00B9311E" w:rsidRPr="00BD77D8" w:rsidRDefault="00B9311E" w:rsidP="00E47A6E">
      <w:pPr>
        <w:spacing w:line="208" w:lineRule="exact"/>
        <w:textAlignment w:val="baseline"/>
        <w:rPr>
          <w:rFonts w:eastAsia="Arial"/>
          <w:b/>
          <w:sz w:val="18"/>
          <w:szCs w:val="18"/>
          <w:lang w:eastAsia="en-US"/>
        </w:rPr>
      </w:pPr>
      <w:r w:rsidRPr="00BD77D8">
        <w:rPr>
          <w:rFonts w:eastAsia="Arial"/>
          <w:sz w:val="18"/>
          <w:szCs w:val="18"/>
          <w:lang w:eastAsia="en-US"/>
        </w:rPr>
        <w:t xml:space="preserve">For the purposes of the </w:t>
      </w:r>
      <w:r w:rsidRPr="00BD77D8">
        <w:rPr>
          <w:rFonts w:eastAsia="Arial"/>
          <w:spacing w:val="3"/>
          <w:sz w:val="18"/>
          <w:szCs w:val="18"/>
          <w:lang w:eastAsia="en-US"/>
        </w:rPr>
        <w:t>statement of financial performance</w:t>
      </w:r>
      <w:r w:rsidRPr="00BD77D8">
        <w:rPr>
          <w:rFonts w:eastAsia="Arial"/>
          <w:sz w:val="18"/>
          <w:szCs w:val="18"/>
          <w:lang w:eastAsia="en-US"/>
        </w:rPr>
        <w:t xml:space="preserve"> and the statement of cash flows, cash assets include all cash and cheques receipted but not banked on 30 June 2022.</w:t>
      </w:r>
    </w:p>
    <w:p w14:paraId="06FC0509" w14:textId="77777777" w:rsidR="00B9311E" w:rsidRPr="00BD77D8" w:rsidRDefault="00B9311E" w:rsidP="00E47A6E">
      <w:pPr>
        <w:spacing w:line="208" w:lineRule="exact"/>
        <w:textAlignment w:val="baseline"/>
        <w:rPr>
          <w:rFonts w:eastAsia="Arial"/>
          <w:b/>
          <w:sz w:val="18"/>
          <w:szCs w:val="18"/>
          <w:lang w:eastAsia="en-US"/>
        </w:rPr>
      </w:pPr>
      <w:r w:rsidRPr="00BD77D8">
        <w:rPr>
          <w:rFonts w:eastAsia="Arial"/>
          <w:sz w:val="18"/>
          <w:szCs w:val="18"/>
          <w:lang w:eastAsia="en-US"/>
        </w:rPr>
        <w:t>The department's cash at bank as at 30 June 2022 is held with the Commonwealth Bank of Australia. The department held cash with the Queensland Treasury Corporation (QTC) to support the Elderly Parent Carer Innovation Initiative with that bank account closed in November 2021 following the conclusion of the Initiative.</w:t>
      </w:r>
    </w:p>
    <w:p w14:paraId="4B29BF3B" w14:textId="77777777" w:rsidR="00B9311E" w:rsidRPr="00BD77D8" w:rsidRDefault="00B9311E" w:rsidP="009D387F">
      <w:pPr>
        <w:spacing w:line="180" w:lineRule="atLeast"/>
        <w:rPr>
          <w:rFonts w:ascii="Calibri Light" w:hAnsi="Calibri Light" w:cs="Times New Roman"/>
          <w:b/>
          <w:bCs/>
          <w:sz w:val="22"/>
          <w:szCs w:val="22"/>
          <w:lang w:val="en-US" w:eastAsia="en-US"/>
        </w:rPr>
      </w:pPr>
      <w:bookmarkStart w:id="134" w:name="_Toc111494809"/>
      <w:bookmarkStart w:id="135" w:name="_Toc111540681"/>
      <w:bookmarkStart w:id="136" w:name="_Toc111559244"/>
      <w:bookmarkStart w:id="137" w:name="_Toc113196516"/>
      <w:bookmarkStart w:id="138" w:name="_Toc113196864"/>
      <w:bookmarkStart w:id="139" w:name="_Toc113261994"/>
      <w:bookmarkStart w:id="140" w:name="_Toc113349148"/>
      <w:bookmarkStart w:id="141" w:name="_Toc113358073"/>
      <w:r w:rsidRPr="00BD77D8">
        <w:rPr>
          <w:rFonts w:eastAsia="Arial"/>
          <w:b/>
          <w:bCs/>
          <w:sz w:val="22"/>
          <w:szCs w:val="22"/>
          <w:lang w:eastAsia="en-US"/>
        </w:rPr>
        <w:t>C2 Receivables</w:t>
      </w:r>
      <w:bookmarkEnd w:id="134"/>
      <w:bookmarkEnd w:id="135"/>
      <w:bookmarkEnd w:id="136"/>
      <w:bookmarkEnd w:id="137"/>
      <w:bookmarkEnd w:id="138"/>
      <w:bookmarkEnd w:id="139"/>
      <w:bookmarkEnd w:id="140"/>
      <w:bookmarkEnd w:id="141"/>
    </w:p>
    <w:tbl>
      <w:tblPr>
        <w:tblW w:w="10348" w:type="dxa"/>
        <w:tblCellMar>
          <w:left w:w="0" w:type="dxa"/>
          <w:right w:w="0" w:type="dxa"/>
        </w:tblCellMar>
        <w:tblLook w:val="04A0" w:firstRow="1" w:lastRow="0" w:firstColumn="1" w:lastColumn="0" w:noHBand="0" w:noVBand="1"/>
      </w:tblPr>
      <w:tblGrid>
        <w:gridCol w:w="8048"/>
        <w:gridCol w:w="1134"/>
        <w:gridCol w:w="1166"/>
      </w:tblGrid>
      <w:tr w:rsidR="00BD77D8" w:rsidRPr="00BD77D8" w14:paraId="1F3E0E93" w14:textId="77777777" w:rsidTr="003057FB">
        <w:trPr>
          <w:trHeight w:val="280"/>
        </w:trPr>
        <w:tc>
          <w:tcPr>
            <w:tcW w:w="8080" w:type="dxa"/>
            <w:vMerge w:val="restart"/>
            <w:tcBorders>
              <w:top w:val="nil"/>
              <w:left w:val="nil"/>
              <w:bottom w:val="nil"/>
              <w:right w:val="nil"/>
            </w:tcBorders>
            <w:shd w:val="clear" w:color="auto" w:fill="auto"/>
            <w:vAlign w:val="center"/>
            <w:hideMark/>
          </w:tcPr>
          <w:p w14:paraId="1B9A1F37" w14:textId="77777777" w:rsidR="00B9311E" w:rsidRPr="00BD77D8" w:rsidRDefault="00B9311E" w:rsidP="00B9311E">
            <w:pPr>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auto"/>
            <w:noWrap/>
            <w:vAlign w:val="bottom"/>
            <w:hideMark/>
          </w:tcPr>
          <w:p w14:paraId="02AC4039"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150" w:type="dxa"/>
            <w:tcBorders>
              <w:top w:val="nil"/>
              <w:left w:val="nil"/>
              <w:bottom w:val="nil"/>
              <w:right w:val="nil"/>
            </w:tcBorders>
            <w:shd w:val="clear" w:color="auto" w:fill="auto"/>
            <w:noWrap/>
            <w:vAlign w:val="bottom"/>
            <w:hideMark/>
          </w:tcPr>
          <w:p w14:paraId="252889E0"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464A3E52" w14:textId="77777777" w:rsidTr="003057FB">
        <w:trPr>
          <w:trHeight w:val="280"/>
        </w:trPr>
        <w:tc>
          <w:tcPr>
            <w:tcW w:w="8080" w:type="dxa"/>
            <w:vMerge/>
            <w:tcBorders>
              <w:top w:val="nil"/>
              <w:left w:val="nil"/>
              <w:bottom w:val="nil"/>
              <w:right w:val="nil"/>
            </w:tcBorders>
            <w:vAlign w:val="center"/>
            <w:hideMark/>
          </w:tcPr>
          <w:p w14:paraId="2AC1F0B9" w14:textId="77777777" w:rsidR="00B9311E" w:rsidRPr="00BD77D8" w:rsidRDefault="00B9311E" w:rsidP="00B9311E">
            <w:pPr>
              <w:spacing w:after="0" w:line="240" w:lineRule="auto"/>
              <w:rPr>
                <w:rFonts w:ascii="Times New Roman" w:hAnsi="Times New Roman" w:cs="Times New Roman"/>
                <w:sz w:val="24"/>
                <w:szCs w:val="24"/>
              </w:rPr>
            </w:pPr>
          </w:p>
        </w:tc>
        <w:tc>
          <w:tcPr>
            <w:tcW w:w="1118" w:type="dxa"/>
            <w:tcBorders>
              <w:top w:val="nil"/>
              <w:left w:val="nil"/>
              <w:bottom w:val="single" w:sz="4" w:space="0" w:color="auto"/>
              <w:right w:val="nil"/>
            </w:tcBorders>
            <w:shd w:val="clear" w:color="auto" w:fill="auto"/>
            <w:vAlign w:val="center"/>
            <w:hideMark/>
          </w:tcPr>
          <w:p w14:paraId="6D3CC272"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150" w:type="dxa"/>
            <w:tcBorders>
              <w:top w:val="nil"/>
              <w:left w:val="nil"/>
              <w:bottom w:val="single" w:sz="4" w:space="0" w:color="auto"/>
              <w:right w:val="nil"/>
            </w:tcBorders>
            <w:shd w:val="clear" w:color="auto" w:fill="auto"/>
            <w:vAlign w:val="center"/>
            <w:hideMark/>
          </w:tcPr>
          <w:p w14:paraId="4EFC7611"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4F1381EB" w14:textId="77777777" w:rsidTr="003057FB">
        <w:trPr>
          <w:trHeight w:val="280"/>
        </w:trPr>
        <w:tc>
          <w:tcPr>
            <w:tcW w:w="8080" w:type="dxa"/>
            <w:tcBorders>
              <w:top w:val="nil"/>
              <w:left w:val="nil"/>
              <w:bottom w:val="nil"/>
              <w:right w:val="nil"/>
            </w:tcBorders>
            <w:shd w:val="clear" w:color="auto" w:fill="auto"/>
            <w:vAlign w:val="center"/>
            <w:hideMark/>
          </w:tcPr>
          <w:p w14:paraId="2945A8F5" w14:textId="77777777" w:rsidR="00B9311E" w:rsidRPr="00BD77D8" w:rsidRDefault="00B9311E" w:rsidP="00B9311E">
            <w:pPr>
              <w:spacing w:after="0" w:line="240" w:lineRule="auto"/>
              <w:rPr>
                <w:b/>
                <w:bCs/>
                <w:sz w:val="18"/>
                <w:szCs w:val="18"/>
              </w:rPr>
            </w:pPr>
            <w:r w:rsidRPr="00BD77D8">
              <w:rPr>
                <w:b/>
                <w:bCs/>
                <w:sz w:val="18"/>
                <w:szCs w:val="18"/>
              </w:rPr>
              <w:t xml:space="preserve"> Current </w:t>
            </w:r>
          </w:p>
        </w:tc>
        <w:tc>
          <w:tcPr>
            <w:tcW w:w="1118" w:type="dxa"/>
            <w:tcBorders>
              <w:top w:val="nil"/>
              <w:left w:val="nil"/>
              <w:bottom w:val="nil"/>
              <w:right w:val="nil"/>
            </w:tcBorders>
            <w:shd w:val="clear" w:color="auto" w:fill="auto"/>
            <w:vAlign w:val="center"/>
            <w:hideMark/>
          </w:tcPr>
          <w:p w14:paraId="706F7852" w14:textId="77777777" w:rsidR="00B9311E" w:rsidRPr="00BD77D8" w:rsidRDefault="00B9311E" w:rsidP="00B9311E">
            <w:pPr>
              <w:spacing w:after="0" w:line="240" w:lineRule="auto"/>
              <w:rPr>
                <w:b/>
                <w:bCs/>
                <w:sz w:val="18"/>
                <w:szCs w:val="18"/>
              </w:rPr>
            </w:pPr>
          </w:p>
        </w:tc>
        <w:tc>
          <w:tcPr>
            <w:tcW w:w="1150" w:type="dxa"/>
            <w:tcBorders>
              <w:top w:val="nil"/>
              <w:left w:val="nil"/>
              <w:bottom w:val="nil"/>
              <w:right w:val="nil"/>
            </w:tcBorders>
            <w:shd w:val="clear" w:color="auto" w:fill="auto"/>
            <w:vAlign w:val="center"/>
            <w:hideMark/>
          </w:tcPr>
          <w:p w14:paraId="7F67E044"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353F0282" w14:textId="77777777" w:rsidTr="003057FB">
        <w:trPr>
          <w:trHeight w:val="280"/>
        </w:trPr>
        <w:tc>
          <w:tcPr>
            <w:tcW w:w="8080" w:type="dxa"/>
            <w:tcBorders>
              <w:top w:val="nil"/>
              <w:left w:val="nil"/>
              <w:bottom w:val="nil"/>
              <w:right w:val="nil"/>
            </w:tcBorders>
            <w:shd w:val="clear" w:color="auto" w:fill="auto"/>
            <w:vAlign w:val="center"/>
            <w:hideMark/>
          </w:tcPr>
          <w:p w14:paraId="3A6BFFE5" w14:textId="77777777" w:rsidR="00B9311E" w:rsidRPr="00BD77D8" w:rsidRDefault="00B9311E" w:rsidP="00B9311E">
            <w:pPr>
              <w:spacing w:after="0" w:line="240" w:lineRule="auto"/>
              <w:rPr>
                <w:sz w:val="18"/>
                <w:szCs w:val="18"/>
              </w:rPr>
            </w:pPr>
            <w:r w:rsidRPr="00BD77D8">
              <w:rPr>
                <w:sz w:val="18"/>
                <w:szCs w:val="18"/>
              </w:rPr>
              <w:t xml:space="preserve"> Trade and other debtors </w:t>
            </w:r>
          </w:p>
        </w:tc>
        <w:tc>
          <w:tcPr>
            <w:tcW w:w="1118" w:type="dxa"/>
            <w:tcBorders>
              <w:top w:val="nil"/>
              <w:left w:val="nil"/>
              <w:bottom w:val="nil"/>
              <w:right w:val="nil"/>
            </w:tcBorders>
            <w:shd w:val="clear" w:color="auto" w:fill="auto"/>
            <w:vAlign w:val="center"/>
            <w:hideMark/>
          </w:tcPr>
          <w:p w14:paraId="5C44C0C4" w14:textId="77777777" w:rsidR="00B9311E" w:rsidRPr="00BD77D8" w:rsidRDefault="00B9311E" w:rsidP="00B9311E">
            <w:pPr>
              <w:spacing w:after="0" w:line="240" w:lineRule="auto"/>
              <w:jc w:val="right"/>
              <w:rPr>
                <w:sz w:val="18"/>
                <w:szCs w:val="18"/>
              </w:rPr>
            </w:pPr>
            <w:r w:rsidRPr="00BD77D8">
              <w:rPr>
                <w:sz w:val="18"/>
                <w:szCs w:val="18"/>
              </w:rPr>
              <w:t xml:space="preserve">         1,785 </w:t>
            </w:r>
          </w:p>
        </w:tc>
        <w:tc>
          <w:tcPr>
            <w:tcW w:w="1150" w:type="dxa"/>
            <w:tcBorders>
              <w:top w:val="nil"/>
              <w:left w:val="nil"/>
              <w:bottom w:val="nil"/>
              <w:right w:val="nil"/>
            </w:tcBorders>
            <w:shd w:val="clear" w:color="auto" w:fill="auto"/>
            <w:vAlign w:val="center"/>
            <w:hideMark/>
          </w:tcPr>
          <w:p w14:paraId="54A41178" w14:textId="77777777" w:rsidR="00B9311E" w:rsidRPr="00BD77D8" w:rsidRDefault="00B9311E" w:rsidP="00B9311E">
            <w:pPr>
              <w:spacing w:after="0" w:line="240" w:lineRule="auto"/>
              <w:jc w:val="right"/>
              <w:rPr>
                <w:sz w:val="18"/>
                <w:szCs w:val="18"/>
              </w:rPr>
            </w:pPr>
            <w:r w:rsidRPr="00BD77D8">
              <w:rPr>
                <w:sz w:val="18"/>
                <w:szCs w:val="18"/>
              </w:rPr>
              <w:t xml:space="preserve">            1,934 </w:t>
            </w:r>
          </w:p>
        </w:tc>
      </w:tr>
      <w:tr w:rsidR="00BD77D8" w:rsidRPr="00BD77D8" w14:paraId="66C0CBB0" w14:textId="77777777" w:rsidTr="003057FB">
        <w:trPr>
          <w:trHeight w:val="280"/>
        </w:trPr>
        <w:tc>
          <w:tcPr>
            <w:tcW w:w="8080" w:type="dxa"/>
            <w:tcBorders>
              <w:top w:val="nil"/>
              <w:left w:val="nil"/>
              <w:bottom w:val="nil"/>
              <w:right w:val="nil"/>
            </w:tcBorders>
            <w:shd w:val="clear" w:color="auto" w:fill="auto"/>
            <w:vAlign w:val="center"/>
            <w:hideMark/>
          </w:tcPr>
          <w:p w14:paraId="4D500DDE" w14:textId="77777777" w:rsidR="00B9311E" w:rsidRPr="00BD77D8" w:rsidRDefault="00B9311E" w:rsidP="00B9311E">
            <w:pPr>
              <w:spacing w:after="0" w:line="240" w:lineRule="auto"/>
              <w:rPr>
                <w:sz w:val="18"/>
                <w:szCs w:val="18"/>
              </w:rPr>
            </w:pPr>
            <w:r w:rsidRPr="00BD77D8">
              <w:rPr>
                <w:sz w:val="18"/>
                <w:szCs w:val="18"/>
              </w:rPr>
              <w:t xml:space="preserve"> Less: Allowance for impairment loss </w:t>
            </w:r>
          </w:p>
        </w:tc>
        <w:tc>
          <w:tcPr>
            <w:tcW w:w="1118" w:type="dxa"/>
            <w:tcBorders>
              <w:top w:val="nil"/>
              <w:left w:val="nil"/>
              <w:bottom w:val="single" w:sz="4" w:space="0" w:color="auto"/>
              <w:right w:val="nil"/>
            </w:tcBorders>
            <w:shd w:val="clear" w:color="auto" w:fill="auto"/>
            <w:vAlign w:val="center"/>
            <w:hideMark/>
          </w:tcPr>
          <w:p w14:paraId="1330D2EB" w14:textId="77777777" w:rsidR="00B9311E" w:rsidRPr="00BD77D8" w:rsidRDefault="00B9311E" w:rsidP="00B9311E">
            <w:pPr>
              <w:spacing w:after="0" w:line="240" w:lineRule="auto"/>
              <w:jc w:val="right"/>
              <w:rPr>
                <w:sz w:val="18"/>
                <w:szCs w:val="18"/>
              </w:rPr>
            </w:pPr>
            <w:r w:rsidRPr="00BD77D8">
              <w:rPr>
                <w:sz w:val="18"/>
                <w:szCs w:val="18"/>
              </w:rPr>
              <w:t xml:space="preserve">       (1,060)</w:t>
            </w:r>
          </w:p>
        </w:tc>
        <w:tc>
          <w:tcPr>
            <w:tcW w:w="1150" w:type="dxa"/>
            <w:tcBorders>
              <w:top w:val="nil"/>
              <w:left w:val="nil"/>
              <w:bottom w:val="single" w:sz="4" w:space="0" w:color="auto"/>
              <w:right w:val="nil"/>
            </w:tcBorders>
            <w:shd w:val="clear" w:color="auto" w:fill="auto"/>
            <w:vAlign w:val="center"/>
            <w:hideMark/>
          </w:tcPr>
          <w:p w14:paraId="53184FF8" w14:textId="77777777" w:rsidR="00B9311E" w:rsidRPr="00BD77D8" w:rsidRDefault="00B9311E" w:rsidP="00B9311E">
            <w:pPr>
              <w:spacing w:after="0" w:line="240" w:lineRule="auto"/>
              <w:jc w:val="right"/>
              <w:rPr>
                <w:sz w:val="18"/>
                <w:szCs w:val="18"/>
              </w:rPr>
            </w:pPr>
            <w:r w:rsidRPr="00BD77D8">
              <w:rPr>
                <w:sz w:val="18"/>
                <w:szCs w:val="18"/>
              </w:rPr>
              <w:t xml:space="preserve">          (1,671)</w:t>
            </w:r>
          </w:p>
        </w:tc>
      </w:tr>
      <w:tr w:rsidR="00BD77D8" w:rsidRPr="00BD77D8" w14:paraId="76ACDA07" w14:textId="77777777" w:rsidTr="003057FB">
        <w:trPr>
          <w:trHeight w:val="295"/>
        </w:trPr>
        <w:tc>
          <w:tcPr>
            <w:tcW w:w="8080" w:type="dxa"/>
            <w:tcBorders>
              <w:top w:val="nil"/>
              <w:left w:val="nil"/>
              <w:bottom w:val="nil"/>
              <w:right w:val="nil"/>
            </w:tcBorders>
            <w:shd w:val="clear" w:color="auto" w:fill="auto"/>
            <w:vAlign w:val="center"/>
            <w:hideMark/>
          </w:tcPr>
          <w:p w14:paraId="0D52FCAD" w14:textId="77777777" w:rsidR="00B9311E" w:rsidRPr="00BD77D8" w:rsidRDefault="00B9311E" w:rsidP="00B9311E">
            <w:pPr>
              <w:spacing w:after="0" w:line="240" w:lineRule="auto"/>
              <w:rPr>
                <w:sz w:val="24"/>
                <w:szCs w:val="24"/>
              </w:rPr>
            </w:pPr>
            <w:r w:rsidRPr="00BD77D8">
              <w:rPr>
                <w:sz w:val="24"/>
                <w:szCs w:val="24"/>
              </w:rPr>
              <w:t xml:space="preserve">   </w:t>
            </w:r>
          </w:p>
        </w:tc>
        <w:tc>
          <w:tcPr>
            <w:tcW w:w="1118" w:type="dxa"/>
            <w:tcBorders>
              <w:top w:val="nil"/>
              <w:left w:val="nil"/>
              <w:bottom w:val="nil"/>
              <w:right w:val="nil"/>
            </w:tcBorders>
            <w:shd w:val="clear" w:color="auto" w:fill="auto"/>
            <w:vAlign w:val="center"/>
            <w:hideMark/>
          </w:tcPr>
          <w:p w14:paraId="43B4353D" w14:textId="77777777" w:rsidR="00B9311E" w:rsidRPr="00BD77D8" w:rsidRDefault="00B9311E" w:rsidP="00B9311E">
            <w:pPr>
              <w:spacing w:after="0" w:line="240" w:lineRule="auto"/>
              <w:jc w:val="right"/>
              <w:rPr>
                <w:b/>
                <w:bCs/>
                <w:sz w:val="18"/>
                <w:szCs w:val="18"/>
              </w:rPr>
            </w:pPr>
            <w:r w:rsidRPr="00BD77D8">
              <w:rPr>
                <w:b/>
                <w:bCs/>
                <w:sz w:val="18"/>
                <w:szCs w:val="18"/>
              </w:rPr>
              <w:t xml:space="preserve">            725 </w:t>
            </w:r>
          </w:p>
        </w:tc>
        <w:tc>
          <w:tcPr>
            <w:tcW w:w="1150" w:type="dxa"/>
            <w:tcBorders>
              <w:top w:val="nil"/>
              <w:left w:val="nil"/>
              <w:bottom w:val="nil"/>
              <w:right w:val="nil"/>
            </w:tcBorders>
            <w:shd w:val="clear" w:color="auto" w:fill="auto"/>
            <w:vAlign w:val="center"/>
            <w:hideMark/>
          </w:tcPr>
          <w:p w14:paraId="736B4E6E" w14:textId="77777777" w:rsidR="00B9311E" w:rsidRPr="00BD77D8" w:rsidRDefault="00B9311E" w:rsidP="00B9311E">
            <w:pPr>
              <w:spacing w:after="0" w:line="240" w:lineRule="auto"/>
              <w:jc w:val="right"/>
              <w:rPr>
                <w:b/>
                <w:bCs/>
                <w:sz w:val="18"/>
                <w:szCs w:val="18"/>
              </w:rPr>
            </w:pPr>
            <w:r w:rsidRPr="00BD77D8">
              <w:rPr>
                <w:b/>
                <w:bCs/>
                <w:sz w:val="18"/>
                <w:szCs w:val="18"/>
              </w:rPr>
              <w:t xml:space="preserve">               263 </w:t>
            </w:r>
          </w:p>
        </w:tc>
      </w:tr>
      <w:tr w:rsidR="00BD77D8" w:rsidRPr="00BD77D8" w14:paraId="7C7988C5" w14:textId="77777777" w:rsidTr="003057FB">
        <w:trPr>
          <w:trHeight w:val="118"/>
        </w:trPr>
        <w:tc>
          <w:tcPr>
            <w:tcW w:w="8080" w:type="dxa"/>
            <w:tcBorders>
              <w:top w:val="nil"/>
              <w:left w:val="nil"/>
              <w:bottom w:val="nil"/>
              <w:right w:val="nil"/>
            </w:tcBorders>
            <w:shd w:val="clear" w:color="auto" w:fill="auto"/>
            <w:vAlign w:val="center"/>
            <w:hideMark/>
          </w:tcPr>
          <w:p w14:paraId="60353959" w14:textId="77777777" w:rsidR="00B9311E" w:rsidRPr="00BD77D8" w:rsidRDefault="00B9311E" w:rsidP="00B9311E">
            <w:pPr>
              <w:spacing w:after="0" w:line="240" w:lineRule="auto"/>
              <w:jc w:val="right"/>
              <w:rPr>
                <w:sz w:val="18"/>
                <w:szCs w:val="18"/>
              </w:rPr>
            </w:pPr>
          </w:p>
        </w:tc>
        <w:tc>
          <w:tcPr>
            <w:tcW w:w="1118" w:type="dxa"/>
            <w:tcBorders>
              <w:top w:val="nil"/>
              <w:left w:val="nil"/>
              <w:bottom w:val="nil"/>
              <w:right w:val="nil"/>
            </w:tcBorders>
            <w:shd w:val="clear" w:color="auto" w:fill="auto"/>
            <w:vAlign w:val="center"/>
            <w:hideMark/>
          </w:tcPr>
          <w:p w14:paraId="74E60071" w14:textId="77777777" w:rsidR="00B9311E" w:rsidRPr="00BD77D8" w:rsidRDefault="00B9311E" w:rsidP="00B9311E">
            <w:pPr>
              <w:spacing w:after="0" w:line="240" w:lineRule="auto"/>
              <w:rPr>
                <w:rFonts w:ascii="Times New Roman" w:hAnsi="Times New Roman" w:cs="Times New Roman"/>
                <w:sz w:val="20"/>
                <w:szCs w:val="20"/>
              </w:rPr>
            </w:pPr>
          </w:p>
        </w:tc>
        <w:tc>
          <w:tcPr>
            <w:tcW w:w="1150" w:type="dxa"/>
            <w:tcBorders>
              <w:top w:val="nil"/>
              <w:left w:val="nil"/>
              <w:bottom w:val="nil"/>
              <w:right w:val="nil"/>
            </w:tcBorders>
            <w:shd w:val="clear" w:color="auto" w:fill="auto"/>
            <w:vAlign w:val="center"/>
            <w:hideMark/>
          </w:tcPr>
          <w:p w14:paraId="36ABEB95"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6BA5E448" w14:textId="77777777" w:rsidTr="003057FB">
        <w:trPr>
          <w:trHeight w:val="280"/>
        </w:trPr>
        <w:tc>
          <w:tcPr>
            <w:tcW w:w="8080" w:type="dxa"/>
            <w:tcBorders>
              <w:top w:val="nil"/>
              <w:left w:val="nil"/>
              <w:bottom w:val="nil"/>
              <w:right w:val="nil"/>
            </w:tcBorders>
            <w:shd w:val="clear" w:color="auto" w:fill="auto"/>
            <w:vAlign w:val="center"/>
            <w:hideMark/>
          </w:tcPr>
          <w:p w14:paraId="5D80DF02" w14:textId="77777777" w:rsidR="00B9311E" w:rsidRPr="00BD77D8" w:rsidRDefault="00B9311E" w:rsidP="00B9311E">
            <w:pPr>
              <w:spacing w:after="0" w:line="240" w:lineRule="auto"/>
              <w:rPr>
                <w:sz w:val="18"/>
                <w:szCs w:val="18"/>
              </w:rPr>
            </w:pPr>
            <w:r w:rsidRPr="00BD77D8">
              <w:rPr>
                <w:sz w:val="18"/>
                <w:szCs w:val="18"/>
              </w:rPr>
              <w:t xml:space="preserve"> GST input tax credits receivable </w:t>
            </w:r>
          </w:p>
        </w:tc>
        <w:tc>
          <w:tcPr>
            <w:tcW w:w="1118" w:type="dxa"/>
            <w:tcBorders>
              <w:top w:val="nil"/>
              <w:left w:val="nil"/>
              <w:bottom w:val="nil"/>
              <w:right w:val="nil"/>
            </w:tcBorders>
            <w:shd w:val="clear" w:color="auto" w:fill="auto"/>
            <w:vAlign w:val="center"/>
            <w:hideMark/>
          </w:tcPr>
          <w:p w14:paraId="33F829DE" w14:textId="77777777" w:rsidR="00B9311E" w:rsidRPr="00BD77D8" w:rsidRDefault="00B9311E" w:rsidP="00B9311E">
            <w:pPr>
              <w:spacing w:after="0" w:line="240" w:lineRule="auto"/>
              <w:jc w:val="right"/>
              <w:rPr>
                <w:sz w:val="18"/>
                <w:szCs w:val="18"/>
              </w:rPr>
            </w:pPr>
            <w:r w:rsidRPr="00BD77D8">
              <w:rPr>
                <w:sz w:val="18"/>
                <w:szCs w:val="18"/>
              </w:rPr>
              <w:t xml:space="preserve">            865 </w:t>
            </w:r>
          </w:p>
        </w:tc>
        <w:tc>
          <w:tcPr>
            <w:tcW w:w="1150" w:type="dxa"/>
            <w:tcBorders>
              <w:top w:val="nil"/>
              <w:left w:val="nil"/>
              <w:bottom w:val="nil"/>
              <w:right w:val="nil"/>
            </w:tcBorders>
            <w:shd w:val="clear" w:color="auto" w:fill="auto"/>
            <w:vAlign w:val="center"/>
            <w:hideMark/>
          </w:tcPr>
          <w:p w14:paraId="526AF0D4" w14:textId="77777777" w:rsidR="00B9311E" w:rsidRPr="00BD77D8" w:rsidRDefault="00B9311E" w:rsidP="00B9311E">
            <w:pPr>
              <w:spacing w:after="0" w:line="240" w:lineRule="auto"/>
              <w:jc w:val="right"/>
              <w:rPr>
                <w:sz w:val="18"/>
                <w:szCs w:val="18"/>
              </w:rPr>
            </w:pPr>
            <w:r w:rsidRPr="00BD77D8">
              <w:rPr>
                <w:sz w:val="18"/>
                <w:szCs w:val="18"/>
              </w:rPr>
              <w:t xml:space="preserve">               637 </w:t>
            </w:r>
          </w:p>
        </w:tc>
      </w:tr>
      <w:tr w:rsidR="00BD77D8" w:rsidRPr="00BD77D8" w14:paraId="717CE805" w14:textId="77777777" w:rsidTr="003057FB">
        <w:trPr>
          <w:trHeight w:val="280"/>
        </w:trPr>
        <w:tc>
          <w:tcPr>
            <w:tcW w:w="8080" w:type="dxa"/>
            <w:tcBorders>
              <w:top w:val="nil"/>
              <w:left w:val="nil"/>
              <w:bottom w:val="nil"/>
              <w:right w:val="nil"/>
            </w:tcBorders>
            <w:shd w:val="clear" w:color="auto" w:fill="auto"/>
            <w:vAlign w:val="center"/>
            <w:hideMark/>
          </w:tcPr>
          <w:p w14:paraId="5633943E" w14:textId="77777777" w:rsidR="00B9311E" w:rsidRPr="00BD77D8" w:rsidRDefault="00B9311E" w:rsidP="00B9311E">
            <w:pPr>
              <w:spacing w:after="0" w:line="240" w:lineRule="auto"/>
              <w:rPr>
                <w:sz w:val="18"/>
                <w:szCs w:val="18"/>
              </w:rPr>
            </w:pPr>
            <w:r w:rsidRPr="00BD77D8">
              <w:rPr>
                <w:sz w:val="18"/>
                <w:szCs w:val="18"/>
              </w:rPr>
              <w:t xml:space="preserve"> Annual leave reimbursements </w:t>
            </w:r>
          </w:p>
        </w:tc>
        <w:tc>
          <w:tcPr>
            <w:tcW w:w="1118" w:type="dxa"/>
            <w:tcBorders>
              <w:top w:val="nil"/>
              <w:left w:val="nil"/>
              <w:bottom w:val="nil"/>
              <w:right w:val="nil"/>
            </w:tcBorders>
            <w:shd w:val="clear" w:color="auto" w:fill="auto"/>
            <w:vAlign w:val="center"/>
            <w:hideMark/>
          </w:tcPr>
          <w:p w14:paraId="13CAF28E" w14:textId="77777777" w:rsidR="00B9311E" w:rsidRPr="00BD77D8" w:rsidRDefault="00B9311E" w:rsidP="00B9311E">
            <w:pPr>
              <w:spacing w:after="0" w:line="240" w:lineRule="auto"/>
              <w:jc w:val="right"/>
              <w:rPr>
                <w:sz w:val="18"/>
                <w:szCs w:val="18"/>
              </w:rPr>
            </w:pPr>
            <w:r w:rsidRPr="00BD77D8">
              <w:rPr>
                <w:sz w:val="18"/>
                <w:szCs w:val="18"/>
              </w:rPr>
              <w:t xml:space="preserve">         4,652 </w:t>
            </w:r>
          </w:p>
        </w:tc>
        <w:tc>
          <w:tcPr>
            <w:tcW w:w="1150" w:type="dxa"/>
            <w:tcBorders>
              <w:top w:val="nil"/>
              <w:left w:val="nil"/>
              <w:bottom w:val="nil"/>
              <w:right w:val="nil"/>
            </w:tcBorders>
            <w:shd w:val="clear" w:color="auto" w:fill="auto"/>
            <w:vAlign w:val="center"/>
            <w:hideMark/>
          </w:tcPr>
          <w:p w14:paraId="6BC7F7DE" w14:textId="77777777" w:rsidR="00B9311E" w:rsidRPr="00BD77D8" w:rsidRDefault="00B9311E" w:rsidP="00B9311E">
            <w:pPr>
              <w:spacing w:after="0" w:line="240" w:lineRule="auto"/>
              <w:jc w:val="right"/>
              <w:rPr>
                <w:sz w:val="18"/>
                <w:szCs w:val="18"/>
              </w:rPr>
            </w:pPr>
            <w:r w:rsidRPr="00BD77D8">
              <w:rPr>
                <w:sz w:val="18"/>
                <w:szCs w:val="18"/>
              </w:rPr>
              <w:t xml:space="preserve">            4,175 </w:t>
            </w:r>
          </w:p>
        </w:tc>
      </w:tr>
      <w:tr w:rsidR="00BD77D8" w:rsidRPr="00BD77D8" w14:paraId="2059186E" w14:textId="77777777" w:rsidTr="003057FB">
        <w:trPr>
          <w:trHeight w:val="280"/>
        </w:trPr>
        <w:tc>
          <w:tcPr>
            <w:tcW w:w="8080" w:type="dxa"/>
            <w:tcBorders>
              <w:top w:val="nil"/>
              <w:left w:val="nil"/>
              <w:bottom w:val="nil"/>
              <w:right w:val="nil"/>
            </w:tcBorders>
            <w:shd w:val="clear" w:color="auto" w:fill="auto"/>
            <w:vAlign w:val="center"/>
            <w:hideMark/>
          </w:tcPr>
          <w:p w14:paraId="5FDE0911" w14:textId="77777777" w:rsidR="00B9311E" w:rsidRPr="00BD77D8" w:rsidRDefault="00B9311E" w:rsidP="00B9311E">
            <w:pPr>
              <w:spacing w:after="0" w:line="240" w:lineRule="auto"/>
              <w:rPr>
                <w:sz w:val="18"/>
                <w:szCs w:val="18"/>
              </w:rPr>
            </w:pPr>
            <w:r w:rsidRPr="00BD77D8">
              <w:rPr>
                <w:sz w:val="18"/>
                <w:szCs w:val="18"/>
              </w:rPr>
              <w:t xml:space="preserve"> Long service leave reimbursements </w:t>
            </w:r>
          </w:p>
        </w:tc>
        <w:tc>
          <w:tcPr>
            <w:tcW w:w="1118" w:type="dxa"/>
            <w:tcBorders>
              <w:top w:val="nil"/>
              <w:left w:val="nil"/>
              <w:bottom w:val="nil"/>
              <w:right w:val="nil"/>
            </w:tcBorders>
            <w:shd w:val="clear" w:color="auto" w:fill="auto"/>
            <w:vAlign w:val="center"/>
            <w:hideMark/>
          </w:tcPr>
          <w:p w14:paraId="640EB7C0" w14:textId="77777777" w:rsidR="00B9311E" w:rsidRPr="00BD77D8" w:rsidRDefault="00B9311E" w:rsidP="00B9311E">
            <w:pPr>
              <w:spacing w:after="0" w:line="240" w:lineRule="auto"/>
              <w:jc w:val="right"/>
              <w:rPr>
                <w:sz w:val="18"/>
                <w:szCs w:val="18"/>
              </w:rPr>
            </w:pPr>
            <w:r w:rsidRPr="00BD77D8">
              <w:rPr>
                <w:sz w:val="18"/>
                <w:szCs w:val="18"/>
              </w:rPr>
              <w:t xml:space="preserve">         1,268 </w:t>
            </w:r>
          </w:p>
        </w:tc>
        <w:tc>
          <w:tcPr>
            <w:tcW w:w="1150" w:type="dxa"/>
            <w:tcBorders>
              <w:top w:val="nil"/>
              <w:left w:val="nil"/>
              <w:bottom w:val="nil"/>
              <w:right w:val="nil"/>
            </w:tcBorders>
            <w:shd w:val="clear" w:color="auto" w:fill="auto"/>
            <w:vAlign w:val="center"/>
            <w:hideMark/>
          </w:tcPr>
          <w:p w14:paraId="23AC3424" w14:textId="77777777" w:rsidR="00B9311E" w:rsidRPr="00BD77D8" w:rsidRDefault="00B9311E" w:rsidP="00B9311E">
            <w:pPr>
              <w:spacing w:after="0" w:line="240" w:lineRule="auto"/>
              <w:jc w:val="right"/>
              <w:rPr>
                <w:sz w:val="18"/>
                <w:szCs w:val="18"/>
              </w:rPr>
            </w:pPr>
            <w:r w:rsidRPr="00BD77D8">
              <w:rPr>
                <w:sz w:val="18"/>
                <w:szCs w:val="18"/>
              </w:rPr>
              <w:t xml:space="preserve">               934 </w:t>
            </w:r>
          </w:p>
        </w:tc>
      </w:tr>
      <w:tr w:rsidR="00BD77D8" w:rsidRPr="00BD77D8" w14:paraId="211095E5" w14:textId="77777777" w:rsidTr="003057FB">
        <w:trPr>
          <w:trHeight w:val="280"/>
        </w:trPr>
        <w:tc>
          <w:tcPr>
            <w:tcW w:w="8080" w:type="dxa"/>
            <w:tcBorders>
              <w:top w:val="nil"/>
              <w:left w:val="nil"/>
              <w:bottom w:val="nil"/>
              <w:right w:val="nil"/>
            </w:tcBorders>
            <w:shd w:val="clear" w:color="auto" w:fill="auto"/>
            <w:vAlign w:val="center"/>
            <w:hideMark/>
          </w:tcPr>
          <w:p w14:paraId="150AF527"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1118" w:type="dxa"/>
            <w:tcBorders>
              <w:top w:val="single" w:sz="4" w:space="0" w:color="auto"/>
              <w:left w:val="nil"/>
              <w:bottom w:val="single" w:sz="4" w:space="0" w:color="auto"/>
              <w:right w:val="nil"/>
            </w:tcBorders>
            <w:shd w:val="clear" w:color="auto" w:fill="auto"/>
            <w:vAlign w:val="center"/>
            <w:hideMark/>
          </w:tcPr>
          <w:p w14:paraId="606B8DB1" w14:textId="77777777" w:rsidR="00B9311E" w:rsidRPr="00BD77D8" w:rsidRDefault="00B9311E" w:rsidP="00B9311E">
            <w:pPr>
              <w:spacing w:after="0" w:line="240" w:lineRule="auto"/>
              <w:jc w:val="right"/>
              <w:rPr>
                <w:b/>
                <w:bCs/>
                <w:sz w:val="18"/>
                <w:szCs w:val="18"/>
              </w:rPr>
            </w:pPr>
            <w:r w:rsidRPr="00BD77D8">
              <w:rPr>
                <w:b/>
                <w:bCs/>
                <w:sz w:val="18"/>
                <w:szCs w:val="18"/>
              </w:rPr>
              <w:t xml:space="preserve">         7,510 </w:t>
            </w:r>
          </w:p>
        </w:tc>
        <w:tc>
          <w:tcPr>
            <w:tcW w:w="1150" w:type="dxa"/>
            <w:tcBorders>
              <w:top w:val="single" w:sz="4" w:space="0" w:color="auto"/>
              <w:left w:val="nil"/>
              <w:bottom w:val="single" w:sz="4" w:space="0" w:color="auto"/>
              <w:right w:val="nil"/>
            </w:tcBorders>
            <w:shd w:val="clear" w:color="auto" w:fill="auto"/>
            <w:vAlign w:val="center"/>
            <w:hideMark/>
          </w:tcPr>
          <w:p w14:paraId="1927A5CE" w14:textId="77777777" w:rsidR="00B9311E" w:rsidRPr="00BD77D8" w:rsidRDefault="00B9311E" w:rsidP="00B9311E">
            <w:pPr>
              <w:spacing w:after="0" w:line="240" w:lineRule="auto"/>
              <w:jc w:val="right"/>
              <w:rPr>
                <w:b/>
                <w:bCs/>
                <w:sz w:val="18"/>
                <w:szCs w:val="18"/>
              </w:rPr>
            </w:pPr>
            <w:r w:rsidRPr="00BD77D8">
              <w:rPr>
                <w:b/>
                <w:bCs/>
                <w:sz w:val="18"/>
                <w:szCs w:val="18"/>
              </w:rPr>
              <w:t xml:space="preserve">            6,009 </w:t>
            </w:r>
          </w:p>
        </w:tc>
      </w:tr>
    </w:tbl>
    <w:p w14:paraId="59A44B92" w14:textId="77777777" w:rsidR="00B9311E" w:rsidRPr="00BD77D8" w:rsidRDefault="00B9311E" w:rsidP="00760ABD">
      <w:pPr>
        <w:spacing w:before="240" w:after="240" w:line="206" w:lineRule="exact"/>
        <w:ind w:right="74"/>
        <w:textAlignment w:val="baseline"/>
        <w:rPr>
          <w:rFonts w:eastAsia="Arial"/>
          <w:b/>
          <w:bCs/>
          <w:sz w:val="18"/>
          <w:szCs w:val="18"/>
          <w:lang w:eastAsia="en-US"/>
        </w:rPr>
      </w:pPr>
      <w:r w:rsidRPr="00BD77D8">
        <w:rPr>
          <w:rFonts w:eastAsia="Arial"/>
          <w:b/>
          <w:bCs/>
          <w:sz w:val="18"/>
          <w:szCs w:val="18"/>
          <w:lang w:eastAsia="en-US"/>
        </w:rPr>
        <w:t>Accounting policy – Receivables</w:t>
      </w:r>
    </w:p>
    <w:p w14:paraId="41755685" w14:textId="77777777" w:rsidR="00B9311E" w:rsidRPr="00BD77D8" w:rsidRDefault="00B9311E" w:rsidP="00760ABD">
      <w:pPr>
        <w:spacing w:after="240" w:line="208" w:lineRule="exact"/>
        <w:ind w:right="432"/>
        <w:textAlignment w:val="baseline"/>
        <w:rPr>
          <w:rFonts w:eastAsia="Arial"/>
          <w:b/>
          <w:bCs/>
          <w:sz w:val="18"/>
          <w:szCs w:val="18"/>
          <w:lang w:eastAsia="en-US"/>
        </w:rPr>
      </w:pPr>
      <w:r w:rsidRPr="00BD77D8">
        <w:rPr>
          <w:rFonts w:eastAsia="Arial"/>
          <w:sz w:val="18"/>
          <w:szCs w:val="18"/>
          <w:lang w:eastAsia="en-US"/>
        </w:rPr>
        <w:t>Receivables are measured at amortised cost which approximates their fair value at reporting date. Trade debtors are recognised at the amounts due at the time of sale or service delivery i.e., the agreed purchase/contract price. Settlement of these amounts is required within 30 days from invoice date</w:t>
      </w:r>
    </w:p>
    <w:p w14:paraId="05CB015E" w14:textId="77777777" w:rsidR="00B9311E" w:rsidRPr="00BD77D8" w:rsidRDefault="00B9311E" w:rsidP="00760ABD">
      <w:pPr>
        <w:spacing w:after="240" w:line="206" w:lineRule="exact"/>
        <w:textAlignment w:val="baseline"/>
        <w:rPr>
          <w:rFonts w:eastAsia="Arial"/>
          <w:b/>
          <w:bCs/>
          <w:sz w:val="18"/>
          <w:szCs w:val="18"/>
          <w:lang w:eastAsia="en-US"/>
        </w:rPr>
      </w:pPr>
      <w:r w:rsidRPr="00BD77D8">
        <w:rPr>
          <w:rFonts w:eastAsia="Arial"/>
          <w:b/>
          <w:bCs/>
          <w:sz w:val="18"/>
          <w:szCs w:val="18"/>
          <w:lang w:eastAsia="en-US"/>
        </w:rPr>
        <w:t>Accounting policy - Impairment of receivables</w:t>
      </w:r>
    </w:p>
    <w:p w14:paraId="1907779A" w14:textId="77777777" w:rsidR="00B9311E" w:rsidRPr="00BD77D8" w:rsidRDefault="00B9311E" w:rsidP="00760ABD">
      <w:pPr>
        <w:spacing w:after="240" w:line="208" w:lineRule="exact"/>
        <w:ind w:right="432"/>
        <w:textAlignment w:val="baseline"/>
        <w:rPr>
          <w:rFonts w:eastAsia="Arial"/>
          <w:b/>
          <w:bCs/>
          <w:sz w:val="18"/>
          <w:szCs w:val="18"/>
          <w:lang w:eastAsia="en-US"/>
        </w:rPr>
      </w:pPr>
      <w:r w:rsidRPr="00BD77D8">
        <w:rPr>
          <w:rFonts w:eastAsia="Arial"/>
          <w:sz w:val="18"/>
          <w:szCs w:val="18"/>
          <w:lang w:eastAsia="en-US"/>
        </w:rPr>
        <w:t>The collectability of receivables is assessed periodically with provision being made for impairment. Where the department has no reasonable expectation of recovering an amount owed by a debtor, the debt is written-off by directly reducing the receivable against the loss allowance. If the amount of the debt written off exceeds the loss allowance, the excess is recognised as an impairment loss.</w:t>
      </w:r>
    </w:p>
    <w:p w14:paraId="3A4C502C" w14:textId="77777777" w:rsidR="00B9311E" w:rsidRPr="00BD77D8" w:rsidRDefault="00B9311E" w:rsidP="00760ABD">
      <w:pPr>
        <w:spacing w:after="240" w:line="206" w:lineRule="exact"/>
        <w:textAlignment w:val="baseline"/>
        <w:rPr>
          <w:rFonts w:eastAsia="Arial"/>
          <w:b/>
          <w:bCs/>
          <w:sz w:val="18"/>
          <w:szCs w:val="18"/>
          <w:lang w:eastAsia="en-US"/>
        </w:rPr>
      </w:pPr>
      <w:r w:rsidRPr="00BD77D8">
        <w:rPr>
          <w:rFonts w:eastAsia="Arial"/>
          <w:b/>
          <w:bCs/>
          <w:sz w:val="18"/>
          <w:szCs w:val="18"/>
          <w:lang w:eastAsia="en-US"/>
        </w:rPr>
        <w:t>Disclosure - Impairment of receivables</w:t>
      </w:r>
    </w:p>
    <w:p w14:paraId="2167A88B" w14:textId="77777777" w:rsidR="00B9311E" w:rsidRPr="00BD77D8" w:rsidRDefault="00B9311E" w:rsidP="00B9311E">
      <w:pPr>
        <w:spacing w:after="0" w:line="208" w:lineRule="exact"/>
        <w:ind w:right="72"/>
        <w:textAlignment w:val="baseline"/>
        <w:rPr>
          <w:rFonts w:eastAsia="Arial"/>
          <w:b/>
          <w:bCs/>
          <w:sz w:val="18"/>
          <w:szCs w:val="18"/>
          <w:lang w:eastAsia="en-US"/>
        </w:rPr>
      </w:pPr>
      <w:r w:rsidRPr="00BD77D8">
        <w:rPr>
          <w:rFonts w:eastAsia="Arial"/>
          <w:sz w:val="18"/>
          <w:szCs w:val="18"/>
          <w:lang w:eastAsia="en-US"/>
        </w:rPr>
        <w:t>The balance of allowance for impairment loss of $1.060M is due to trade debtors being deemed to be likely to be uncollectable in the current and future financial years. The debts are mainly related to the transition of disability services to the National Disability Insurance Scheme (NDIS) with the department no longer holding related funding agreements.</w:t>
      </w:r>
    </w:p>
    <w:p w14:paraId="5F98C4E2" w14:textId="0CA6A7D1" w:rsidR="00B9311E" w:rsidRPr="00BD77D8" w:rsidRDefault="00F35846" w:rsidP="00C3515C">
      <w:pPr>
        <w:spacing w:before="1200" w:after="0" w:line="240" w:lineRule="auto"/>
        <w:rPr>
          <w:rFonts w:eastAsia="Arial"/>
          <w:bCs/>
          <w:sz w:val="18"/>
          <w:szCs w:val="18"/>
          <w:lang w:eastAsia="en-US"/>
        </w:rPr>
      </w:pP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t>Page 20 of 45</w:t>
      </w:r>
      <w:r w:rsidR="00B9311E" w:rsidRPr="00BD77D8">
        <w:rPr>
          <w:rFonts w:eastAsia="Arial"/>
          <w:sz w:val="18"/>
          <w:szCs w:val="18"/>
          <w:lang w:eastAsia="en-US"/>
        </w:rPr>
        <w:br w:type="page"/>
      </w:r>
    </w:p>
    <w:p w14:paraId="02C5EB92"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7DEAEEDE"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38DAA8A5"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3784A55F"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7178A088" w14:textId="3E41C148" w:rsidR="00B9311E" w:rsidRPr="00BD77D8" w:rsidRDefault="00B9311E" w:rsidP="00E47A6E">
      <w:pPr>
        <w:spacing w:before="240"/>
        <w:rPr>
          <w:rFonts w:eastAsia="Arial"/>
          <w:b/>
          <w:bCs/>
          <w:sz w:val="18"/>
          <w:szCs w:val="18"/>
          <w:lang w:eastAsia="en-US"/>
        </w:rPr>
      </w:pPr>
      <w:r w:rsidRPr="00BD77D8">
        <w:rPr>
          <w:rFonts w:eastAsia="Arial"/>
          <w:b/>
          <w:bCs/>
          <w:sz w:val="22"/>
          <w:szCs w:val="22"/>
          <w:lang w:eastAsia="en-US"/>
        </w:rPr>
        <w:t>C2 Receivables (continued)</w:t>
      </w:r>
    </w:p>
    <w:p w14:paraId="3BB38415" w14:textId="77777777" w:rsidR="00B9311E" w:rsidRPr="00BD77D8" w:rsidRDefault="00B9311E" w:rsidP="00760ABD">
      <w:pPr>
        <w:spacing w:line="206" w:lineRule="exact"/>
        <w:textAlignment w:val="baseline"/>
        <w:rPr>
          <w:rFonts w:eastAsia="Arial"/>
          <w:b/>
          <w:bCs/>
          <w:sz w:val="18"/>
          <w:szCs w:val="18"/>
          <w:lang w:eastAsia="en-US"/>
        </w:rPr>
      </w:pPr>
      <w:r w:rsidRPr="00BD77D8">
        <w:rPr>
          <w:rFonts w:eastAsia="Arial"/>
          <w:b/>
          <w:bCs/>
          <w:sz w:val="18"/>
          <w:szCs w:val="18"/>
          <w:lang w:eastAsia="en-US"/>
        </w:rPr>
        <w:t>Disclosure - COVID-19 pandemic impact</w:t>
      </w:r>
    </w:p>
    <w:p w14:paraId="32ED22C0" w14:textId="77777777" w:rsidR="00B9311E" w:rsidRPr="00BD77D8" w:rsidRDefault="00B9311E" w:rsidP="00760ABD">
      <w:pPr>
        <w:spacing w:line="208" w:lineRule="exact"/>
        <w:ind w:right="72"/>
        <w:textAlignment w:val="baseline"/>
        <w:rPr>
          <w:rFonts w:eastAsia="Arial"/>
          <w:b/>
          <w:bCs/>
          <w:sz w:val="18"/>
          <w:szCs w:val="18"/>
          <w:lang w:eastAsia="en-US"/>
        </w:rPr>
      </w:pPr>
      <w:r w:rsidRPr="00BD77D8">
        <w:rPr>
          <w:rFonts w:eastAsia="Arial"/>
          <w:sz w:val="18"/>
          <w:szCs w:val="18"/>
          <w:lang w:eastAsia="en-US"/>
        </w:rPr>
        <w:t>The department recognises receivables from non-government organisations when required to repay excess funds from prior years, based on the terms and conditions of their funding arrangements. To date there has been minimal impact upon related receivables beyond that which existed prior to the pandemic.</w:t>
      </w:r>
    </w:p>
    <w:p w14:paraId="134865FA" w14:textId="77777777" w:rsidR="00B9311E" w:rsidRPr="00BD77D8" w:rsidRDefault="00B9311E" w:rsidP="00760ABD">
      <w:pPr>
        <w:spacing w:line="208" w:lineRule="exact"/>
        <w:ind w:right="72"/>
        <w:textAlignment w:val="baseline"/>
        <w:rPr>
          <w:rFonts w:eastAsia="Arial"/>
          <w:bCs/>
          <w:sz w:val="18"/>
          <w:szCs w:val="18"/>
          <w:lang w:eastAsia="en-US"/>
        </w:rPr>
      </w:pPr>
      <w:r w:rsidRPr="00BD77D8">
        <w:rPr>
          <w:rFonts w:eastAsia="Arial"/>
          <w:sz w:val="18"/>
          <w:szCs w:val="18"/>
          <w:lang w:eastAsia="en-US"/>
        </w:rPr>
        <w:t xml:space="preserve">The department continues to monitor the financial viability of non-government organisations holding funding agreements to identify risks in service delivery and debt recovery. </w:t>
      </w:r>
    </w:p>
    <w:p w14:paraId="63FAD5FB" w14:textId="77777777" w:rsidR="00B9311E" w:rsidRPr="00BD77D8" w:rsidRDefault="00B9311E" w:rsidP="00760ABD">
      <w:pPr>
        <w:spacing w:line="180" w:lineRule="atLeast"/>
        <w:textAlignment w:val="baseline"/>
        <w:rPr>
          <w:rFonts w:eastAsia="Arial"/>
          <w:b/>
          <w:bCs/>
          <w:sz w:val="18"/>
          <w:szCs w:val="18"/>
          <w:lang w:eastAsia="en-US"/>
        </w:rPr>
      </w:pPr>
      <w:r w:rsidRPr="00BD77D8">
        <w:rPr>
          <w:rFonts w:eastAsia="Arial"/>
          <w:b/>
          <w:bCs/>
          <w:sz w:val="18"/>
          <w:szCs w:val="18"/>
          <w:lang w:eastAsia="en-US"/>
        </w:rPr>
        <w:t>Disclosure - Credit risk of receivables</w:t>
      </w:r>
    </w:p>
    <w:p w14:paraId="174D0CAD" w14:textId="77777777" w:rsidR="00B9311E" w:rsidRPr="00BD77D8" w:rsidRDefault="00B9311E" w:rsidP="00760ABD">
      <w:pPr>
        <w:spacing w:line="180" w:lineRule="atLeast"/>
        <w:textAlignment w:val="baseline"/>
        <w:rPr>
          <w:rFonts w:eastAsia="Arial"/>
          <w:b/>
          <w:bCs/>
          <w:sz w:val="18"/>
          <w:szCs w:val="18"/>
          <w:lang w:eastAsia="en-US"/>
        </w:rPr>
      </w:pPr>
      <w:r w:rsidRPr="00BD77D8">
        <w:rPr>
          <w:rFonts w:eastAsia="Arial"/>
          <w:sz w:val="18"/>
          <w:szCs w:val="18"/>
          <w:lang w:eastAsia="en-US"/>
        </w:rPr>
        <w:t>The majority of the department's receivables are from the State Government or Commonwealth agencies who are expected to have an insignificant, and therefore immaterial, level of credit risk exposure. No loss allowance is recorded for these receivables on the basis of materiality.</w:t>
      </w:r>
    </w:p>
    <w:p w14:paraId="2AB2E9F8" w14:textId="18192615" w:rsidR="00B9311E" w:rsidRPr="00BD77D8" w:rsidRDefault="00B9311E" w:rsidP="009D387F">
      <w:pPr>
        <w:rPr>
          <w:rFonts w:eastAsia="PMingLiU"/>
          <w:sz w:val="18"/>
          <w:szCs w:val="22"/>
          <w:lang w:eastAsia="en-US"/>
        </w:rPr>
      </w:pPr>
      <w:bookmarkStart w:id="142" w:name="_Toc111494810"/>
      <w:bookmarkStart w:id="143" w:name="_Toc111540682"/>
      <w:bookmarkStart w:id="144" w:name="_Toc111559245"/>
      <w:bookmarkStart w:id="145" w:name="_Toc113196517"/>
      <w:bookmarkStart w:id="146" w:name="_Toc113196865"/>
      <w:bookmarkStart w:id="147" w:name="_Toc113261995"/>
      <w:bookmarkStart w:id="148" w:name="_Toc113349149"/>
      <w:bookmarkStart w:id="149" w:name="_Toc113358074"/>
      <w:bookmarkStart w:id="150" w:name="_Hlk108796207"/>
      <w:r w:rsidRPr="00BD77D8">
        <w:rPr>
          <w:rFonts w:eastAsia="Arial"/>
          <w:b/>
          <w:bCs/>
          <w:sz w:val="22"/>
          <w:szCs w:val="22"/>
          <w:lang w:eastAsia="en-US"/>
        </w:rPr>
        <w:t>C3 Non-Current Assets Held for Sale</w:t>
      </w:r>
      <w:bookmarkEnd w:id="142"/>
      <w:bookmarkEnd w:id="143"/>
      <w:bookmarkEnd w:id="144"/>
      <w:bookmarkEnd w:id="145"/>
      <w:bookmarkEnd w:id="146"/>
      <w:bookmarkEnd w:id="147"/>
      <w:bookmarkEnd w:id="148"/>
      <w:bookmarkEnd w:id="149"/>
    </w:p>
    <w:p w14:paraId="2CC6881E" w14:textId="77777777" w:rsidR="00B9311E" w:rsidRPr="00BD77D8" w:rsidRDefault="00B9311E" w:rsidP="00760ABD">
      <w:pPr>
        <w:spacing w:line="180" w:lineRule="atLeast"/>
        <w:textAlignment w:val="baseline"/>
        <w:rPr>
          <w:rFonts w:eastAsia="Arial"/>
          <w:b/>
          <w:bCs/>
          <w:sz w:val="18"/>
          <w:szCs w:val="18"/>
          <w:lang w:eastAsia="en-US"/>
        </w:rPr>
      </w:pPr>
      <w:r w:rsidRPr="00BD77D8">
        <w:rPr>
          <w:rFonts w:eastAsia="Arial"/>
          <w:sz w:val="18"/>
          <w:szCs w:val="18"/>
          <w:lang w:eastAsia="en-US"/>
        </w:rPr>
        <w:t>The department has placed a property which is not suitable to support service delivery up for sale. The current carrying value of the property is $0.880M (land $0.500M and building $0.380M). Refer to Note C4-1 for further details of the department’s land and building assets.</w:t>
      </w:r>
    </w:p>
    <w:p w14:paraId="36750775" w14:textId="4DC5E68F" w:rsidR="00B9311E" w:rsidRPr="00BD77D8" w:rsidRDefault="00B9311E" w:rsidP="009D387F">
      <w:pPr>
        <w:rPr>
          <w:rFonts w:eastAsia="PMingLiU"/>
          <w:sz w:val="18"/>
          <w:szCs w:val="22"/>
          <w:lang w:eastAsia="en-US"/>
        </w:rPr>
      </w:pPr>
      <w:bookmarkStart w:id="151" w:name="_Toc111494811"/>
      <w:bookmarkStart w:id="152" w:name="_Toc111540683"/>
      <w:bookmarkStart w:id="153" w:name="_Toc111559246"/>
      <w:bookmarkStart w:id="154" w:name="_Toc113196518"/>
      <w:bookmarkStart w:id="155" w:name="_Toc113196866"/>
      <w:bookmarkStart w:id="156" w:name="_Toc113261996"/>
      <w:bookmarkStart w:id="157" w:name="_Toc113349150"/>
      <w:bookmarkStart w:id="158" w:name="_Toc113358075"/>
      <w:r w:rsidRPr="00BD77D8">
        <w:rPr>
          <w:rFonts w:eastAsia="Arial"/>
          <w:b/>
          <w:bCs/>
          <w:sz w:val="22"/>
          <w:szCs w:val="22"/>
          <w:lang w:eastAsia="en-US"/>
        </w:rPr>
        <w:t>C4 Property, Plant and Equipment and Depreciation Expense</w:t>
      </w:r>
      <w:bookmarkEnd w:id="151"/>
      <w:bookmarkEnd w:id="152"/>
      <w:bookmarkEnd w:id="153"/>
      <w:bookmarkEnd w:id="154"/>
      <w:bookmarkEnd w:id="155"/>
      <w:bookmarkEnd w:id="156"/>
      <w:bookmarkEnd w:id="157"/>
      <w:bookmarkEnd w:id="158"/>
    </w:p>
    <w:p w14:paraId="42ABE733" w14:textId="77777777" w:rsidR="00B9311E" w:rsidRPr="00BD77D8" w:rsidRDefault="00B9311E" w:rsidP="00760ABD">
      <w:pPr>
        <w:spacing w:line="240" w:lineRule="auto"/>
        <w:rPr>
          <w:rFonts w:eastAsia="PMingLiU"/>
          <w:b/>
          <w:bCs/>
          <w:sz w:val="18"/>
          <w:szCs w:val="22"/>
          <w:lang w:val="en-US" w:eastAsia="en-US"/>
        </w:rPr>
      </w:pPr>
      <w:r w:rsidRPr="00BD77D8">
        <w:rPr>
          <w:rFonts w:eastAsia="PMingLiU"/>
          <w:b/>
          <w:bCs/>
          <w:sz w:val="18"/>
          <w:szCs w:val="22"/>
          <w:lang w:eastAsia="en-US"/>
        </w:rPr>
        <w:t>C4-1 Closing Balances and Reconciliations of Carrying Amount</w:t>
      </w:r>
    </w:p>
    <w:tbl>
      <w:tblPr>
        <w:tblW w:w="10406" w:type="dxa"/>
        <w:tblCellMar>
          <w:left w:w="0" w:type="dxa"/>
          <w:right w:w="0" w:type="dxa"/>
        </w:tblCellMar>
        <w:tblLook w:val="04A0" w:firstRow="1" w:lastRow="0" w:firstColumn="1" w:lastColumn="0" w:noHBand="0" w:noVBand="1"/>
      </w:tblPr>
      <w:tblGrid>
        <w:gridCol w:w="7970"/>
        <w:gridCol w:w="1162"/>
        <w:gridCol w:w="1322"/>
      </w:tblGrid>
      <w:tr w:rsidR="00BD77D8" w:rsidRPr="00BD77D8" w14:paraId="51E1E125" w14:textId="77777777" w:rsidTr="00760ABD">
        <w:trPr>
          <w:trHeight w:val="279"/>
        </w:trPr>
        <w:tc>
          <w:tcPr>
            <w:tcW w:w="7954" w:type="dxa"/>
            <w:tcBorders>
              <w:top w:val="nil"/>
              <w:left w:val="nil"/>
              <w:bottom w:val="nil"/>
              <w:right w:val="nil"/>
            </w:tcBorders>
            <w:shd w:val="clear" w:color="auto" w:fill="auto"/>
            <w:noWrap/>
            <w:vAlign w:val="center"/>
            <w:hideMark/>
          </w:tcPr>
          <w:p w14:paraId="1725F3F0" w14:textId="77777777" w:rsidR="00B9311E" w:rsidRPr="00BD77D8" w:rsidRDefault="00B9311E" w:rsidP="00B9311E">
            <w:pPr>
              <w:spacing w:after="0" w:line="240" w:lineRule="auto"/>
              <w:rPr>
                <w:rFonts w:ascii="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14:paraId="260BEDB2"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306" w:type="dxa"/>
            <w:tcBorders>
              <w:top w:val="nil"/>
              <w:left w:val="nil"/>
              <w:bottom w:val="nil"/>
              <w:right w:val="nil"/>
            </w:tcBorders>
            <w:shd w:val="clear" w:color="auto" w:fill="auto"/>
            <w:noWrap/>
            <w:vAlign w:val="bottom"/>
            <w:hideMark/>
          </w:tcPr>
          <w:p w14:paraId="32AA7F49"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215DF9AA" w14:textId="77777777" w:rsidTr="00760ABD">
        <w:trPr>
          <w:trHeight w:val="279"/>
        </w:trPr>
        <w:tc>
          <w:tcPr>
            <w:tcW w:w="7954" w:type="dxa"/>
            <w:tcBorders>
              <w:top w:val="nil"/>
              <w:left w:val="nil"/>
              <w:bottom w:val="nil"/>
              <w:right w:val="nil"/>
            </w:tcBorders>
            <w:shd w:val="clear" w:color="auto" w:fill="auto"/>
            <w:noWrap/>
            <w:vAlign w:val="center"/>
            <w:hideMark/>
          </w:tcPr>
          <w:p w14:paraId="6187292C" w14:textId="77777777" w:rsidR="00B9311E" w:rsidRPr="00BD77D8" w:rsidRDefault="00B9311E" w:rsidP="00B9311E">
            <w:pPr>
              <w:spacing w:after="0" w:line="240" w:lineRule="auto"/>
              <w:jc w:val="right"/>
              <w:rPr>
                <w:sz w:val="18"/>
                <w:szCs w:val="18"/>
              </w:rPr>
            </w:pPr>
          </w:p>
        </w:tc>
        <w:tc>
          <w:tcPr>
            <w:tcW w:w="1146" w:type="dxa"/>
            <w:tcBorders>
              <w:top w:val="nil"/>
              <w:left w:val="nil"/>
              <w:bottom w:val="single" w:sz="4" w:space="0" w:color="auto"/>
              <w:right w:val="nil"/>
            </w:tcBorders>
            <w:shd w:val="clear" w:color="auto" w:fill="auto"/>
            <w:vAlign w:val="center"/>
            <w:hideMark/>
          </w:tcPr>
          <w:p w14:paraId="194369EF"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306" w:type="dxa"/>
            <w:tcBorders>
              <w:top w:val="nil"/>
              <w:left w:val="nil"/>
              <w:bottom w:val="single" w:sz="4" w:space="0" w:color="auto"/>
              <w:right w:val="nil"/>
            </w:tcBorders>
            <w:shd w:val="clear" w:color="auto" w:fill="auto"/>
            <w:vAlign w:val="center"/>
            <w:hideMark/>
          </w:tcPr>
          <w:p w14:paraId="4A43AD59"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333C5A50" w14:textId="77777777" w:rsidTr="00760ABD">
        <w:trPr>
          <w:trHeight w:val="279"/>
        </w:trPr>
        <w:tc>
          <w:tcPr>
            <w:tcW w:w="7954" w:type="dxa"/>
            <w:tcBorders>
              <w:top w:val="nil"/>
              <w:left w:val="nil"/>
              <w:bottom w:val="nil"/>
              <w:right w:val="nil"/>
            </w:tcBorders>
            <w:shd w:val="clear" w:color="auto" w:fill="auto"/>
            <w:vAlign w:val="center"/>
            <w:hideMark/>
          </w:tcPr>
          <w:p w14:paraId="2D3FA96E" w14:textId="77777777" w:rsidR="00B9311E" w:rsidRPr="00BD77D8" w:rsidRDefault="00B9311E" w:rsidP="00B9311E">
            <w:pPr>
              <w:spacing w:after="0" w:line="240" w:lineRule="auto"/>
              <w:rPr>
                <w:b/>
                <w:bCs/>
                <w:sz w:val="18"/>
                <w:szCs w:val="18"/>
              </w:rPr>
            </w:pPr>
            <w:r w:rsidRPr="00BD77D8">
              <w:rPr>
                <w:b/>
                <w:bCs/>
                <w:sz w:val="18"/>
                <w:szCs w:val="18"/>
              </w:rPr>
              <w:t xml:space="preserve"> Property, Plant and Equipment Reconciliation at 30 June 2022 </w:t>
            </w:r>
          </w:p>
        </w:tc>
        <w:tc>
          <w:tcPr>
            <w:tcW w:w="1146" w:type="dxa"/>
            <w:tcBorders>
              <w:top w:val="nil"/>
              <w:left w:val="nil"/>
              <w:bottom w:val="nil"/>
              <w:right w:val="nil"/>
            </w:tcBorders>
            <w:shd w:val="clear" w:color="auto" w:fill="auto"/>
            <w:vAlign w:val="center"/>
            <w:hideMark/>
          </w:tcPr>
          <w:p w14:paraId="7E539D0D" w14:textId="77777777" w:rsidR="00B9311E" w:rsidRPr="00BD77D8" w:rsidRDefault="00B9311E" w:rsidP="00B9311E">
            <w:pPr>
              <w:spacing w:after="0" w:line="240" w:lineRule="auto"/>
              <w:rPr>
                <w:b/>
                <w:bCs/>
                <w:sz w:val="18"/>
                <w:szCs w:val="18"/>
              </w:rPr>
            </w:pPr>
          </w:p>
        </w:tc>
        <w:tc>
          <w:tcPr>
            <w:tcW w:w="1306" w:type="dxa"/>
            <w:tcBorders>
              <w:top w:val="nil"/>
              <w:left w:val="nil"/>
              <w:bottom w:val="nil"/>
              <w:right w:val="nil"/>
            </w:tcBorders>
            <w:shd w:val="clear" w:color="auto" w:fill="auto"/>
            <w:noWrap/>
            <w:vAlign w:val="bottom"/>
            <w:hideMark/>
          </w:tcPr>
          <w:p w14:paraId="68BCEF7C"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19BAB051" w14:textId="77777777" w:rsidTr="00760ABD">
        <w:trPr>
          <w:trHeight w:val="279"/>
        </w:trPr>
        <w:tc>
          <w:tcPr>
            <w:tcW w:w="7954" w:type="dxa"/>
            <w:tcBorders>
              <w:top w:val="nil"/>
              <w:left w:val="nil"/>
              <w:bottom w:val="nil"/>
              <w:right w:val="nil"/>
            </w:tcBorders>
            <w:shd w:val="clear" w:color="auto" w:fill="auto"/>
            <w:vAlign w:val="center"/>
            <w:hideMark/>
          </w:tcPr>
          <w:p w14:paraId="2D6188FA" w14:textId="77777777" w:rsidR="00B9311E" w:rsidRPr="00BD77D8" w:rsidRDefault="00B9311E" w:rsidP="00B9311E">
            <w:pPr>
              <w:spacing w:after="0" w:line="240" w:lineRule="auto"/>
              <w:rPr>
                <w:b/>
                <w:bCs/>
                <w:sz w:val="18"/>
                <w:szCs w:val="18"/>
              </w:rPr>
            </w:pPr>
            <w:r w:rsidRPr="00BD77D8">
              <w:rPr>
                <w:b/>
                <w:bCs/>
                <w:sz w:val="18"/>
                <w:szCs w:val="18"/>
              </w:rPr>
              <w:t xml:space="preserve"> Land </w:t>
            </w:r>
          </w:p>
        </w:tc>
        <w:tc>
          <w:tcPr>
            <w:tcW w:w="1146" w:type="dxa"/>
            <w:tcBorders>
              <w:top w:val="nil"/>
              <w:left w:val="nil"/>
              <w:bottom w:val="nil"/>
              <w:right w:val="nil"/>
            </w:tcBorders>
            <w:shd w:val="clear" w:color="auto" w:fill="auto"/>
            <w:noWrap/>
            <w:vAlign w:val="bottom"/>
            <w:hideMark/>
          </w:tcPr>
          <w:p w14:paraId="11D0B777" w14:textId="77777777" w:rsidR="00B9311E" w:rsidRPr="00BD77D8" w:rsidRDefault="00B9311E" w:rsidP="00B9311E">
            <w:pPr>
              <w:spacing w:after="0" w:line="240" w:lineRule="auto"/>
              <w:rPr>
                <w:b/>
                <w:bCs/>
                <w:sz w:val="18"/>
                <w:szCs w:val="18"/>
              </w:rPr>
            </w:pPr>
          </w:p>
        </w:tc>
        <w:tc>
          <w:tcPr>
            <w:tcW w:w="1306" w:type="dxa"/>
            <w:tcBorders>
              <w:top w:val="nil"/>
              <w:left w:val="nil"/>
              <w:bottom w:val="nil"/>
              <w:right w:val="nil"/>
            </w:tcBorders>
            <w:shd w:val="clear" w:color="auto" w:fill="auto"/>
            <w:noWrap/>
            <w:vAlign w:val="bottom"/>
            <w:hideMark/>
          </w:tcPr>
          <w:p w14:paraId="0F1AFF24" w14:textId="77777777" w:rsidR="00B9311E" w:rsidRPr="00BD77D8" w:rsidRDefault="00B9311E" w:rsidP="00B9311E">
            <w:pPr>
              <w:spacing w:after="0" w:line="240" w:lineRule="auto"/>
              <w:rPr>
                <w:rFonts w:ascii="Times New Roman" w:hAnsi="Times New Roman" w:cs="Times New Roman"/>
                <w:b/>
                <w:bCs/>
                <w:sz w:val="20"/>
                <w:szCs w:val="20"/>
              </w:rPr>
            </w:pPr>
          </w:p>
        </w:tc>
      </w:tr>
      <w:tr w:rsidR="00BD77D8" w:rsidRPr="00BD77D8" w14:paraId="69BF5E6D" w14:textId="77777777" w:rsidTr="00760ABD">
        <w:trPr>
          <w:trHeight w:val="279"/>
        </w:trPr>
        <w:tc>
          <w:tcPr>
            <w:tcW w:w="7954" w:type="dxa"/>
            <w:tcBorders>
              <w:top w:val="nil"/>
              <w:left w:val="nil"/>
              <w:bottom w:val="nil"/>
              <w:right w:val="nil"/>
            </w:tcBorders>
            <w:shd w:val="clear" w:color="auto" w:fill="auto"/>
            <w:vAlign w:val="center"/>
            <w:hideMark/>
          </w:tcPr>
          <w:p w14:paraId="2A0ADBA9" w14:textId="77777777" w:rsidR="00B9311E" w:rsidRPr="00BD77D8" w:rsidRDefault="00B9311E" w:rsidP="00B9311E">
            <w:pPr>
              <w:spacing w:after="0" w:line="240" w:lineRule="auto"/>
              <w:rPr>
                <w:sz w:val="18"/>
                <w:szCs w:val="18"/>
              </w:rPr>
            </w:pPr>
            <w:r w:rsidRPr="00BD77D8">
              <w:rPr>
                <w:sz w:val="18"/>
                <w:szCs w:val="18"/>
              </w:rPr>
              <w:t xml:space="preserve"> At fair value </w:t>
            </w:r>
          </w:p>
        </w:tc>
        <w:tc>
          <w:tcPr>
            <w:tcW w:w="1146" w:type="dxa"/>
            <w:tcBorders>
              <w:top w:val="nil"/>
              <w:left w:val="nil"/>
              <w:bottom w:val="nil"/>
              <w:right w:val="nil"/>
            </w:tcBorders>
            <w:shd w:val="clear" w:color="auto" w:fill="auto"/>
            <w:noWrap/>
            <w:vAlign w:val="bottom"/>
            <w:hideMark/>
          </w:tcPr>
          <w:p w14:paraId="7D9999C3" w14:textId="77777777" w:rsidR="00B9311E" w:rsidRPr="00BD77D8" w:rsidRDefault="00B9311E" w:rsidP="00B9311E">
            <w:pPr>
              <w:spacing w:after="0" w:line="240" w:lineRule="auto"/>
              <w:jc w:val="right"/>
              <w:rPr>
                <w:sz w:val="18"/>
                <w:szCs w:val="18"/>
              </w:rPr>
            </w:pPr>
            <w:r w:rsidRPr="00BD77D8">
              <w:rPr>
                <w:sz w:val="18"/>
                <w:szCs w:val="18"/>
              </w:rPr>
              <w:t xml:space="preserve">     55,964 </w:t>
            </w:r>
          </w:p>
        </w:tc>
        <w:tc>
          <w:tcPr>
            <w:tcW w:w="1306" w:type="dxa"/>
            <w:tcBorders>
              <w:top w:val="nil"/>
              <w:left w:val="nil"/>
              <w:bottom w:val="nil"/>
              <w:right w:val="nil"/>
            </w:tcBorders>
            <w:shd w:val="clear" w:color="auto" w:fill="auto"/>
            <w:noWrap/>
            <w:vAlign w:val="bottom"/>
            <w:hideMark/>
          </w:tcPr>
          <w:p w14:paraId="08ACD6F6" w14:textId="77777777" w:rsidR="00B9311E" w:rsidRPr="00BD77D8" w:rsidRDefault="00B9311E" w:rsidP="00B9311E">
            <w:pPr>
              <w:spacing w:after="0" w:line="240" w:lineRule="auto"/>
              <w:jc w:val="right"/>
              <w:rPr>
                <w:sz w:val="18"/>
                <w:szCs w:val="18"/>
              </w:rPr>
            </w:pPr>
            <w:r w:rsidRPr="00BD77D8">
              <w:rPr>
                <w:sz w:val="18"/>
                <w:szCs w:val="18"/>
              </w:rPr>
              <w:t xml:space="preserve">     50,663 </w:t>
            </w:r>
          </w:p>
        </w:tc>
      </w:tr>
      <w:tr w:rsidR="00BD77D8" w:rsidRPr="00BD77D8" w14:paraId="57EE71AA" w14:textId="77777777" w:rsidTr="00760ABD">
        <w:trPr>
          <w:trHeight w:val="279"/>
        </w:trPr>
        <w:tc>
          <w:tcPr>
            <w:tcW w:w="7954" w:type="dxa"/>
            <w:tcBorders>
              <w:top w:val="nil"/>
              <w:left w:val="nil"/>
              <w:bottom w:val="nil"/>
              <w:right w:val="nil"/>
            </w:tcBorders>
            <w:shd w:val="clear" w:color="auto" w:fill="auto"/>
            <w:vAlign w:val="center"/>
            <w:hideMark/>
          </w:tcPr>
          <w:p w14:paraId="6D966B3D" w14:textId="77777777" w:rsidR="00B9311E" w:rsidRPr="00BD77D8" w:rsidRDefault="00B9311E" w:rsidP="00B9311E">
            <w:pPr>
              <w:spacing w:after="0" w:line="240" w:lineRule="auto"/>
              <w:rPr>
                <w:sz w:val="18"/>
                <w:szCs w:val="18"/>
              </w:rPr>
            </w:pPr>
            <w:r w:rsidRPr="00BD77D8">
              <w:rPr>
                <w:sz w:val="18"/>
                <w:szCs w:val="18"/>
              </w:rPr>
              <w:t xml:space="preserve">   </w:t>
            </w:r>
          </w:p>
        </w:tc>
        <w:tc>
          <w:tcPr>
            <w:tcW w:w="1146" w:type="dxa"/>
            <w:tcBorders>
              <w:top w:val="single" w:sz="4" w:space="0" w:color="auto"/>
              <w:left w:val="nil"/>
              <w:bottom w:val="single" w:sz="4" w:space="0" w:color="auto"/>
              <w:right w:val="nil"/>
            </w:tcBorders>
            <w:shd w:val="clear" w:color="auto" w:fill="auto"/>
            <w:noWrap/>
            <w:vAlign w:val="bottom"/>
            <w:hideMark/>
          </w:tcPr>
          <w:p w14:paraId="3E9CF5BA" w14:textId="77777777" w:rsidR="00B9311E" w:rsidRPr="00BD77D8" w:rsidRDefault="00B9311E" w:rsidP="00B9311E">
            <w:pPr>
              <w:spacing w:after="0" w:line="240" w:lineRule="auto"/>
              <w:jc w:val="right"/>
              <w:rPr>
                <w:b/>
                <w:bCs/>
                <w:sz w:val="18"/>
                <w:szCs w:val="18"/>
              </w:rPr>
            </w:pPr>
            <w:r w:rsidRPr="00BD77D8">
              <w:rPr>
                <w:b/>
                <w:bCs/>
                <w:sz w:val="18"/>
                <w:szCs w:val="18"/>
              </w:rPr>
              <w:t xml:space="preserve">     55,964 </w:t>
            </w:r>
          </w:p>
        </w:tc>
        <w:tc>
          <w:tcPr>
            <w:tcW w:w="1306" w:type="dxa"/>
            <w:tcBorders>
              <w:top w:val="single" w:sz="4" w:space="0" w:color="auto"/>
              <w:left w:val="nil"/>
              <w:bottom w:val="single" w:sz="4" w:space="0" w:color="auto"/>
              <w:right w:val="nil"/>
            </w:tcBorders>
            <w:shd w:val="clear" w:color="auto" w:fill="auto"/>
            <w:noWrap/>
            <w:vAlign w:val="bottom"/>
            <w:hideMark/>
          </w:tcPr>
          <w:p w14:paraId="268BB012" w14:textId="77777777" w:rsidR="00B9311E" w:rsidRPr="00BD77D8" w:rsidRDefault="00B9311E" w:rsidP="00B9311E">
            <w:pPr>
              <w:spacing w:after="0" w:line="240" w:lineRule="auto"/>
              <w:jc w:val="right"/>
              <w:rPr>
                <w:b/>
                <w:bCs/>
                <w:sz w:val="18"/>
                <w:szCs w:val="18"/>
              </w:rPr>
            </w:pPr>
            <w:r w:rsidRPr="00BD77D8">
              <w:rPr>
                <w:b/>
                <w:bCs/>
                <w:sz w:val="18"/>
                <w:szCs w:val="18"/>
              </w:rPr>
              <w:t xml:space="preserve">     50,663 </w:t>
            </w:r>
          </w:p>
        </w:tc>
      </w:tr>
      <w:tr w:rsidR="00BD77D8" w:rsidRPr="00BD77D8" w14:paraId="7EE052DC" w14:textId="77777777" w:rsidTr="00760ABD">
        <w:trPr>
          <w:trHeight w:val="67"/>
        </w:trPr>
        <w:tc>
          <w:tcPr>
            <w:tcW w:w="7954" w:type="dxa"/>
            <w:tcBorders>
              <w:top w:val="nil"/>
              <w:left w:val="nil"/>
              <w:bottom w:val="nil"/>
              <w:right w:val="nil"/>
            </w:tcBorders>
            <w:shd w:val="clear" w:color="auto" w:fill="auto"/>
            <w:vAlign w:val="center"/>
            <w:hideMark/>
          </w:tcPr>
          <w:p w14:paraId="718B5967" w14:textId="77777777" w:rsidR="00B9311E" w:rsidRPr="00BD77D8" w:rsidRDefault="00B9311E" w:rsidP="00B9311E">
            <w:pPr>
              <w:spacing w:after="0" w:line="240" w:lineRule="auto"/>
              <w:rPr>
                <w:b/>
                <w:bCs/>
                <w:sz w:val="18"/>
                <w:szCs w:val="18"/>
              </w:rPr>
            </w:pPr>
            <w:r w:rsidRPr="00BD77D8">
              <w:rPr>
                <w:b/>
                <w:bCs/>
                <w:sz w:val="18"/>
                <w:szCs w:val="18"/>
              </w:rPr>
              <w:t xml:space="preserve"> Buildings </w:t>
            </w:r>
          </w:p>
        </w:tc>
        <w:tc>
          <w:tcPr>
            <w:tcW w:w="1146" w:type="dxa"/>
            <w:tcBorders>
              <w:top w:val="nil"/>
              <w:left w:val="nil"/>
              <w:bottom w:val="nil"/>
              <w:right w:val="nil"/>
            </w:tcBorders>
            <w:shd w:val="clear" w:color="auto" w:fill="auto"/>
            <w:noWrap/>
            <w:vAlign w:val="bottom"/>
            <w:hideMark/>
          </w:tcPr>
          <w:p w14:paraId="09F1ABAC" w14:textId="77777777" w:rsidR="00B9311E" w:rsidRPr="00BD77D8" w:rsidRDefault="00B9311E" w:rsidP="00B9311E">
            <w:pPr>
              <w:spacing w:after="0" w:line="240" w:lineRule="auto"/>
              <w:jc w:val="right"/>
              <w:rPr>
                <w:b/>
                <w:bCs/>
                <w:sz w:val="18"/>
                <w:szCs w:val="18"/>
              </w:rPr>
            </w:pPr>
            <w:r w:rsidRPr="00BD77D8">
              <w:rPr>
                <w:b/>
                <w:bCs/>
                <w:sz w:val="18"/>
                <w:szCs w:val="18"/>
              </w:rPr>
              <w:t xml:space="preserve">   </w:t>
            </w:r>
          </w:p>
        </w:tc>
        <w:tc>
          <w:tcPr>
            <w:tcW w:w="1306" w:type="dxa"/>
            <w:tcBorders>
              <w:top w:val="nil"/>
              <w:left w:val="nil"/>
              <w:bottom w:val="nil"/>
              <w:right w:val="nil"/>
            </w:tcBorders>
            <w:shd w:val="clear" w:color="auto" w:fill="auto"/>
            <w:noWrap/>
            <w:vAlign w:val="bottom"/>
            <w:hideMark/>
          </w:tcPr>
          <w:p w14:paraId="1753A4A7" w14:textId="77777777" w:rsidR="00B9311E" w:rsidRPr="00BD77D8" w:rsidRDefault="00B9311E" w:rsidP="00B9311E">
            <w:pPr>
              <w:spacing w:after="0" w:line="240" w:lineRule="auto"/>
              <w:jc w:val="right"/>
              <w:rPr>
                <w:b/>
                <w:bCs/>
                <w:sz w:val="18"/>
                <w:szCs w:val="18"/>
              </w:rPr>
            </w:pPr>
            <w:r w:rsidRPr="00BD77D8">
              <w:rPr>
                <w:b/>
                <w:bCs/>
                <w:sz w:val="18"/>
                <w:szCs w:val="18"/>
              </w:rPr>
              <w:t xml:space="preserve">   </w:t>
            </w:r>
          </w:p>
        </w:tc>
      </w:tr>
      <w:tr w:rsidR="00BD77D8" w:rsidRPr="00BD77D8" w14:paraId="53E347E9" w14:textId="77777777" w:rsidTr="00760ABD">
        <w:trPr>
          <w:trHeight w:val="76"/>
        </w:trPr>
        <w:tc>
          <w:tcPr>
            <w:tcW w:w="7954" w:type="dxa"/>
            <w:tcBorders>
              <w:top w:val="nil"/>
              <w:left w:val="nil"/>
              <w:bottom w:val="nil"/>
              <w:right w:val="nil"/>
            </w:tcBorders>
            <w:shd w:val="clear" w:color="auto" w:fill="auto"/>
            <w:vAlign w:val="center"/>
            <w:hideMark/>
          </w:tcPr>
          <w:p w14:paraId="7ED7CAF6" w14:textId="77777777" w:rsidR="00B9311E" w:rsidRPr="00BD77D8" w:rsidRDefault="00B9311E" w:rsidP="00B9311E">
            <w:pPr>
              <w:spacing w:after="0" w:line="240" w:lineRule="auto"/>
              <w:rPr>
                <w:sz w:val="18"/>
                <w:szCs w:val="18"/>
              </w:rPr>
            </w:pPr>
            <w:r w:rsidRPr="00BD77D8">
              <w:rPr>
                <w:sz w:val="18"/>
                <w:szCs w:val="18"/>
              </w:rPr>
              <w:t xml:space="preserve"> At fair value </w:t>
            </w:r>
          </w:p>
        </w:tc>
        <w:tc>
          <w:tcPr>
            <w:tcW w:w="1146" w:type="dxa"/>
            <w:tcBorders>
              <w:top w:val="nil"/>
              <w:left w:val="nil"/>
              <w:bottom w:val="nil"/>
              <w:right w:val="nil"/>
            </w:tcBorders>
            <w:shd w:val="clear" w:color="auto" w:fill="auto"/>
            <w:noWrap/>
            <w:vAlign w:val="bottom"/>
            <w:hideMark/>
          </w:tcPr>
          <w:p w14:paraId="3792481D" w14:textId="77777777" w:rsidR="00B9311E" w:rsidRPr="00BD77D8" w:rsidRDefault="00B9311E" w:rsidP="00B9311E">
            <w:pPr>
              <w:spacing w:after="0" w:line="240" w:lineRule="auto"/>
              <w:jc w:val="right"/>
              <w:rPr>
                <w:sz w:val="18"/>
                <w:szCs w:val="18"/>
              </w:rPr>
            </w:pPr>
            <w:r w:rsidRPr="00BD77D8">
              <w:rPr>
                <w:sz w:val="18"/>
                <w:szCs w:val="18"/>
              </w:rPr>
              <w:t xml:space="preserve">   204,012 </w:t>
            </w:r>
          </w:p>
        </w:tc>
        <w:tc>
          <w:tcPr>
            <w:tcW w:w="1306" w:type="dxa"/>
            <w:tcBorders>
              <w:top w:val="nil"/>
              <w:left w:val="nil"/>
              <w:bottom w:val="nil"/>
              <w:right w:val="nil"/>
            </w:tcBorders>
            <w:shd w:val="clear" w:color="auto" w:fill="auto"/>
            <w:noWrap/>
            <w:vAlign w:val="bottom"/>
            <w:hideMark/>
          </w:tcPr>
          <w:p w14:paraId="01E5470C" w14:textId="77777777" w:rsidR="00B9311E" w:rsidRPr="00BD77D8" w:rsidRDefault="00B9311E" w:rsidP="00B9311E">
            <w:pPr>
              <w:spacing w:after="0" w:line="240" w:lineRule="auto"/>
              <w:jc w:val="right"/>
              <w:rPr>
                <w:sz w:val="18"/>
                <w:szCs w:val="18"/>
              </w:rPr>
            </w:pPr>
            <w:r w:rsidRPr="00BD77D8">
              <w:rPr>
                <w:sz w:val="18"/>
                <w:szCs w:val="18"/>
              </w:rPr>
              <w:t xml:space="preserve">   178,759 </w:t>
            </w:r>
          </w:p>
        </w:tc>
      </w:tr>
      <w:tr w:rsidR="00BD77D8" w:rsidRPr="00BD77D8" w14:paraId="21B0AE74" w14:textId="77777777" w:rsidTr="00760ABD">
        <w:trPr>
          <w:trHeight w:val="279"/>
        </w:trPr>
        <w:tc>
          <w:tcPr>
            <w:tcW w:w="7954" w:type="dxa"/>
            <w:tcBorders>
              <w:top w:val="nil"/>
              <w:left w:val="nil"/>
              <w:bottom w:val="nil"/>
              <w:right w:val="nil"/>
            </w:tcBorders>
            <w:shd w:val="clear" w:color="auto" w:fill="auto"/>
            <w:vAlign w:val="center"/>
            <w:hideMark/>
          </w:tcPr>
          <w:p w14:paraId="514AAA76" w14:textId="77777777" w:rsidR="00B9311E" w:rsidRPr="00BD77D8" w:rsidRDefault="00B9311E" w:rsidP="00B9311E">
            <w:pPr>
              <w:spacing w:after="0" w:line="240" w:lineRule="auto"/>
              <w:rPr>
                <w:sz w:val="18"/>
                <w:szCs w:val="18"/>
              </w:rPr>
            </w:pPr>
            <w:r w:rsidRPr="00BD77D8">
              <w:rPr>
                <w:sz w:val="18"/>
                <w:szCs w:val="18"/>
              </w:rPr>
              <w:t xml:space="preserve"> Less accumulated depreciation </w:t>
            </w:r>
          </w:p>
        </w:tc>
        <w:tc>
          <w:tcPr>
            <w:tcW w:w="1146" w:type="dxa"/>
            <w:tcBorders>
              <w:top w:val="nil"/>
              <w:left w:val="nil"/>
              <w:bottom w:val="nil"/>
              <w:right w:val="nil"/>
            </w:tcBorders>
            <w:shd w:val="clear" w:color="auto" w:fill="auto"/>
            <w:noWrap/>
            <w:vAlign w:val="bottom"/>
            <w:hideMark/>
          </w:tcPr>
          <w:p w14:paraId="387A422A" w14:textId="77777777" w:rsidR="00B9311E" w:rsidRPr="00BD77D8" w:rsidRDefault="00B9311E" w:rsidP="00B9311E">
            <w:pPr>
              <w:spacing w:after="0" w:line="240" w:lineRule="auto"/>
              <w:jc w:val="right"/>
              <w:rPr>
                <w:sz w:val="18"/>
                <w:szCs w:val="18"/>
              </w:rPr>
            </w:pPr>
            <w:r w:rsidRPr="00BD77D8">
              <w:rPr>
                <w:sz w:val="18"/>
                <w:szCs w:val="18"/>
              </w:rPr>
              <w:t xml:space="preserve">   (57,626)</w:t>
            </w:r>
          </w:p>
        </w:tc>
        <w:tc>
          <w:tcPr>
            <w:tcW w:w="1306" w:type="dxa"/>
            <w:tcBorders>
              <w:top w:val="nil"/>
              <w:left w:val="nil"/>
              <w:bottom w:val="nil"/>
              <w:right w:val="nil"/>
            </w:tcBorders>
            <w:shd w:val="clear" w:color="auto" w:fill="auto"/>
            <w:noWrap/>
            <w:vAlign w:val="bottom"/>
            <w:hideMark/>
          </w:tcPr>
          <w:p w14:paraId="4549222B" w14:textId="77777777" w:rsidR="00B9311E" w:rsidRPr="00BD77D8" w:rsidRDefault="00B9311E" w:rsidP="00B9311E">
            <w:pPr>
              <w:spacing w:after="0" w:line="240" w:lineRule="auto"/>
              <w:jc w:val="right"/>
              <w:rPr>
                <w:sz w:val="18"/>
                <w:szCs w:val="18"/>
              </w:rPr>
            </w:pPr>
            <w:r w:rsidRPr="00BD77D8">
              <w:rPr>
                <w:sz w:val="18"/>
                <w:szCs w:val="18"/>
              </w:rPr>
              <w:t xml:space="preserve">   (50,541)</w:t>
            </w:r>
          </w:p>
        </w:tc>
      </w:tr>
      <w:tr w:rsidR="00BD77D8" w:rsidRPr="00BD77D8" w14:paraId="4942D250" w14:textId="77777777" w:rsidTr="00760ABD">
        <w:trPr>
          <w:trHeight w:val="279"/>
        </w:trPr>
        <w:tc>
          <w:tcPr>
            <w:tcW w:w="7954" w:type="dxa"/>
            <w:tcBorders>
              <w:top w:val="nil"/>
              <w:left w:val="nil"/>
              <w:bottom w:val="nil"/>
              <w:right w:val="nil"/>
            </w:tcBorders>
            <w:shd w:val="clear" w:color="auto" w:fill="auto"/>
            <w:vAlign w:val="center"/>
            <w:hideMark/>
          </w:tcPr>
          <w:p w14:paraId="12216206" w14:textId="77777777" w:rsidR="00B9311E" w:rsidRPr="00BD77D8" w:rsidRDefault="00B9311E" w:rsidP="00B9311E">
            <w:pPr>
              <w:spacing w:after="0" w:line="240" w:lineRule="auto"/>
              <w:rPr>
                <w:sz w:val="18"/>
                <w:szCs w:val="18"/>
              </w:rPr>
            </w:pPr>
            <w:r w:rsidRPr="00BD77D8">
              <w:rPr>
                <w:sz w:val="18"/>
                <w:szCs w:val="18"/>
              </w:rPr>
              <w:t xml:space="preserve">   </w:t>
            </w:r>
          </w:p>
        </w:tc>
        <w:tc>
          <w:tcPr>
            <w:tcW w:w="1146" w:type="dxa"/>
            <w:tcBorders>
              <w:top w:val="single" w:sz="4" w:space="0" w:color="auto"/>
              <w:left w:val="nil"/>
              <w:bottom w:val="single" w:sz="4" w:space="0" w:color="auto"/>
              <w:right w:val="nil"/>
            </w:tcBorders>
            <w:shd w:val="clear" w:color="auto" w:fill="auto"/>
            <w:noWrap/>
            <w:vAlign w:val="bottom"/>
            <w:hideMark/>
          </w:tcPr>
          <w:p w14:paraId="25BA3767" w14:textId="77777777" w:rsidR="00B9311E" w:rsidRPr="00BD77D8" w:rsidRDefault="00B9311E" w:rsidP="00B9311E">
            <w:pPr>
              <w:spacing w:after="0" w:line="240" w:lineRule="auto"/>
              <w:jc w:val="right"/>
              <w:rPr>
                <w:b/>
                <w:bCs/>
                <w:sz w:val="18"/>
                <w:szCs w:val="18"/>
              </w:rPr>
            </w:pPr>
            <w:r w:rsidRPr="00BD77D8">
              <w:rPr>
                <w:b/>
                <w:bCs/>
                <w:sz w:val="18"/>
                <w:szCs w:val="18"/>
              </w:rPr>
              <w:t xml:space="preserve">   146,386 </w:t>
            </w:r>
          </w:p>
        </w:tc>
        <w:tc>
          <w:tcPr>
            <w:tcW w:w="1306" w:type="dxa"/>
            <w:tcBorders>
              <w:top w:val="single" w:sz="4" w:space="0" w:color="auto"/>
              <w:left w:val="nil"/>
              <w:bottom w:val="single" w:sz="4" w:space="0" w:color="auto"/>
              <w:right w:val="nil"/>
            </w:tcBorders>
            <w:shd w:val="clear" w:color="auto" w:fill="auto"/>
            <w:noWrap/>
            <w:vAlign w:val="bottom"/>
            <w:hideMark/>
          </w:tcPr>
          <w:p w14:paraId="73EC3F3C" w14:textId="77777777" w:rsidR="00B9311E" w:rsidRPr="00BD77D8" w:rsidRDefault="00B9311E" w:rsidP="00B9311E">
            <w:pPr>
              <w:spacing w:after="0" w:line="240" w:lineRule="auto"/>
              <w:jc w:val="right"/>
              <w:rPr>
                <w:b/>
                <w:bCs/>
                <w:sz w:val="18"/>
                <w:szCs w:val="18"/>
              </w:rPr>
            </w:pPr>
            <w:r w:rsidRPr="00BD77D8">
              <w:rPr>
                <w:b/>
                <w:bCs/>
                <w:sz w:val="18"/>
                <w:szCs w:val="18"/>
              </w:rPr>
              <w:t xml:space="preserve">   128,218 </w:t>
            </w:r>
          </w:p>
        </w:tc>
      </w:tr>
      <w:tr w:rsidR="00BD77D8" w:rsidRPr="00BD77D8" w14:paraId="689C6B93" w14:textId="77777777" w:rsidTr="00760ABD">
        <w:trPr>
          <w:trHeight w:val="279"/>
        </w:trPr>
        <w:tc>
          <w:tcPr>
            <w:tcW w:w="7954" w:type="dxa"/>
            <w:tcBorders>
              <w:top w:val="nil"/>
              <w:left w:val="nil"/>
              <w:bottom w:val="nil"/>
              <w:right w:val="nil"/>
            </w:tcBorders>
            <w:shd w:val="clear" w:color="auto" w:fill="auto"/>
            <w:vAlign w:val="center"/>
            <w:hideMark/>
          </w:tcPr>
          <w:p w14:paraId="238B2819" w14:textId="77777777" w:rsidR="00B9311E" w:rsidRPr="00BD77D8" w:rsidRDefault="00B9311E" w:rsidP="00B9311E">
            <w:pPr>
              <w:spacing w:after="0" w:line="240" w:lineRule="auto"/>
              <w:rPr>
                <w:b/>
                <w:bCs/>
                <w:sz w:val="18"/>
                <w:szCs w:val="18"/>
              </w:rPr>
            </w:pPr>
            <w:r w:rsidRPr="00BD77D8">
              <w:rPr>
                <w:b/>
                <w:bCs/>
                <w:sz w:val="18"/>
                <w:szCs w:val="18"/>
              </w:rPr>
              <w:t xml:space="preserve"> Plant and equipment </w:t>
            </w:r>
          </w:p>
        </w:tc>
        <w:tc>
          <w:tcPr>
            <w:tcW w:w="1146" w:type="dxa"/>
            <w:tcBorders>
              <w:top w:val="nil"/>
              <w:left w:val="nil"/>
              <w:bottom w:val="nil"/>
              <w:right w:val="nil"/>
            </w:tcBorders>
            <w:shd w:val="clear" w:color="auto" w:fill="auto"/>
            <w:noWrap/>
            <w:vAlign w:val="bottom"/>
            <w:hideMark/>
          </w:tcPr>
          <w:p w14:paraId="2C8E032D" w14:textId="77777777" w:rsidR="00B9311E" w:rsidRPr="00BD77D8" w:rsidRDefault="00B9311E" w:rsidP="00B9311E">
            <w:pPr>
              <w:spacing w:after="0" w:line="240" w:lineRule="auto"/>
              <w:rPr>
                <w:b/>
                <w:bCs/>
                <w:sz w:val="18"/>
                <w:szCs w:val="18"/>
              </w:rPr>
            </w:pPr>
          </w:p>
        </w:tc>
        <w:tc>
          <w:tcPr>
            <w:tcW w:w="1306" w:type="dxa"/>
            <w:tcBorders>
              <w:top w:val="nil"/>
              <w:left w:val="nil"/>
              <w:bottom w:val="nil"/>
              <w:right w:val="nil"/>
            </w:tcBorders>
            <w:shd w:val="clear" w:color="auto" w:fill="auto"/>
            <w:noWrap/>
            <w:vAlign w:val="bottom"/>
            <w:hideMark/>
          </w:tcPr>
          <w:p w14:paraId="5F1CA2BF"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4BE201F9" w14:textId="77777777" w:rsidTr="00760ABD">
        <w:trPr>
          <w:trHeight w:val="279"/>
        </w:trPr>
        <w:tc>
          <w:tcPr>
            <w:tcW w:w="7954" w:type="dxa"/>
            <w:tcBorders>
              <w:top w:val="nil"/>
              <w:left w:val="nil"/>
              <w:bottom w:val="nil"/>
              <w:right w:val="nil"/>
            </w:tcBorders>
            <w:shd w:val="clear" w:color="auto" w:fill="auto"/>
            <w:vAlign w:val="center"/>
            <w:hideMark/>
          </w:tcPr>
          <w:p w14:paraId="53D7DFB6" w14:textId="77777777" w:rsidR="00B9311E" w:rsidRPr="00BD77D8" w:rsidRDefault="00B9311E" w:rsidP="00B9311E">
            <w:pPr>
              <w:spacing w:after="0" w:line="240" w:lineRule="auto"/>
              <w:rPr>
                <w:sz w:val="18"/>
                <w:szCs w:val="18"/>
              </w:rPr>
            </w:pPr>
            <w:r w:rsidRPr="00BD77D8">
              <w:rPr>
                <w:sz w:val="18"/>
                <w:szCs w:val="18"/>
              </w:rPr>
              <w:t xml:space="preserve"> At cost </w:t>
            </w:r>
          </w:p>
        </w:tc>
        <w:tc>
          <w:tcPr>
            <w:tcW w:w="1146" w:type="dxa"/>
            <w:tcBorders>
              <w:top w:val="nil"/>
              <w:left w:val="nil"/>
              <w:bottom w:val="nil"/>
              <w:right w:val="nil"/>
            </w:tcBorders>
            <w:shd w:val="clear" w:color="auto" w:fill="auto"/>
            <w:noWrap/>
            <w:vAlign w:val="bottom"/>
            <w:hideMark/>
          </w:tcPr>
          <w:p w14:paraId="1BAE25E2" w14:textId="77777777" w:rsidR="00B9311E" w:rsidRPr="00BD77D8" w:rsidRDefault="00B9311E" w:rsidP="00B9311E">
            <w:pPr>
              <w:spacing w:after="0" w:line="240" w:lineRule="auto"/>
              <w:jc w:val="right"/>
              <w:rPr>
                <w:sz w:val="18"/>
                <w:szCs w:val="18"/>
              </w:rPr>
            </w:pPr>
            <w:r w:rsidRPr="00BD77D8">
              <w:rPr>
                <w:sz w:val="18"/>
                <w:szCs w:val="18"/>
              </w:rPr>
              <w:t xml:space="preserve">       5,896 </w:t>
            </w:r>
          </w:p>
        </w:tc>
        <w:tc>
          <w:tcPr>
            <w:tcW w:w="1306" w:type="dxa"/>
            <w:tcBorders>
              <w:top w:val="nil"/>
              <w:left w:val="nil"/>
              <w:bottom w:val="nil"/>
              <w:right w:val="nil"/>
            </w:tcBorders>
            <w:shd w:val="clear" w:color="auto" w:fill="auto"/>
            <w:noWrap/>
            <w:vAlign w:val="bottom"/>
            <w:hideMark/>
          </w:tcPr>
          <w:p w14:paraId="02EFFDA3" w14:textId="77777777" w:rsidR="00B9311E" w:rsidRPr="00BD77D8" w:rsidRDefault="00B9311E" w:rsidP="00B9311E">
            <w:pPr>
              <w:spacing w:after="0" w:line="240" w:lineRule="auto"/>
              <w:jc w:val="right"/>
              <w:rPr>
                <w:sz w:val="18"/>
                <w:szCs w:val="18"/>
              </w:rPr>
            </w:pPr>
            <w:r w:rsidRPr="00BD77D8">
              <w:rPr>
                <w:sz w:val="18"/>
                <w:szCs w:val="18"/>
              </w:rPr>
              <w:t xml:space="preserve">       6,846 </w:t>
            </w:r>
          </w:p>
        </w:tc>
      </w:tr>
      <w:tr w:rsidR="00BD77D8" w:rsidRPr="00BD77D8" w14:paraId="401EC4A1" w14:textId="77777777" w:rsidTr="00760ABD">
        <w:trPr>
          <w:trHeight w:val="279"/>
        </w:trPr>
        <w:tc>
          <w:tcPr>
            <w:tcW w:w="7954" w:type="dxa"/>
            <w:tcBorders>
              <w:top w:val="nil"/>
              <w:left w:val="nil"/>
              <w:bottom w:val="nil"/>
              <w:right w:val="nil"/>
            </w:tcBorders>
            <w:shd w:val="clear" w:color="auto" w:fill="auto"/>
            <w:vAlign w:val="center"/>
            <w:hideMark/>
          </w:tcPr>
          <w:p w14:paraId="38728A4C" w14:textId="77777777" w:rsidR="00B9311E" w:rsidRPr="00BD77D8" w:rsidRDefault="00B9311E" w:rsidP="00B9311E">
            <w:pPr>
              <w:spacing w:after="0" w:line="240" w:lineRule="auto"/>
              <w:rPr>
                <w:sz w:val="18"/>
                <w:szCs w:val="18"/>
              </w:rPr>
            </w:pPr>
            <w:r w:rsidRPr="00BD77D8">
              <w:rPr>
                <w:sz w:val="18"/>
                <w:szCs w:val="18"/>
              </w:rPr>
              <w:t xml:space="preserve"> Less accumulated depreciation </w:t>
            </w:r>
          </w:p>
        </w:tc>
        <w:tc>
          <w:tcPr>
            <w:tcW w:w="1146" w:type="dxa"/>
            <w:tcBorders>
              <w:top w:val="nil"/>
              <w:left w:val="nil"/>
              <w:bottom w:val="nil"/>
              <w:right w:val="nil"/>
            </w:tcBorders>
            <w:shd w:val="clear" w:color="auto" w:fill="auto"/>
            <w:noWrap/>
            <w:vAlign w:val="bottom"/>
            <w:hideMark/>
          </w:tcPr>
          <w:p w14:paraId="1D30521D" w14:textId="77777777" w:rsidR="00B9311E" w:rsidRPr="00BD77D8" w:rsidRDefault="00B9311E" w:rsidP="00B9311E">
            <w:pPr>
              <w:spacing w:after="0" w:line="240" w:lineRule="auto"/>
              <w:jc w:val="right"/>
              <w:rPr>
                <w:sz w:val="18"/>
                <w:szCs w:val="18"/>
              </w:rPr>
            </w:pPr>
            <w:r w:rsidRPr="00BD77D8">
              <w:rPr>
                <w:sz w:val="18"/>
                <w:szCs w:val="18"/>
              </w:rPr>
              <w:t xml:space="preserve">      (4,423)</w:t>
            </w:r>
          </w:p>
        </w:tc>
        <w:tc>
          <w:tcPr>
            <w:tcW w:w="1306" w:type="dxa"/>
            <w:tcBorders>
              <w:top w:val="nil"/>
              <w:left w:val="nil"/>
              <w:bottom w:val="nil"/>
              <w:right w:val="nil"/>
            </w:tcBorders>
            <w:shd w:val="clear" w:color="auto" w:fill="auto"/>
            <w:noWrap/>
            <w:vAlign w:val="bottom"/>
            <w:hideMark/>
          </w:tcPr>
          <w:p w14:paraId="61CAE778" w14:textId="77777777" w:rsidR="00B9311E" w:rsidRPr="00BD77D8" w:rsidRDefault="00B9311E" w:rsidP="00B9311E">
            <w:pPr>
              <w:spacing w:after="0" w:line="240" w:lineRule="auto"/>
              <w:jc w:val="right"/>
              <w:rPr>
                <w:sz w:val="18"/>
                <w:szCs w:val="18"/>
              </w:rPr>
            </w:pPr>
            <w:r w:rsidRPr="00BD77D8">
              <w:rPr>
                <w:sz w:val="18"/>
                <w:szCs w:val="18"/>
              </w:rPr>
              <w:t xml:space="preserve">      (4,900)</w:t>
            </w:r>
          </w:p>
        </w:tc>
      </w:tr>
      <w:tr w:rsidR="00BD77D8" w:rsidRPr="00BD77D8" w14:paraId="796E0EDA" w14:textId="77777777" w:rsidTr="00760ABD">
        <w:trPr>
          <w:trHeight w:val="279"/>
        </w:trPr>
        <w:tc>
          <w:tcPr>
            <w:tcW w:w="7954" w:type="dxa"/>
            <w:tcBorders>
              <w:top w:val="nil"/>
              <w:left w:val="nil"/>
              <w:bottom w:val="nil"/>
              <w:right w:val="nil"/>
            </w:tcBorders>
            <w:shd w:val="clear" w:color="000000" w:fill="FFFFFF"/>
            <w:vAlign w:val="center"/>
            <w:hideMark/>
          </w:tcPr>
          <w:p w14:paraId="776A2CC0" w14:textId="77777777" w:rsidR="00B9311E" w:rsidRPr="00BD77D8" w:rsidRDefault="00B9311E" w:rsidP="00B9311E">
            <w:pPr>
              <w:spacing w:after="0" w:line="240" w:lineRule="auto"/>
              <w:rPr>
                <w:sz w:val="18"/>
                <w:szCs w:val="18"/>
              </w:rPr>
            </w:pPr>
            <w:r w:rsidRPr="00BD77D8">
              <w:rPr>
                <w:sz w:val="18"/>
                <w:szCs w:val="18"/>
              </w:rPr>
              <w:t xml:space="preserve">   </w:t>
            </w:r>
          </w:p>
        </w:tc>
        <w:tc>
          <w:tcPr>
            <w:tcW w:w="1146" w:type="dxa"/>
            <w:tcBorders>
              <w:top w:val="single" w:sz="4" w:space="0" w:color="auto"/>
              <w:left w:val="nil"/>
              <w:bottom w:val="single" w:sz="4" w:space="0" w:color="auto"/>
              <w:right w:val="nil"/>
            </w:tcBorders>
            <w:shd w:val="clear" w:color="auto" w:fill="auto"/>
            <w:noWrap/>
            <w:vAlign w:val="bottom"/>
            <w:hideMark/>
          </w:tcPr>
          <w:p w14:paraId="3F43C0E7" w14:textId="77777777" w:rsidR="00B9311E" w:rsidRPr="00BD77D8" w:rsidRDefault="00B9311E" w:rsidP="00B9311E">
            <w:pPr>
              <w:spacing w:after="0" w:line="240" w:lineRule="auto"/>
              <w:jc w:val="right"/>
              <w:rPr>
                <w:b/>
                <w:bCs/>
                <w:sz w:val="18"/>
                <w:szCs w:val="18"/>
              </w:rPr>
            </w:pPr>
            <w:r w:rsidRPr="00BD77D8">
              <w:rPr>
                <w:b/>
                <w:bCs/>
                <w:sz w:val="18"/>
                <w:szCs w:val="18"/>
              </w:rPr>
              <w:t xml:space="preserve">       1,473 </w:t>
            </w:r>
          </w:p>
        </w:tc>
        <w:tc>
          <w:tcPr>
            <w:tcW w:w="1306" w:type="dxa"/>
            <w:tcBorders>
              <w:top w:val="single" w:sz="4" w:space="0" w:color="auto"/>
              <w:left w:val="nil"/>
              <w:bottom w:val="single" w:sz="4" w:space="0" w:color="auto"/>
              <w:right w:val="nil"/>
            </w:tcBorders>
            <w:shd w:val="clear" w:color="auto" w:fill="auto"/>
            <w:noWrap/>
            <w:vAlign w:val="bottom"/>
            <w:hideMark/>
          </w:tcPr>
          <w:p w14:paraId="254C4133" w14:textId="77777777" w:rsidR="00B9311E" w:rsidRPr="00BD77D8" w:rsidRDefault="00B9311E" w:rsidP="00B9311E">
            <w:pPr>
              <w:spacing w:after="0" w:line="240" w:lineRule="auto"/>
              <w:jc w:val="right"/>
              <w:rPr>
                <w:b/>
                <w:bCs/>
                <w:sz w:val="18"/>
                <w:szCs w:val="18"/>
              </w:rPr>
            </w:pPr>
            <w:r w:rsidRPr="00BD77D8">
              <w:rPr>
                <w:b/>
                <w:bCs/>
                <w:sz w:val="18"/>
                <w:szCs w:val="18"/>
              </w:rPr>
              <w:t xml:space="preserve">       1,946 </w:t>
            </w:r>
          </w:p>
        </w:tc>
      </w:tr>
      <w:tr w:rsidR="00BD77D8" w:rsidRPr="00BD77D8" w14:paraId="165563B6" w14:textId="77777777" w:rsidTr="00760ABD">
        <w:trPr>
          <w:trHeight w:val="279"/>
        </w:trPr>
        <w:tc>
          <w:tcPr>
            <w:tcW w:w="7954" w:type="dxa"/>
            <w:tcBorders>
              <w:top w:val="nil"/>
              <w:left w:val="nil"/>
              <w:bottom w:val="nil"/>
              <w:right w:val="nil"/>
            </w:tcBorders>
            <w:shd w:val="clear" w:color="000000" w:fill="FFFFFF"/>
            <w:vAlign w:val="center"/>
            <w:hideMark/>
          </w:tcPr>
          <w:p w14:paraId="0E3CAC6C" w14:textId="77777777" w:rsidR="00B9311E" w:rsidRPr="00BD77D8" w:rsidRDefault="00B9311E" w:rsidP="00B9311E">
            <w:pPr>
              <w:spacing w:after="0" w:line="240" w:lineRule="auto"/>
              <w:rPr>
                <w:b/>
                <w:bCs/>
                <w:sz w:val="18"/>
                <w:szCs w:val="18"/>
              </w:rPr>
            </w:pPr>
            <w:r w:rsidRPr="00BD77D8">
              <w:rPr>
                <w:b/>
                <w:bCs/>
                <w:sz w:val="18"/>
                <w:szCs w:val="18"/>
              </w:rPr>
              <w:t xml:space="preserve"> Capital works in progress </w:t>
            </w:r>
          </w:p>
        </w:tc>
        <w:tc>
          <w:tcPr>
            <w:tcW w:w="1146" w:type="dxa"/>
            <w:tcBorders>
              <w:top w:val="nil"/>
              <w:left w:val="nil"/>
              <w:bottom w:val="nil"/>
              <w:right w:val="nil"/>
            </w:tcBorders>
            <w:shd w:val="clear" w:color="auto" w:fill="auto"/>
            <w:noWrap/>
            <w:vAlign w:val="bottom"/>
            <w:hideMark/>
          </w:tcPr>
          <w:p w14:paraId="48AF5C03" w14:textId="77777777" w:rsidR="00B9311E" w:rsidRPr="00BD77D8" w:rsidRDefault="00B9311E" w:rsidP="00B9311E">
            <w:pPr>
              <w:spacing w:after="0" w:line="240" w:lineRule="auto"/>
              <w:jc w:val="right"/>
              <w:rPr>
                <w:b/>
                <w:bCs/>
                <w:sz w:val="18"/>
                <w:szCs w:val="18"/>
              </w:rPr>
            </w:pPr>
            <w:r w:rsidRPr="00BD77D8">
              <w:rPr>
                <w:b/>
                <w:bCs/>
                <w:sz w:val="18"/>
                <w:szCs w:val="18"/>
              </w:rPr>
              <w:t xml:space="preserve">   </w:t>
            </w:r>
          </w:p>
        </w:tc>
        <w:tc>
          <w:tcPr>
            <w:tcW w:w="1306" w:type="dxa"/>
            <w:tcBorders>
              <w:top w:val="nil"/>
              <w:left w:val="nil"/>
              <w:bottom w:val="nil"/>
              <w:right w:val="nil"/>
            </w:tcBorders>
            <w:shd w:val="clear" w:color="auto" w:fill="auto"/>
            <w:noWrap/>
            <w:vAlign w:val="bottom"/>
            <w:hideMark/>
          </w:tcPr>
          <w:p w14:paraId="0A69C273" w14:textId="77777777" w:rsidR="00B9311E" w:rsidRPr="00BD77D8" w:rsidRDefault="00B9311E" w:rsidP="00B9311E">
            <w:pPr>
              <w:spacing w:after="0" w:line="240" w:lineRule="auto"/>
              <w:jc w:val="right"/>
              <w:rPr>
                <w:b/>
                <w:bCs/>
                <w:sz w:val="18"/>
                <w:szCs w:val="18"/>
              </w:rPr>
            </w:pPr>
            <w:r w:rsidRPr="00BD77D8">
              <w:rPr>
                <w:b/>
                <w:bCs/>
                <w:sz w:val="18"/>
                <w:szCs w:val="18"/>
              </w:rPr>
              <w:t xml:space="preserve">   </w:t>
            </w:r>
          </w:p>
        </w:tc>
      </w:tr>
      <w:tr w:rsidR="00BD77D8" w:rsidRPr="00BD77D8" w14:paraId="2F8A2276" w14:textId="77777777" w:rsidTr="00760ABD">
        <w:trPr>
          <w:trHeight w:val="279"/>
        </w:trPr>
        <w:tc>
          <w:tcPr>
            <w:tcW w:w="7954" w:type="dxa"/>
            <w:tcBorders>
              <w:top w:val="nil"/>
              <w:left w:val="nil"/>
              <w:bottom w:val="nil"/>
              <w:right w:val="nil"/>
            </w:tcBorders>
            <w:shd w:val="clear" w:color="000000" w:fill="FFFFFF"/>
            <w:noWrap/>
            <w:vAlign w:val="bottom"/>
            <w:hideMark/>
          </w:tcPr>
          <w:p w14:paraId="64DEFDDA" w14:textId="77777777" w:rsidR="00B9311E" w:rsidRPr="00BD77D8" w:rsidRDefault="00B9311E" w:rsidP="00B9311E">
            <w:pPr>
              <w:spacing w:after="0" w:line="240" w:lineRule="auto"/>
              <w:rPr>
                <w:sz w:val="18"/>
                <w:szCs w:val="18"/>
              </w:rPr>
            </w:pPr>
            <w:r w:rsidRPr="00BD77D8">
              <w:rPr>
                <w:sz w:val="18"/>
                <w:szCs w:val="18"/>
              </w:rPr>
              <w:t xml:space="preserve"> At cost </w:t>
            </w:r>
          </w:p>
        </w:tc>
        <w:tc>
          <w:tcPr>
            <w:tcW w:w="1146" w:type="dxa"/>
            <w:tcBorders>
              <w:top w:val="nil"/>
              <w:left w:val="nil"/>
              <w:bottom w:val="nil"/>
              <w:right w:val="nil"/>
            </w:tcBorders>
            <w:shd w:val="clear" w:color="auto" w:fill="auto"/>
            <w:noWrap/>
            <w:vAlign w:val="bottom"/>
            <w:hideMark/>
          </w:tcPr>
          <w:p w14:paraId="59BD9200" w14:textId="77777777" w:rsidR="00B9311E" w:rsidRPr="00BD77D8" w:rsidRDefault="00B9311E" w:rsidP="00B9311E">
            <w:pPr>
              <w:spacing w:after="0" w:line="240" w:lineRule="auto"/>
              <w:jc w:val="right"/>
              <w:rPr>
                <w:sz w:val="18"/>
                <w:szCs w:val="18"/>
              </w:rPr>
            </w:pPr>
            <w:r w:rsidRPr="00BD77D8">
              <w:rPr>
                <w:sz w:val="18"/>
                <w:szCs w:val="18"/>
              </w:rPr>
              <w:t xml:space="preserve">       1,350 </w:t>
            </w:r>
          </w:p>
        </w:tc>
        <w:tc>
          <w:tcPr>
            <w:tcW w:w="1306" w:type="dxa"/>
            <w:tcBorders>
              <w:top w:val="nil"/>
              <w:left w:val="nil"/>
              <w:bottom w:val="nil"/>
              <w:right w:val="nil"/>
            </w:tcBorders>
            <w:shd w:val="clear" w:color="auto" w:fill="auto"/>
            <w:noWrap/>
            <w:vAlign w:val="bottom"/>
            <w:hideMark/>
          </w:tcPr>
          <w:p w14:paraId="5896E2DD" w14:textId="77777777" w:rsidR="00B9311E" w:rsidRPr="00BD77D8" w:rsidRDefault="00B9311E" w:rsidP="00B9311E">
            <w:pPr>
              <w:spacing w:after="0" w:line="240" w:lineRule="auto"/>
              <w:jc w:val="right"/>
              <w:rPr>
                <w:sz w:val="18"/>
                <w:szCs w:val="18"/>
              </w:rPr>
            </w:pPr>
            <w:r w:rsidRPr="00BD77D8">
              <w:rPr>
                <w:sz w:val="18"/>
                <w:szCs w:val="18"/>
              </w:rPr>
              <w:t xml:space="preserve">           469 </w:t>
            </w:r>
          </w:p>
        </w:tc>
      </w:tr>
      <w:tr w:rsidR="00BD77D8" w:rsidRPr="00BD77D8" w14:paraId="764F6143" w14:textId="77777777" w:rsidTr="00760ABD">
        <w:trPr>
          <w:trHeight w:val="279"/>
        </w:trPr>
        <w:tc>
          <w:tcPr>
            <w:tcW w:w="7954" w:type="dxa"/>
            <w:tcBorders>
              <w:top w:val="nil"/>
              <w:left w:val="nil"/>
              <w:bottom w:val="nil"/>
              <w:right w:val="nil"/>
            </w:tcBorders>
            <w:shd w:val="clear" w:color="000000" w:fill="FFFFFF"/>
            <w:noWrap/>
            <w:vAlign w:val="bottom"/>
            <w:hideMark/>
          </w:tcPr>
          <w:p w14:paraId="6158CB1A" w14:textId="77777777" w:rsidR="00B9311E" w:rsidRPr="00BD77D8" w:rsidRDefault="00B9311E" w:rsidP="00B9311E">
            <w:pPr>
              <w:spacing w:after="0" w:line="240" w:lineRule="auto"/>
              <w:rPr>
                <w:sz w:val="18"/>
                <w:szCs w:val="18"/>
              </w:rPr>
            </w:pPr>
            <w:r w:rsidRPr="00BD77D8">
              <w:rPr>
                <w:sz w:val="18"/>
                <w:szCs w:val="18"/>
              </w:rPr>
              <w:t xml:space="preserve">   </w:t>
            </w:r>
          </w:p>
        </w:tc>
        <w:tc>
          <w:tcPr>
            <w:tcW w:w="1146" w:type="dxa"/>
            <w:tcBorders>
              <w:top w:val="single" w:sz="4" w:space="0" w:color="auto"/>
              <w:left w:val="nil"/>
              <w:bottom w:val="single" w:sz="4" w:space="0" w:color="auto"/>
              <w:right w:val="nil"/>
            </w:tcBorders>
            <w:shd w:val="clear" w:color="auto" w:fill="auto"/>
            <w:noWrap/>
            <w:vAlign w:val="bottom"/>
            <w:hideMark/>
          </w:tcPr>
          <w:p w14:paraId="2674942A" w14:textId="77777777" w:rsidR="00B9311E" w:rsidRPr="00BD77D8" w:rsidRDefault="00B9311E" w:rsidP="00B9311E">
            <w:pPr>
              <w:spacing w:after="0" w:line="240" w:lineRule="auto"/>
              <w:jc w:val="right"/>
              <w:rPr>
                <w:b/>
                <w:bCs/>
                <w:sz w:val="18"/>
                <w:szCs w:val="18"/>
              </w:rPr>
            </w:pPr>
            <w:r w:rsidRPr="00BD77D8">
              <w:rPr>
                <w:b/>
                <w:bCs/>
                <w:sz w:val="18"/>
                <w:szCs w:val="18"/>
              </w:rPr>
              <w:t xml:space="preserve">       1,350 </w:t>
            </w:r>
          </w:p>
        </w:tc>
        <w:tc>
          <w:tcPr>
            <w:tcW w:w="1306" w:type="dxa"/>
            <w:tcBorders>
              <w:top w:val="single" w:sz="4" w:space="0" w:color="auto"/>
              <w:left w:val="nil"/>
              <w:bottom w:val="single" w:sz="4" w:space="0" w:color="auto"/>
              <w:right w:val="nil"/>
            </w:tcBorders>
            <w:shd w:val="clear" w:color="auto" w:fill="auto"/>
            <w:noWrap/>
            <w:vAlign w:val="bottom"/>
            <w:hideMark/>
          </w:tcPr>
          <w:p w14:paraId="6164E26D" w14:textId="77777777" w:rsidR="00B9311E" w:rsidRPr="00BD77D8" w:rsidRDefault="00B9311E" w:rsidP="00B9311E">
            <w:pPr>
              <w:spacing w:after="0" w:line="240" w:lineRule="auto"/>
              <w:jc w:val="right"/>
              <w:rPr>
                <w:b/>
                <w:bCs/>
                <w:sz w:val="18"/>
                <w:szCs w:val="18"/>
              </w:rPr>
            </w:pPr>
            <w:r w:rsidRPr="00BD77D8">
              <w:rPr>
                <w:b/>
                <w:bCs/>
                <w:sz w:val="18"/>
                <w:szCs w:val="18"/>
              </w:rPr>
              <w:t xml:space="preserve">           469 </w:t>
            </w:r>
          </w:p>
        </w:tc>
      </w:tr>
      <w:tr w:rsidR="00BD77D8" w:rsidRPr="00BD77D8" w14:paraId="3F66DA7A" w14:textId="77777777" w:rsidTr="00760ABD">
        <w:trPr>
          <w:trHeight w:val="279"/>
        </w:trPr>
        <w:tc>
          <w:tcPr>
            <w:tcW w:w="7954" w:type="dxa"/>
            <w:tcBorders>
              <w:top w:val="nil"/>
              <w:left w:val="nil"/>
              <w:bottom w:val="nil"/>
              <w:right w:val="nil"/>
            </w:tcBorders>
            <w:shd w:val="clear" w:color="000000" w:fill="FFFFFF"/>
            <w:noWrap/>
            <w:vAlign w:val="bottom"/>
            <w:hideMark/>
          </w:tcPr>
          <w:p w14:paraId="5E53363B"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1146" w:type="dxa"/>
            <w:tcBorders>
              <w:top w:val="nil"/>
              <w:left w:val="nil"/>
              <w:bottom w:val="single" w:sz="4" w:space="0" w:color="auto"/>
              <w:right w:val="nil"/>
            </w:tcBorders>
            <w:shd w:val="clear" w:color="auto" w:fill="auto"/>
            <w:noWrap/>
            <w:vAlign w:val="bottom"/>
            <w:hideMark/>
          </w:tcPr>
          <w:p w14:paraId="39546F0B" w14:textId="77777777" w:rsidR="00B9311E" w:rsidRPr="00BD77D8" w:rsidRDefault="00B9311E" w:rsidP="00B9311E">
            <w:pPr>
              <w:spacing w:after="0" w:line="240" w:lineRule="auto"/>
              <w:jc w:val="right"/>
              <w:rPr>
                <w:b/>
                <w:bCs/>
                <w:sz w:val="18"/>
                <w:szCs w:val="18"/>
              </w:rPr>
            </w:pPr>
            <w:r w:rsidRPr="00BD77D8">
              <w:rPr>
                <w:b/>
                <w:bCs/>
                <w:sz w:val="18"/>
                <w:szCs w:val="18"/>
              </w:rPr>
              <w:t xml:space="preserve">   205,173 </w:t>
            </w:r>
          </w:p>
        </w:tc>
        <w:tc>
          <w:tcPr>
            <w:tcW w:w="1306" w:type="dxa"/>
            <w:tcBorders>
              <w:top w:val="nil"/>
              <w:left w:val="nil"/>
              <w:bottom w:val="single" w:sz="4" w:space="0" w:color="auto"/>
              <w:right w:val="nil"/>
            </w:tcBorders>
            <w:shd w:val="clear" w:color="auto" w:fill="auto"/>
            <w:noWrap/>
            <w:vAlign w:val="bottom"/>
            <w:hideMark/>
          </w:tcPr>
          <w:p w14:paraId="7734CB44" w14:textId="77777777" w:rsidR="00B9311E" w:rsidRPr="00BD77D8" w:rsidRDefault="00B9311E" w:rsidP="00B9311E">
            <w:pPr>
              <w:spacing w:after="0" w:line="240" w:lineRule="auto"/>
              <w:jc w:val="right"/>
              <w:rPr>
                <w:b/>
                <w:bCs/>
                <w:sz w:val="18"/>
                <w:szCs w:val="18"/>
              </w:rPr>
            </w:pPr>
            <w:r w:rsidRPr="00BD77D8">
              <w:rPr>
                <w:b/>
                <w:bCs/>
                <w:sz w:val="18"/>
                <w:szCs w:val="18"/>
              </w:rPr>
              <w:t xml:space="preserve">   181,296 </w:t>
            </w:r>
          </w:p>
        </w:tc>
      </w:tr>
    </w:tbl>
    <w:p w14:paraId="7035C52B" w14:textId="4F0B1DC5" w:rsidR="00F35846" w:rsidRPr="00BD77D8" w:rsidRDefault="00F35846" w:rsidP="00C3515C">
      <w:pPr>
        <w:spacing w:before="1680" w:after="0" w:line="240" w:lineRule="auto"/>
        <w:rPr>
          <w:rFonts w:eastAsia="PMingLiU"/>
          <w:sz w:val="18"/>
          <w:szCs w:val="22"/>
          <w:lang w:eastAsia="en-US"/>
        </w:rPr>
        <w:sectPr w:rsidR="00F35846" w:rsidRPr="00BD77D8" w:rsidSect="000160CF">
          <w:type w:val="nextColumn"/>
          <w:pgSz w:w="11909" w:h="16838"/>
          <w:pgMar w:top="794" w:right="794" w:bottom="794" w:left="794" w:header="720" w:footer="720" w:gutter="0"/>
          <w:cols w:space="720"/>
        </w:sectPr>
      </w:pP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r>
      <w:r w:rsidRPr="00BD77D8">
        <w:rPr>
          <w:rFonts w:eastAsia="PMingLiU"/>
          <w:sz w:val="18"/>
          <w:szCs w:val="22"/>
          <w:lang w:eastAsia="en-US"/>
        </w:rPr>
        <w:tab/>
        <w:t>Page 21 of 45</w:t>
      </w:r>
    </w:p>
    <w:p w14:paraId="59D9FB08"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1A8037DA"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43EB66C9"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38D2F686"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41C32F72" w14:textId="77777777" w:rsidR="00B9311E" w:rsidRPr="00BD77D8" w:rsidRDefault="00B9311E" w:rsidP="00E47A6E">
      <w:pPr>
        <w:spacing w:before="240" w:line="240" w:lineRule="auto"/>
        <w:rPr>
          <w:rFonts w:eastAsia="Arial"/>
          <w:sz w:val="22"/>
          <w:szCs w:val="22"/>
          <w:lang w:val="en-US" w:eastAsia="en-US"/>
        </w:rPr>
      </w:pPr>
      <w:r w:rsidRPr="00BD77D8">
        <w:rPr>
          <w:rFonts w:eastAsia="Arial"/>
          <w:b/>
          <w:bCs/>
          <w:sz w:val="22"/>
          <w:szCs w:val="22"/>
          <w:lang w:val="en-US" w:eastAsia="en-US"/>
        </w:rPr>
        <w:t>C4 Property, Plant and Equipment (continued)</w:t>
      </w:r>
    </w:p>
    <w:p w14:paraId="30E805DE" w14:textId="77777777" w:rsidR="00B9311E" w:rsidRPr="00BD77D8" w:rsidRDefault="00B9311E" w:rsidP="00760ABD">
      <w:pPr>
        <w:spacing w:line="205" w:lineRule="exact"/>
        <w:textAlignment w:val="baseline"/>
        <w:rPr>
          <w:rFonts w:eastAsia="PMingLiU"/>
          <w:b/>
          <w:bCs/>
          <w:sz w:val="18"/>
          <w:szCs w:val="22"/>
          <w:lang w:val="en-US" w:eastAsia="en-US"/>
        </w:rPr>
      </w:pPr>
      <w:r w:rsidRPr="00BD77D8">
        <w:rPr>
          <w:rFonts w:eastAsia="Arial"/>
          <w:b/>
          <w:bCs/>
          <w:spacing w:val="1"/>
          <w:sz w:val="18"/>
          <w:szCs w:val="18"/>
          <w:lang w:eastAsia="en-US"/>
        </w:rPr>
        <w:t>C4-1 Closing Balances and Reconciliations of Carrying Amount (continued</w:t>
      </w:r>
      <w:r w:rsidRPr="00BD77D8">
        <w:rPr>
          <w:rFonts w:eastAsia="PMingLiU"/>
          <w:b/>
          <w:bCs/>
          <w:sz w:val="18"/>
          <w:szCs w:val="22"/>
          <w:lang w:val="en-US" w:eastAsia="en-US"/>
        </w:rPr>
        <w:t>)</w:t>
      </w:r>
    </w:p>
    <w:tbl>
      <w:tblPr>
        <w:tblW w:w="10332" w:type="dxa"/>
        <w:tblLayout w:type="fixed"/>
        <w:tblCellMar>
          <w:top w:w="28" w:type="dxa"/>
          <w:left w:w="0" w:type="dxa"/>
          <w:bottom w:w="28" w:type="dxa"/>
          <w:right w:w="0" w:type="dxa"/>
        </w:tblCellMar>
        <w:tblLook w:val="04A0" w:firstRow="1" w:lastRow="0" w:firstColumn="1" w:lastColumn="0" w:noHBand="0" w:noVBand="1"/>
      </w:tblPr>
      <w:tblGrid>
        <w:gridCol w:w="5404"/>
        <w:gridCol w:w="852"/>
        <w:gridCol w:w="996"/>
        <w:gridCol w:w="995"/>
        <w:gridCol w:w="1137"/>
        <w:gridCol w:w="948"/>
      </w:tblGrid>
      <w:tr w:rsidR="00BD77D8" w:rsidRPr="00BD77D8" w14:paraId="63C3A691" w14:textId="77777777" w:rsidTr="003057FB">
        <w:trPr>
          <w:trHeight w:val="21"/>
        </w:trPr>
        <w:tc>
          <w:tcPr>
            <w:tcW w:w="5404" w:type="dxa"/>
            <w:tcBorders>
              <w:top w:val="nil"/>
              <w:left w:val="nil"/>
              <w:bottom w:val="nil"/>
              <w:right w:val="nil"/>
            </w:tcBorders>
            <w:shd w:val="clear" w:color="auto" w:fill="auto"/>
            <w:noWrap/>
            <w:vAlign w:val="bottom"/>
            <w:hideMark/>
          </w:tcPr>
          <w:p w14:paraId="3EA4B1EE" w14:textId="77777777" w:rsidR="00B9311E" w:rsidRPr="00BD77D8" w:rsidRDefault="00B9311E" w:rsidP="00B9311E">
            <w:pPr>
              <w:spacing w:after="0" w:line="240" w:lineRule="auto"/>
              <w:rPr>
                <w:rFonts w:ascii="Times New Roman" w:hAnsi="Times New Roman" w:cs="Times New Roman"/>
                <w:sz w:val="24"/>
                <w:szCs w:val="24"/>
              </w:rPr>
            </w:pPr>
          </w:p>
        </w:tc>
        <w:tc>
          <w:tcPr>
            <w:tcW w:w="852" w:type="dxa"/>
            <w:tcBorders>
              <w:top w:val="nil"/>
              <w:left w:val="nil"/>
              <w:bottom w:val="nil"/>
              <w:right w:val="nil"/>
            </w:tcBorders>
            <w:shd w:val="clear" w:color="auto" w:fill="auto"/>
            <w:vAlign w:val="bottom"/>
            <w:hideMark/>
          </w:tcPr>
          <w:p w14:paraId="4F4ACA1B" w14:textId="77777777" w:rsidR="00B9311E" w:rsidRPr="00BD77D8" w:rsidRDefault="00B9311E" w:rsidP="00B9311E">
            <w:pPr>
              <w:spacing w:after="0" w:line="240" w:lineRule="auto"/>
              <w:jc w:val="right"/>
              <w:rPr>
                <w:b/>
                <w:bCs/>
                <w:sz w:val="18"/>
                <w:szCs w:val="18"/>
              </w:rPr>
            </w:pPr>
            <w:r w:rsidRPr="00BD77D8">
              <w:rPr>
                <w:b/>
                <w:bCs/>
                <w:sz w:val="18"/>
                <w:szCs w:val="18"/>
              </w:rPr>
              <w:t xml:space="preserve"> Land </w:t>
            </w:r>
          </w:p>
        </w:tc>
        <w:tc>
          <w:tcPr>
            <w:tcW w:w="996" w:type="dxa"/>
            <w:tcBorders>
              <w:top w:val="nil"/>
              <w:left w:val="nil"/>
              <w:bottom w:val="nil"/>
              <w:right w:val="nil"/>
            </w:tcBorders>
            <w:shd w:val="clear" w:color="auto" w:fill="auto"/>
            <w:vAlign w:val="bottom"/>
            <w:hideMark/>
          </w:tcPr>
          <w:p w14:paraId="03385510" w14:textId="77777777" w:rsidR="00B9311E" w:rsidRPr="00BD77D8" w:rsidRDefault="00B9311E" w:rsidP="00B9311E">
            <w:pPr>
              <w:spacing w:after="0" w:line="240" w:lineRule="auto"/>
              <w:jc w:val="right"/>
              <w:rPr>
                <w:b/>
                <w:bCs/>
                <w:sz w:val="18"/>
                <w:szCs w:val="18"/>
              </w:rPr>
            </w:pPr>
            <w:r w:rsidRPr="00BD77D8">
              <w:rPr>
                <w:b/>
                <w:bCs/>
                <w:sz w:val="18"/>
                <w:szCs w:val="18"/>
              </w:rPr>
              <w:t xml:space="preserve"> Buildings </w:t>
            </w:r>
          </w:p>
        </w:tc>
        <w:tc>
          <w:tcPr>
            <w:tcW w:w="995" w:type="dxa"/>
            <w:tcBorders>
              <w:top w:val="nil"/>
              <w:left w:val="nil"/>
              <w:bottom w:val="nil"/>
              <w:right w:val="nil"/>
            </w:tcBorders>
            <w:shd w:val="clear" w:color="auto" w:fill="auto"/>
            <w:vAlign w:val="bottom"/>
            <w:hideMark/>
          </w:tcPr>
          <w:p w14:paraId="232405D4" w14:textId="77777777" w:rsidR="00B9311E" w:rsidRPr="00BD77D8" w:rsidRDefault="00B9311E" w:rsidP="00B9311E">
            <w:pPr>
              <w:spacing w:after="0" w:line="240" w:lineRule="auto"/>
              <w:jc w:val="right"/>
              <w:rPr>
                <w:b/>
                <w:bCs/>
                <w:sz w:val="18"/>
                <w:szCs w:val="18"/>
              </w:rPr>
            </w:pPr>
            <w:r w:rsidRPr="00BD77D8">
              <w:rPr>
                <w:b/>
                <w:bCs/>
                <w:sz w:val="18"/>
                <w:szCs w:val="18"/>
              </w:rPr>
              <w:t xml:space="preserve"> Plant and equipment </w:t>
            </w:r>
          </w:p>
        </w:tc>
        <w:tc>
          <w:tcPr>
            <w:tcW w:w="1137" w:type="dxa"/>
            <w:tcBorders>
              <w:top w:val="nil"/>
              <w:left w:val="nil"/>
              <w:bottom w:val="nil"/>
              <w:right w:val="nil"/>
            </w:tcBorders>
            <w:shd w:val="clear" w:color="auto" w:fill="auto"/>
            <w:vAlign w:val="bottom"/>
            <w:hideMark/>
          </w:tcPr>
          <w:p w14:paraId="380066A4" w14:textId="77777777" w:rsidR="00B9311E" w:rsidRPr="00BD77D8" w:rsidRDefault="00B9311E" w:rsidP="00B9311E">
            <w:pPr>
              <w:spacing w:after="0" w:line="240" w:lineRule="auto"/>
              <w:jc w:val="right"/>
              <w:rPr>
                <w:b/>
                <w:bCs/>
                <w:sz w:val="18"/>
                <w:szCs w:val="18"/>
              </w:rPr>
            </w:pPr>
            <w:r w:rsidRPr="00BD77D8">
              <w:rPr>
                <w:b/>
                <w:bCs/>
                <w:sz w:val="18"/>
                <w:szCs w:val="18"/>
              </w:rPr>
              <w:t xml:space="preserve"> Capital works in progress </w:t>
            </w:r>
          </w:p>
        </w:tc>
        <w:tc>
          <w:tcPr>
            <w:tcW w:w="948" w:type="dxa"/>
            <w:tcBorders>
              <w:top w:val="nil"/>
              <w:left w:val="nil"/>
              <w:bottom w:val="nil"/>
              <w:right w:val="nil"/>
            </w:tcBorders>
            <w:shd w:val="clear" w:color="auto" w:fill="auto"/>
            <w:vAlign w:val="bottom"/>
            <w:hideMark/>
          </w:tcPr>
          <w:p w14:paraId="026E7D25" w14:textId="77777777" w:rsidR="00B9311E" w:rsidRPr="00BD77D8" w:rsidRDefault="00B9311E" w:rsidP="00B9311E">
            <w:pPr>
              <w:spacing w:after="0" w:line="240" w:lineRule="auto"/>
              <w:jc w:val="right"/>
              <w:rPr>
                <w:b/>
                <w:bCs/>
                <w:sz w:val="18"/>
                <w:szCs w:val="18"/>
              </w:rPr>
            </w:pPr>
            <w:r w:rsidRPr="00BD77D8">
              <w:rPr>
                <w:b/>
                <w:bCs/>
                <w:sz w:val="18"/>
                <w:szCs w:val="18"/>
              </w:rPr>
              <w:t xml:space="preserve"> Total </w:t>
            </w:r>
          </w:p>
        </w:tc>
      </w:tr>
      <w:tr w:rsidR="00BD77D8" w:rsidRPr="00BD77D8" w14:paraId="0DD68C59" w14:textId="77777777" w:rsidTr="003057FB">
        <w:trPr>
          <w:trHeight w:val="21"/>
        </w:trPr>
        <w:tc>
          <w:tcPr>
            <w:tcW w:w="5404" w:type="dxa"/>
            <w:tcBorders>
              <w:top w:val="nil"/>
              <w:left w:val="nil"/>
              <w:bottom w:val="nil"/>
              <w:right w:val="nil"/>
            </w:tcBorders>
            <w:shd w:val="clear" w:color="auto" w:fill="auto"/>
            <w:noWrap/>
            <w:vAlign w:val="bottom"/>
            <w:hideMark/>
          </w:tcPr>
          <w:p w14:paraId="63D9F65F" w14:textId="77777777" w:rsidR="00B9311E" w:rsidRPr="00BD77D8" w:rsidRDefault="00B9311E" w:rsidP="00B9311E">
            <w:pPr>
              <w:spacing w:after="0" w:line="240" w:lineRule="auto"/>
              <w:rPr>
                <w:b/>
                <w:bCs/>
                <w:sz w:val="18"/>
                <w:szCs w:val="18"/>
              </w:rPr>
            </w:pPr>
            <w:r w:rsidRPr="00BD77D8">
              <w:rPr>
                <w:b/>
                <w:bCs/>
                <w:sz w:val="18"/>
                <w:szCs w:val="18"/>
              </w:rPr>
              <w:t xml:space="preserve"> Represented by Movements in Carrying Amount: </w:t>
            </w:r>
          </w:p>
        </w:tc>
        <w:tc>
          <w:tcPr>
            <w:tcW w:w="852" w:type="dxa"/>
            <w:tcBorders>
              <w:top w:val="nil"/>
              <w:left w:val="nil"/>
              <w:bottom w:val="single" w:sz="4" w:space="0" w:color="auto"/>
              <w:right w:val="nil"/>
            </w:tcBorders>
            <w:shd w:val="clear" w:color="auto" w:fill="auto"/>
            <w:noWrap/>
            <w:vAlign w:val="bottom"/>
            <w:hideMark/>
          </w:tcPr>
          <w:p w14:paraId="3BCD885B"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996" w:type="dxa"/>
            <w:tcBorders>
              <w:top w:val="nil"/>
              <w:left w:val="nil"/>
              <w:bottom w:val="single" w:sz="4" w:space="0" w:color="auto"/>
              <w:right w:val="nil"/>
            </w:tcBorders>
            <w:shd w:val="clear" w:color="auto" w:fill="auto"/>
            <w:noWrap/>
            <w:vAlign w:val="bottom"/>
            <w:hideMark/>
          </w:tcPr>
          <w:p w14:paraId="56F4EFD6"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995" w:type="dxa"/>
            <w:tcBorders>
              <w:top w:val="nil"/>
              <w:left w:val="nil"/>
              <w:bottom w:val="single" w:sz="4" w:space="0" w:color="auto"/>
              <w:right w:val="nil"/>
            </w:tcBorders>
            <w:shd w:val="clear" w:color="auto" w:fill="auto"/>
            <w:noWrap/>
            <w:vAlign w:val="bottom"/>
            <w:hideMark/>
          </w:tcPr>
          <w:p w14:paraId="0DA1CA59"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137" w:type="dxa"/>
            <w:tcBorders>
              <w:top w:val="nil"/>
              <w:left w:val="nil"/>
              <w:bottom w:val="single" w:sz="4" w:space="0" w:color="auto"/>
              <w:right w:val="nil"/>
            </w:tcBorders>
            <w:shd w:val="clear" w:color="auto" w:fill="auto"/>
            <w:noWrap/>
            <w:vAlign w:val="bottom"/>
            <w:hideMark/>
          </w:tcPr>
          <w:p w14:paraId="12DC7780"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948" w:type="dxa"/>
            <w:tcBorders>
              <w:top w:val="nil"/>
              <w:left w:val="nil"/>
              <w:bottom w:val="single" w:sz="4" w:space="0" w:color="auto"/>
              <w:right w:val="nil"/>
            </w:tcBorders>
            <w:shd w:val="clear" w:color="auto" w:fill="auto"/>
            <w:noWrap/>
            <w:vAlign w:val="bottom"/>
            <w:hideMark/>
          </w:tcPr>
          <w:p w14:paraId="2EE121B3"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38785249" w14:textId="77777777" w:rsidTr="003057FB">
        <w:trPr>
          <w:trHeight w:val="21"/>
        </w:trPr>
        <w:tc>
          <w:tcPr>
            <w:tcW w:w="5404" w:type="dxa"/>
            <w:tcBorders>
              <w:top w:val="nil"/>
              <w:left w:val="nil"/>
              <w:bottom w:val="nil"/>
              <w:right w:val="nil"/>
            </w:tcBorders>
            <w:shd w:val="clear" w:color="auto" w:fill="auto"/>
            <w:noWrap/>
            <w:vAlign w:val="bottom"/>
            <w:hideMark/>
          </w:tcPr>
          <w:p w14:paraId="7AD2EE45" w14:textId="77777777" w:rsidR="00B9311E" w:rsidRPr="00BD77D8" w:rsidRDefault="00B9311E" w:rsidP="00B9311E">
            <w:pPr>
              <w:spacing w:after="0" w:line="240" w:lineRule="auto"/>
              <w:rPr>
                <w:b/>
                <w:bCs/>
                <w:sz w:val="18"/>
                <w:szCs w:val="18"/>
              </w:rPr>
            </w:pPr>
            <w:r w:rsidRPr="00BD77D8">
              <w:rPr>
                <w:b/>
                <w:bCs/>
                <w:sz w:val="18"/>
                <w:szCs w:val="18"/>
              </w:rPr>
              <w:t xml:space="preserve"> Carrying amount at 1 July 2020 </w:t>
            </w:r>
          </w:p>
        </w:tc>
        <w:tc>
          <w:tcPr>
            <w:tcW w:w="852" w:type="dxa"/>
            <w:tcBorders>
              <w:top w:val="nil"/>
              <w:left w:val="nil"/>
              <w:bottom w:val="nil"/>
              <w:right w:val="nil"/>
            </w:tcBorders>
            <w:shd w:val="clear" w:color="auto" w:fill="auto"/>
            <w:vAlign w:val="bottom"/>
            <w:hideMark/>
          </w:tcPr>
          <w:p w14:paraId="090BD943" w14:textId="77777777" w:rsidR="00B9311E" w:rsidRPr="00BD77D8" w:rsidRDefault="00B9311E" w:rsidP="00B9311E">
            <w:pPr>
              <w:spacing w:after="0" w:line="240" w:lineRule="auto"/>
              <w:jc w:val="right"/>
              <w:rPr>
                <w:b/>
                <w:bCs/>
                <w:sz w:val="18"/>
                <w:szCs w:val="18"/>
              </w:rPr>
            </w:pPr>
            <w:r w:rsidRPr="00BD77D8">
              <w:rPr>
                <w:b/>
                <w:bCs/>
                <w:sz w:val="18"/>
                <w:szCs w:val="18"/>
              </w:rPr>
              <w:t xml:space="preserve">    82,986 </w:t>
            </w:r>
          </w:p>
        </w:tc>
        <w:tc>
          <w:tcPr>
            <w:tcW w:w="996" w:type="dxa"/>
            <w:tcBorders>
              <w:top w:val="nil"/>
              <w:left w:val="nil"/>
              <w:bottom w:val="nil"/>
              <w:right w:val="nil"/>
            </w:tcBorders>
            <w:shd w:val="clear" w:color="auto" w:fill="auto"/>
            <w:vAlign w:val="bottom"/>
            <w:hideMark/>
          </w:tcPr>
          <w:p w14:paraId="269A8D1F" w14:textId="77777777" w:rsidR="00B9311E" w:rsidRPr="00BD77D8" w:rsidRDefault="00B9311E" w:rsidP="00B9311E">
            <w:pPr>
              <w:spacing w:after="0" w:line="240" w:lineRule="auto"/>
              <w:jc w:val="right"/>
              <w:rPr>
                <w:b/>
                <w:bCs/>
                <w:sz w:val="18"/>
                <w:szCs w:val="18"/>
              </w:rPr>
            </w:pPr>
            <w:r w:rsidRPr="00BD77D8">
              <w:rPr>
                <w:b/>
                <w:bCs/>
                <w:sz w:val="18"/>
                <w:szCs w:val="18"/>
              </w:rPr>
              <w:t xml:space="preserve">  189,745 </w:t>
            </w:r>
          </w:p>
        </w:tc>
        <w:tc>
          <w:tcPr>
            <w:tcW w:w="995" w:type="dxa"/>
            <w:tcBorders>
              <w:top w:val="nil"/>
              <w:left w:val="nil"/>
              <w:bottom w:val="nil"/>
              <w:right w:val="nil"/>
            </w:tcBorders>
            <w:shd w:val="clear" w:color="auto" w:fill="auto"/>
            <w:vAlign w:val="bottom"/>
            <w:hideMark/>
          </w:tcPr>
          <w:p w14:paraId="1224B76E" w14:textId="77777777" w:rsidR="00B9311E" w:rsidRPr="00BD77D8" w:rsidRDefault="00B9311E" w:rsidP="00B9311E">
            <w:pPr>
              <w:spacing w:after="0" w:line="240" w:lineRule="auto"/>
              <w:jc w:val="right"/>
              <w:rPr>
                <w:b/>
                <w:bCs/>
                <w:sz w:val="18"/>
                <w:szCs w:val="18"/>
              </w:rPr>
            </w:pPr>
            <w:r w:rsidRPr="00BD77D8">
              <w:rPr>
                <w:b/>
                <w:bCs/>
                <w:sz w:val="18"/>
                <w:szCs w:val="18"/>
              </w:rPr>
              <w:t xml:space="preserve">         2,017 </w:t>
            </w:r>
          </w:p>
        </w:tc>
        <w:tc>
          <w:tcPr>
            <w:tcW w:w="1137" w:type="dxa"/>
            <w:tcBorders>
              <w:top w:val="nil"/>
              <w:left w:val="nil"/>
              <w:bottom w:val="nil"/>
              <w:right w:val="nil"/>
            </w:tcBorders>
            <w:shd w:val="clear" w:color="auto" w:fill="auto"/>
            <w:vAlign w:val="bottom"/>
            <w:hideMark/>
          </w:tcPr>
          <w:p w14:paraId="259DB048" w14:textId="77777777" w:rsidR="00B9311E" w:rsidRPr="00BD77D8" w:rsidRDefault="00B9311E" w:rsidP="00B9311E">
            <w:pPr>
              <w:spacing w:after="0" w:line="240" w:lineRule="auto"/>
              <w:jc w:val="right"/>
              <w:rPr>
                <w:b/>
                <w:bCs/>
                <w:sz w:val="18"/>
                <w:szCs w:val="18"/>
              </w:rPr>
            </w:pPr>
            <w:r w:rsidRPr="00BD77D8">
              <w:rPr>
                <w:b/>
                <w:bCs/>
                <w:sz w:val="18"/>
                <w:szCs w:val="18"/>
              </w:rPr>
              <w:t xml:space="preserve">      9,177 </w:t>
            </w:r>
          </w:p>
        </w:tc>
        <w:tc>
          <w:tcPr>
            <w:tcW w:w="948" w:type="dxa"/>
            <w:tcBorders>
              <w:top w:val="nil"/>
              <w:left w:val="nil"/>
              <w:bottom w:val="nil"/>
              <w:right w:val="nil"/>
            </w:tcBorders>
            <w:shd w:val="clear" w:color="auto" w:fill="auto"/>
            <w:vAlign w:val="bottom"/>
            <w:hideMark/>
          </w:tcPr>
          <w:p w14:paraId="2D809246" w14:textId="77777777" w:rsidR="00B9311E" w:rsidRPr="00BD77D8" w:rsidRDefault="00B9311E" w:rsidP="00B9311E">
            <w:pPr>
              <w:spacing w:after="0" w:line="240" w:lineRule="auto"/>
              <w:jc w:val="right"/>
              <w:rPr>
                <w:b/>
                <w:bCs/>
                <w:sz w:val="18"/>
                <w:szCs w:val="18"/>
              </w:rPr>
            </w:pPr>
            <w:r w:rsidRPr="00BD77D8">
              <w:rPr>
                <w:b/>
                <w:bCs/>
                <w:sz w:val="18"/>
                <w:szCs w:val="18"/>
              </w:rPr>
              <w:t xml:space="preserve">   283,925 </w:t>
            </w:r>
          </w:p>
        </w:tc>
      </w:tr>
      <w:tr w:rsidR="00BD77D8" w:rsidRPr="00BD77D8" w14:paraId="33B631D1" w14:textId="77777777" w:rsidTr="003057FB">
        <w:trPr>
          <w:trHeight w:val="21"/>
        </w:trPr>
        <w:tc>
          <w:tcPr>
            <w:tcW w:w="5404" w:type="dxa"/>
            <w:tcBorders>
              <w:top w:val="nil"/>
              <w:left w:val="nil"/>
              <w:bottom w:val="nil"/>
              <w:right w:val="nil"/>
            </w:tcBorders>
            <w:shd w:val="clear" w:color="auto" w:fill="auto"/>
            <w:noWrap/>
            <w:vAlign w:val="bottom"/>
            <w:hideMark/>
          </w:tcPr>
          <w:p w14:paraId="7AF97F9A" w14:textId="77777777" w:rsidR="00B9311E" w:rsidRPr="00BD77D8" w:rsidRDefault="00B9311E" w:rsidP="00B9311E">
            <w:pPr>
              <w:spacing w:after="0" w:line="240" w:lineRule="auto"/>
              <w:rPr>
                <w:sz w:val="18"/>
                <w:szCs w:val="18"/>
              </w:rPr>
            </w:pPr>
            <w:r w:rsidRPr="00BD77D8">
              <w:rPr>
                <w:sz w:val="18"/>
                <w:szCs w:val="18"/>
              </w:rPr>
              <w:t xml:space="preserve"> Acquisition </w:t>
            </w:r>
          </w:p>
        </w:tc>
        <w:tc>
          <w:tcPr>
            <w:tcW w:w="852" w:type="dxa"/>
            <w:tcBorders>
              <w:top w:val="nil"/>
              <w:left w:val="nil"/>
              <w:bottom w:val="nil"/>
              <w:right w:val="nil"/>
            </w:tcBorders>
            <w:shd w:val="clear" w:color="auto" w:fill="auto"/>
            <w:vAlign w:val="bottom"/>
            <w:hideMark/>
          </w:tcPr>
          <w:p w14:paraId="50A122EB"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6" w:type="dxa"/>
            <w:tcBorders>
              <w:top w:val="nil"/>
              <w:left w:val="nil"/>
              <w:bottom w:val="nil"/>
              <w:right w:val="nil"/>
            </w:tcBorders>
            <w:shd w:val="clear" w:color="auto" w:fill="auto"/>
            <w:vAlign w:val="bottom"/>
            <w:hideMark/>
          </w:tcPr>
          <w:p w14:paraId="50C56178" w14:textId="77777777" w:rsidR="00B9311E" w:rsidRPr="00BD77D8" w:rsidRDefault="00B9311E" w:rsidP="00B9311E">
            <w:pPr>
              <w:spacing w:after="0" w:line="240" w:lineRule="auto"/>
              <w:jc w:val="right"/>
              <w:rPr>
                <w:sz w:val="18"/>
                <w:szCs w:val="18"/>
              </w:rPr>
            </w:pPr>
            <w:r w:rsidRPr="00BD77D8">
              <w:rPr>
                <w:sz w:val="18"/>
                <w:szCs w:val="18"/>
              </w:rPr>
              <w:t xml:space="preserve">          119 </w:t>
            </w:r>
          </w:p>
        </w:tc>
        <w:tc>
          <w:tcPr>
            <w:tcW w:w="995" w:type="dxa"/>
            <w:tcBorders>
              <w:top w:val="nil"/>
              <w:left w:val="nil"/>
              <w:bottom w:val="nil"/>
              <w:right w:val="nil"/>
            </w:tcBorders>
            <w:shd w:val="clear" w:color="auto" w:fill="auto"/>
            <w:vAlign w:val="bottom"/>
            <w:hideMark/>
          </w:tcPr>
          <w:p w14:paraId="3F39191A" w14:textId="77777777" w:rsidR="00B9311E" w:rsidRPr="00BD77D8" w:rsidRDefault="00B9311E" w:rsidP="00B9311E">
            <w:pPr>
              <w:spacing w:after="0" w:line="240" w:lineRule="auto"/>
              <w:jc w:val="right"/>
              <w:rPr>
                <w:sz w:val="18"/>
                <w:szCs w:val="18"/>
              </w:rPr>
            </w:pPr>
            <w:r w:rsidRPr="00BD77D8">
              <w:rPr>
                <w:sz w:val="18"/>
                <w:szCs w:val="18"/>
              </w:rPr>
              <w:t xml:space="preserve">               48 </w:t>
            </w:r>
          </w:p>
        </w:tc>
        <w:tc>
          <w:tcPr>
            <w:tcW w:w="1137" w:type="dxa"/>
            <w:tcBorders>
              <w:top w:val="nil"/>
              <w:left w:val="nil"/>
              <w:bottom w:val="nil"/>
              <w:right w:val="nil"/>
            </w:tcBorders>
            <w:shd w:val="clear" w:color="auto" w:fill="auto"/>
            <w:vAlign w:val="bottom"/>
            <w:hideMark/>
          </w:tcPr>
          <w:p w14:paraId="0C84D27D" w14:textId="77777777" w:rsidR="00B9311E" w:rsidRPr="00BD77D8" w:rsidRDefault="00B9311E" w:rsidP="00B9311E">
            <w:pPr>
              <w:spacing w:after="0" w:line="240" w:lineRule="auto"/>
              <w:jc w:val="right"/>
              <w:rPr>
                <w:sz w:val="18"/>
                <w:szCs w:val="18"/>
              </w:rPr>
            </w:pPr>
            <w:r w:rsidRPr="00BD77D8">
              <w:rPr>
                <w:sz w:val="18"/>
                <w:szCs w:val="18"/>
              </w:rPr>
              <w:t xml:space="preserve">    14,020 </w:t>
            </w:r>
          </w:p>
        </w:tc>
        <w:tc>
          <w:tcPr>
            <w:tcW w:w="948" w:type="dxa"/>
            <w:tcBorders>
              <w:top w:val="nil"/>
              <w:left w:val="nil"/>
              <w:bottom w:val="nil"/>
              <w:right w:val="nil"/>
            </w:tcBorders>
            <w:shd w:val="clear" w:color="auto" w:fill="auto"/>
            <w:vAlign w:val="bottom"/>
            <w:hideMark/>
          </w:tcPr>
          <w:p w14:paraId="5E8BC94B" w14:textId="77777777" w:rsidR="00B9311E" w:rsidRPr="00BD77D8" w:rsidRDefault="00B9311E" w:rsidP="00B9311E">
            <w:pPr>
              <w:spacing w:after="0" w:line="240" w:lineRule="auto"/>
              <w:jc w:val="right"/>
              <w:rPr>
                <w:b/>
                <w:bCs/>
                <w:sz w:val="18"/>
                <w:szCs w:val="18"/>
              </w:rPr>
            </w:pPr>
            <w:r w:rsidRPr="00BD77D8">
              <w:rPr>
                <w:b/>
                <w:bCs/>
                <w:sz w:val="18"/>
                <w:szCs w:val="18"/>
              </w:rPr>
              <w:t xml:space="preserve">      14,187 </w:t>
            </w:r>
          </w:p>
        </w:tc>
      </w:tr>
      <w:tr w:rsidR="00BD77D8" w:rsidRPr="00BD77D8" w14:paraId="69EE0047" w14:textId="77777777" w:rsidTr="003057FB">
        <w:trPr>
          <w:trHeight w:val="21"/>
        </w:trPr>
        <w:tc>
          <w:tcPr>
            <w:tcW w:w="5404" w:type="dxa"/>
            <w:tcBorders>
              <w:top w:val="nil"/>
              <w:left w:val="nil"/>
              <w:bottom w:val="nil"/>
              <w:right w:val="nil"/>
            </w:tcBorders>
            <w:shd w:val="clear" w:color="auto" w:fill="auto"/>
            <w:noWrap/>
            <w:vAlign w:val="bottom"/>
            <w:hideMark/>
          </w:tcPr>
          <w:p w14:paraId="6FA1E428" w14:textId="77777777" w:rsidR="00B9311E" w:rsidRPr="00BD77D8" w:rsidRDefault="00B9311E" w:rsidP="00B9311E">
            <w:pPr>
              <w:spacing w:after="0" w:line="240" w:lineRule="auto"/>
              <w:rPr>
                <w:sz w:val="18"/>
                <w:szCs w:val="18"/>
              </w:rPr>
            </w:pPr>
            <w:r w:rsidRPr="00BD77D8">
              <w:rPr>
                <w:sz w:val="18"/>
                <w:szCs w:val="18"/>
              </w:rPr>
              <w:t xml:space="preserve"> Disposals </w:t>
            </w:r>
          </w:p>
        </w:tc>
        <w:tc>
          <w:tcPr>
            <w:tcW w:w="852" w:type="dxa"/>
            <w:tcBorders>
              <w:top w:val="nil"/>
              <w:left w:val="nil"/>
              <w:bottom w:val="nil"/>
              <w:right w:val="nil"/>
            </w:tcBorders>
            <w:shd w:val="clear" w:color="auto" w:fill="auto"/>
            <w:vAlign w:val="bottom"/>
            <w:hideMark/>
          </w:tcPr>
          <w:p w14:paraId="30BACC71" w14:textId="77777777" w:rsidR="00B9311E" w:rsidRPr="00BD77D8" w:rsidRDefault="00B9311E" w:rsidP="00B9311E">
            <w:pPr>
              <w:spacing w:after="0" w:line="240" w:lineRule="auto"/>
              <w:jc w:val="right"/>
              <w:rPr>
                <w:sz w:val="18"/>
                <w:szCs w:val="18"/>
              </w:rPr>
            </w:pPr>
            <w:r w:rsidRPr="00BD77D8">
              <w:rPr>
                <w:sz w:val="18"/>
                <w:szCs w:val="18"/>
              </w:rPr>
              <w:t xml:space="preserve">     (1,037)</w:t>
            </w:r>
          </w:p>
        </w:tc>
        <w:tc>
          <w:tcPr>
            <w:tcW w:w="996" w:type="dxa"/>
            <w:tcBorders>
              <w:top w:val="nil"/>
              <w:left w:val="nil"/>
              <w:bottom w:val="nil"/>
              <w:right w:val="nil"/>
            </w:tcBorders>
            <w:shd w:val="clear" w:color="auto" w:fill="auto"/>
            <w:vAlign w:val="bottom"/>
            <w:hideMark/>
          </w:tcPr>
          <w:p w14:paraId="0941D2E9" w14:textId="77777777" w:rsidR="00B9311E" w:rsidRPr="00BD77D8" w:rsidRDefault="00B9311E" w:rsidP="00B9311E">
            <w:pPr>
              <w:spacing w:after="0" w:line="240" w:lineRule="auto"/>
              <w:jc w:val="right"/>
              <w:rPr>
                <w:sz w:val="18"/>
                <w:szCs w:val="18"/>
              </w:rPr>
            </w:pPr>
            <w:r w:rsidRPr="00BD77D8">
              <w:rPr>
                <w:sz w:val="18"/>
                <w:szCs w:val="18"/>
              </w:rPr>
              <w:t xml:space="preserve">     (3,786)</w:t>
            </w:r>
          </w:p>
        </w:tc>
        <w:tc>
          <w:tcPr>
            <w:tcW w:w="995" w:type="dxa"/>
            <w:tcBorders>
              <w:top w:val="nil"/>
              <w:left w:val="nil"/>
              <w:bottom w:val="nil"/>
              <w:right w:val="nil"/>
            </w:tcBorders>
            <w:shd w:val="clear" w:color="auto" w:fill="auto"/>
            <w:vAlign w:val="bottom"/>
            <w:hideMark/>
          </w:tcPr>
          <w:p w14:paraId="3D44EF8A" w14:textId="77777777" w:rsidR="00B9311E" w:rsidRPr="00BD77D8" w:rsidRDefault="00B9311E" w:rsidP="00B9311E">
            <w:pPr>
              <w:spacing w:after="0" w:line="240" w:lineRule="auto"/>
              <w:jc w:val="right"/>
              <w:rPr>
                <w:sz w:val="18"/>
                <w:szCs w:val="18"/>
              </w:rPr>
            </w:pPr>
            <w:r w:rsidRPr="00BD77D8">
              <w:rPr>
                <w:sz w:val="18"/>
                <w:szCs w:val="18"/>
              </w:rPr>
              <w:t xml:space="preserve">               (6)</w:t>
            </w:r>
          </w:p>
        </w:tc>
        <w:tc>
          <w:tcPr>
            <w:tcW w:w="1137" w:type="dxa"/>
            <w:tcBorders>
              <w:top w:val="nil"/>
              <w:left w:val="nil"/>
              <w:bottom w:val="nil"/>
              <w:right w:val="nil"/>
            </w:tcBorders>
            <w:shd w:val="clear" w:color="auto" w:fill="auto"/>
            <w:vAlign w:val="bottom"/>
            <w:hideMark/>
          </w:tcPr>
          <w:p w14:paraId="18A65222"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48" w:type="dxa"/>
            <w:tcBorders>
              <w:top w:val="nil"/>
              <w:left w:val="nil"/>
              <w:bottom w:val="nil"/>
              <w:right w:val="nil"/>
            </w:tcBorders>
            <w:shd w:val="clear" w:color="auto" w:fill="auto"/>
            <w:vAlign w:val="bottom"/>
            <w:hideMark/>
          </w:tcPr>
          <w:p w14:paraId="3FA9A364" w14:textId="77777777" w:rsidR="00B9311E" w:rsidRPr="00BD77D8" w:rsidRDefault="00B9311E" w:rsidP="00B9311E">
            <w:pPr>
              <w:spacing w:after="0" w:line="240" w:lineRule="auto"/>
              <w:jc w:val="right"/>
              <w:rPr>
                <w:b/>
                <w:bCs/>
                <w:sz w:val="18"/>
                <w:szCs w:val="18"/>
              </w:rPr>
            </w:pPr>
            <w:r w:rsidRPr="00BD77D8">
              <w:rPr>
                <w:b/>
                <w:bCs/>
                <w:sz w:val="18"/>
                <w:szCs w:val="18"/>
              </w:rPr>
              <w:t xml:space="preserve">      (4,829)</w:t>
            </w:r>
          </w:p>
        </w:tc>
      </w:tr>
      <w:tr w:rsidR="00BD77D8" w:rsidRPr="00BD77D8" w14:paraId="0A7F583D" w14:textId="77777777" w:rsidTr="003057FB">
        <w:trPr>
          <w:trHeight w:val="21"/>
        </w:trPr>
        <w:tc>
          <w:tcPr>
            <w:tcW w:w="5404" w:type="dxa"/>
            <w:tcBorders>
              <w:top w:val="nil"/>
              <w:left w:val="nil"/>
              <w:bottom w:val="nil"/>
              <w:right w:val="nil"/>
            </w:tcBorders>
            <w:shd w:val="clear" w:color="auto" w:fill="auto"/>
            <w:noWrap/>
            <w:vAlign w:val="bottom"/>
            <w:hideMark/>
          </w:tcPr>
          <w:p w14:paraId="6A8D9289" w14:textId="77777777" w:rsidR="00B9311E" w:rsidRPr="00BD77D8" w:rsidRDefault="00B9311E" w:rsidP="00B9311E">
            <w:pPr>
              <w:spacing w:after="0" w:line="240" w:lineRule="auto"/>
              <w:rPr>
                <w:sz w:val="18"/>
                <w:szCs w:val="18"/>
              </w:rPr>
            </w:pPr>
            <w:r w:rsidRPr="00BD77D8">
              <w:rPr>
                <w:sz w:val="18"/>
                <w:szCs w:val="18"/>
              </w:rPr>
              <w:t xml:space="preserve"> Transfers in from other Queensland Government entities </w:t>
            </w:r>
            <w:proofErr w:type="spellStart"/>
            <w:r w:rsidRPr="00BD77D8">
              <w:rPr>
                <w:sz w:val="18"/>
                <w:szCs w:val="18"/>
              </w:rPr>
              <w:t>MoG</w:t>
            </w:r>
            <w:proofErr w:type="spellEnd"/>
            <w:r w:rsidRPr="00BD77D8">
              <w:rPr>
                <w:sz w:val="18"/>
                <w:szCs w:val="18"/>
              </w:rPr>
              <w:t xml:space="preserve"> </w:t>
            </w:r>
          </w:p>
        </w:tc>
        <w:tc>
          <w:tcPr>
            <w:tcW w:w="852" w:type="dxa"/>
            <w:tcBorders>
              <w:top w:val="nil"/>
              <w:left w:val="nil"/>
              <w:bottom w:val="nil"/>
              <w:right w:val="nil"/>
            </w:tcBorders>
            <w:shd w:val="clear" w:color="auto" w:fill="auto"/>
            <w:vAlign w:val="bottom"/>
            <w:hideMark/>
          </w:tcPr>
          <w:p w14:paraId="543B7D71" w14:textId="77777777" w:rsidR="00B9311E" w:rsidRPr="00BD77D8" w:rsidRDefault="00B9311E" w:rsidP="00B9311E">
            <w:pPr>
              <w:spacing w:after="0" w:line="240" w:lineRule="auto"/>
              <w:jc w:val="right"/>
              <w:rPr>
                <w:sz w:val="18"/>
                <w:szCs w:val="18"/>
              </w:rPr>
            </w:pPr>
            <w:r w:rsidRPr="00BD77D8">
              <w:rPr>
                <w:sz w:val="18"/>
                <w:szCs w:val="18"/>
              </w:rPr>
              <w:t xml:space="preserve">      1,410 </w:t>
            </w:r>
          </w:p>
        </w:tc>
        <w:tc>
          <w:tcPr>
            <w:tcW w:w="996" w:type="dxa"/>
            <w:tcBorders>
              <w:top w:val="nil"/>
              <w:left w:val="nil"/>
              <w:bottom w:val="nil"/>
              <w:right w:val="nil"/>
            </w:tcBorders>
            <w:shd w:val="clear" w:color="auto" w:fill="auto"/>
            <w:vAlign w:val="bottom"/>
            <w:hideMark/>
          </w:tcPr>
          <w:p w14:paraId="09483291" w14:textId="77777777" w:rsidR="00B9311E" w:rsidRPr="00BD77D8" w:rsidRDefault="00B9311E" w:rsidP="00B9311E">
            <w:pPr>
              <w:spacing w:after="0" w:line="240" w:lineRule="auto"/>
              <w:jc w:val="right"/>
              <w:rPr>
                <w:sz w:val="18"/>
                <w:szCs w:val="18"/>
              </w:rPr>
            </w:pPr>
            <w:r w:rsidRPr="00BD77D8">
              <w:rPr>
                <w:sz w:val="18"/>
                <w:szCs w:val="18"/>
              </w:rPr>
              <w:t xml:space="preserve">    14,316 </w:t>
            </w:r>
          </w:p>
        </w:tc>
        <w:tc>
          <w:tcPr>
            <w:tcW w:w="995" w:type="dxa"/>
            <w:tcBorders>
              <w:top w:val="nil"/>
              <w:left w:val="nil"/>
              <w:bottom w:val="nil"/>
              <w:right w:val="nil"/>
            </w:tcBorders>
            <w:shd w:val="clear" w:color="auto" w:fill="auto"/>
            <w:vAlign w:val="bottom"/>
            <w:hideMark/>
          </w:tcPr>
          <w:p w14:paraId="31C8A856" w14:textId="77777777" w:rsidR="00B9311E" w:rsidRPr="00BD77D8" w:rsidRDefault="00B9311E" w:rsidP="00B9311E">
            <w:pPr>
              <w:spacing w:after="0" w:line="240" w:lineRule="auto"/>
              <w:jc w:val="right"/>
              <w:rPr>
                <w:sz w:val="18"/>
                <w:szCs w:val="18"/>
              </w:rPr>
            </w:pPr>
            <w:r w:rsidRPr="00BD77D8">
              <w:rPr>
                <w:sz w:val="18"/>
                <w:szCs w:val="18"/>
              </w:rPr>
              <w:t xml:space="preserve">            491 </w:t>
            </w:r>
          </w:p>
        </w:tc>
        <w:tc>
          <w:tcPr>
            <w:tcW w:w="1137" w:type="dxa"/>
            <w:tcBorders>
              <w:top w:val="nil"/>
              <w:left w:val="nil"/>
              <w:bottom w:val="nil"/>
              <w:right w:val="nil"/>
            </w:tcBorders>
            <w:shd w:val="clear" w:color="auto" w:fill="auto"/>
            <w:vAlign w:val="bottom"/>
            <w:hideMark/>
          </w:tcPr>
          <w:p w14:paraId="79EEC5E7"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48" w:type="dxa"/>
            <w:tcBorders>
              <w:top w:val="nil"/>
              <w:left w:val="nil"/>
              <w:bottom w:val="nil"/>
              <w:right w:val="nil"/>
            </w:tcBorders>
            <w:shd w:val="clear" w:color="auto" w:fill="auto"/>
            <w:vAlign w:val="bottom"/>
            <w:hideMark/>
          </w:tcPr>
          <w:p w14:paraId="582B26E1" w14:textId="77777777" w:rsidR="00B9311E" w:rsidRPr="00BD77D8" w:rsidRDefault="00B9311E" w:rsidP="00B9311E">
            <w:pPr>
              <w:spacing w:after="0" w:line="240" w:lineRule="auto"/>
              <w:jc w:val="right"/>
              <w:rPr>
                <w:b/>
                <w:bCs/>
                <w:sz w:val="18"/>
                <w:szCs w:val="18"/>
              </w:rPr>
            </w:pPr>
            <w:r w:rsidRPr="00BD77D8">
              <w:rPr>
                <w:b/>
                <w:bCs/>
                <w:sz w:val="18"/>
                <w:szCs w:val="18"/>
              </w:rPr>
              <w:t xml:space="preserve">      16,217 </w:t>
            </w:r>
          </w:p>
        </w:tc>
      </w:tr>
      <w:tr w:rsidR="00BD77D8" w:rsidRPr="00BD77D8" w14:paraId="489A8C56" w14:textId="77777777" w:rsidTr="003057FB">
        <w:trPr>
          <w:trHeight w:val="21"/>
        </w:trPr>
        <w:tc>
          <w:tcPr>
            <w:tcW w:w="5404" w:type="dxa"/>
            <w:tcBorders>
              <w:top w:val="nil"/>
              <w:left w:val="nil"/>
              <w:bottom w:val="nil"/>
              <w:right w:val="nil"/>
            </w:tcBorders>
            <w:shd w:val="clear" w:color="auto" w:fill="auto"/>
            <w:noWrap/>
            <w:vAlign w:val="bottom"/>
            <w:hideMark/>
          </w:tcPr>
          <w:p w14:paraId="5268CF1C" w14:textId="77777777" w:rsidR="00B9311E" w:rsidRPr="00BD77D8" w:rsidRDefault="00B9311E" w:rsidP="00B9311E">
            <w:pPr>
              <w:spacing w:after="0" w:line="240" w:lineRule="auto"/>
              <w:rPr>
                <w:sz w:val="18"/>
                <w:szCs w:val="18"/>
              </w:rPr>
            </w:pPr>
            <w:r w:rsidRPr="00BD77D8">
              <w:rPr>
                <w:sz w:val="18"/>
                <w:szCs w:val="18"/>
              </w:rPr>
              <w:t xml:space="preserve"> Transfers out to other Queensland Government entities </w:t>
            </w:r>
            <w:proofErr w:type="spellStart"/>
            <w:r w:rsidRPr="00BD77D8">
              <w:rPr>
                <w:sz w:val="18"/>
                <w:szCs w:val="18"/>
              </w:rPr>
              <w:t>MoG</w:t>
            </w:r>
            <w:proofErr w:type="spellEnd"/>
            <w:r w:rsidRPr="00BD77D8">
              <w:rPr>
                <w:sz w:val="18"/>
                <w:szCs w:val="18"/>
              </w:rPr>
              <w:t xml:space="preserve"> </w:t>
            </w:r>
          </w:p>
        </w:tc>
        <w:tc>
          <w:tcPr>
            <w:tcW w:w="852" w:type="dxa"/>
            <w:tcBorders>
              <w:top w:val="nil"/>
              <w:left w:val="nil"/>
              <w:bottom w:val="nil"/>
              <w:right w:val="nil"/>
            </w:tcBorders>
            <w:shd w:val="clear" w:color="auto" w:fill="auto"/>
            <w:vAlign w:val="bottom"/>
            <w:hideMark/>
          </w:tcPr>
          <w:p w14:paraId="19DE52CB" w14:textId="77777777" w:rsidR="00B9311E" w:rsidRPr="00BD77D8" w:rsidRDefault="00B9311E" w:rsidP="00B9311E">
            <w:pPr>
              <w:spacing w:after="0" w:line="240" w:lineRule="auto"/>
              <w:jc w:val="right"/>
              <w:rPr>
                <w:sz w:val="18"/>
                <w:szCs w:val="18"/>
              </w:rPr>
            </w:pPr>
            <w:r w:rsidRPr="00BD77D8">
              <w:rPr>
                <w:sz w:val="18"/>
                <w:szCs w:val="18"/>
              </w:rPr>
              <w:t xml:space="preserve">  (32,840)</w:t>
            </w:r>
          </w:p>
        </w:tc>
        <w:tc>
          <w:tcPr>
            <w:tcW w:w="996" w:type="dxa"/>
            <w:tcBorders>
              <w:top w:val="nil"/>
              <w:left w:val="nil"/>
              <w:bottom w:val="nil"/>
              <w:right w:val="nil"/>
            </w:tcBorders>
            <w:shd w:val="clear" w:color="auto" w:fill="auto"/>
            <w:vAlign w:val="bottom"/>
            <w:hideMark/>
          </w:tcPr>
          <w:p w14:paraId="011B05A0" w14:textId="77777777" w:rsidR="00B9311E" w:rsidRPr="00BD77D8" w:rsidRDefault="00B9311E" w:rsidP="00B9311E">
            <w:pPr>
              <w:spacing w:after="0" w:line="240" w:lineRule="auto"/>
              <w:jc w:val="right"/>
              <w:rPr>
                <w:sz w:val="18"/>
                <w:szCs w:val="18"/>
              </w:rPr>
            </w:pPr>
            <w:r w:rsidRPr="00BD77D8">
              <w:rPr>
                <w:sz w:val="18"/>
                <w:szCs w:val="18"/>
              </w:rPr>
              <w:t xml:space="preserve">  (76,683)</w:t>
            </w:r>
          </w:p>
        </w:tc>
        <w:tc>
          <w:tcPr>
            <w:tcW w:w="995" w:type="dxa"/>
            <w:tcBorders>
              <w:top w:val="nil"/>
              <w:left w:val="nil"/>
              <w:bottom w:val="nil"/>
              <w:right w:val="nil"/>
            </w:tcBorders>
            <w:shd w:val="clear" w:color="auto" w:fill="auto"/>
            <w:vAlign w:val="bottom"/>
            <w:hideMark/>
          </w:tcPr>
          <w:p w14:paraId="04B3705E" w14:textId="77777777" w:rsidR="00B9311E" w:rsidRPr="00BD77D8" w:rsidRDefault="00B9311E" w:rsidP="00B9311E">
            <w:pPr>
              <w:spacing w:after="0" w:line="240" w:lineRule="auto"/>
              <w:jc w:val="right"/>
              <w:rPr>
                <w:sz w:val="18"/>
                <w:szCs w:val="18"/>
              </w:rPr>
            </w:pPr>
            <w:r w:rsidRPr="00BD77D8">
              <w:rPr>
                <w:sz w:val="18"/>
                <w:szCs w:val="18"/>
              </w:rPr>
              <w:t xml:space="preserve">           (195)</w:t>
            </w:r>
          </w:p>
        </w:tc>
        <w:tc>
          <w:tcPr>
            <w:tcW w:w="1137" w:type="dxa"/>
            <w:tcBorders>
              <w:top w:val="nil"/>
              <w:left w:val="nil"/>
              <w:bottom w:val="nil"/>
              <w:right w:val="nil"/>
            </w:tcBorders>
            <w:shd w:val="clear" w:color="auto" w:fill="auto"/>
            <w:vAlign w:val="bottom"/>
            <w:hideMark/>
          </w:tcPr>
          <w:p w14:paraId="72EA8430" w14:textId="77777777" w:rsidR="00B9311E" w:rsidRPr="00BD77D8" w:rsidRDefault="00B9311E" w:rsidP="00B9311E">
            <w:pPr>
              <w:spacing w:after="0" w:line="240" w:lineRule="auto"/>
              <w:jc w:val="right"/>
              <w:rPr>
                <w:sz w:val="18"/>
                <w:szCs w:val="18"/>
              </w:rPr>
            </w:pPr>
            <w:r w:rsidRPr="00BD77D8">
              <w:rPr>
                <w:sz w:val="18"/>
                <w:szCs w:val="18"/>
              </w:rPr>
              <w:t xml:space="preserve">  (14,952)</w:t>
            </w:r>
          </w:p>
        </w:tc>
        <w:tc>
          <w:tcPr>
            <w:tcW w:w="948" w:type="dxa"/>
            <w:tcBorders>
              <w:top w:val="nil"/>
              <w:left w:val="nil"/>
              <w:bottom w:val="nil"/>
              <w:right w:val="nil"/>
            </w:tcBorders>
            <w:shd w:val="clear" w:color="auto" w:fill="auto"/>
            <w:vAlign w:val="bottom"/>
            <w:hideMark/>
          </w:tcPr>
          <w:p w14:paraId="29DE1A0F" w14:textId="77777777" w:rsidR="00B9311E" w:rsidRPr="00BD77D8" w:rsidRDefault="00B9311E" w:rsidP="00B9311E">
            <w:pPr>
              <w:spacing w:after="0" w:line="240" w:lineRule="auto"/>
              <w:jc w:val="right"/>
              <w:rPr>
                <w:b/>
                <w:bCs/>
                <w:sz w:val="18"/>
                <w:szCs w:val="18"/>
              </w:rPr>
            </w:pPr>
            <w:r w:rsidRPr="00BD77D8">
              <w:rPr>
                <w:b/>
                <w:bCs/>
                <w:sz w:val="18"/>
                <w:szCs w:val="18"/>
              </w:rPr>
              <w:t xml:space="preserve">  (124,670)</w:t>
            </w:r>
          </w:p>
        </w:tc>
      </w:tr>
      <w:tr w:rsidR="00BD77D8" w:rsidRPr="00BD77D8" w14:paraId="7CA5707E" w14:textId="77777777" w:rsidTr="003057FB">
        <w:trPr>
          <w:trHeight w:val="21"/>
        </w:trPr>
        <w:tc>
          <w:tcPr>
            <w:tcW w:w="5404" w:type="dxa"/>
            <w:tcBorders>
              <w:top w:val="nil"/>
              <w:left w:val="nil"/>
              <w:bottom w:val="nil"/>
              <w:right w:val="nil"/>
            </w:tcBorders>
            <w:shd w:val="clear" w:color="auto" w:fill="auto"/>
            <w:noWrap/>
            <w:vAlign w:val="bottom"/>
            <w:hideMark/>
          </w:tcPr>
          <w:p w14:paraId="6C06A5BE" w14:textId="77777777" w:rsidR="00B9311E" w:rsidRPr="00BD77D8" w:rsidRDefault="00B9311E" w:rsidP="00B9311E">
            <w:pPr>
              <w:spacing w:after="0" w:line="240" w:lineRule="auto"/>
              <w:rPr>
                <w:sz w:val="18"/>
                <w:szCs w:val="18"/>
              </w:rPr>
            </w:pPr>
            <w:r w:rsidRPr="00BD77D8">
              <w:rPr>
                <w:sz w:val="18"/>
                <w:szCs w:val="18"/>
              </w:rPr>
              <w:t xml:space="preserve"> Transfers between asset classes </w:t>
            </w:r>
          </w:p>
        </w:tc>
        <w:tc>
          <w:tcPr>
            <w:tcW w:w="852" w:type="dxa"/>
            <w:tcBorders>
              <w:top w:val="nil"/>
              <w:left w:val="nil"/>
              <w:bottom w:val="nil"/>
              <w:right w:val="nil"/>
            </w:tcBorders>
            <w:shd w:val="clear" w:color="auto" w:fill="auto"/>
            <w:vAlign w:val="bottom"/>
            <w:hideMark/>
          </w:tcPr>
          <w:p w14:paraId="56115672"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6" w:type="dxa"/>
            <w:tcBorders>
              <w:top w:val="nil"/>
              <w:left w:val="nil"/>
              <w:bottom w:val="nil"/>
              <w:right w:val="nil"/>
            </w:tcBorders>
            <w:shd w:val="clear" w:color="auto" w:fill="auto"/>
            <w:vAlign w:val="bottom"/>
            <w:hideMark/>
          </w:tcPr>
          <w:p w14:paraId="722E26F5" w14:textId="77777777" w:rsidR="00B9311E" w:rsidRPr="00BD77D8" w:rsidRDefault="00B9311E" w:rsidP="00B9311E">
            <w:pPr>
              <w:spacing w:after="0" w:line="240" w:lineRule="auto"/>
              <w:jc w:val="right"/>
              <w:rPr>
                <w:sz w:val="18"/>
                <w:szCs w:val="18"/>
              </w:rPr>
            </w:pPr>
            <w:r w:rsidRPr="00BD77D8">
              <w:rPr>
                <w:sz w:val="18"/>
                <w:szCs w:val="18"/>
              </w:rPr>
              <w:t xml:space="preserve">      7,663 </w:t>
            </w:r>
          </w:p>
        </w:tc>
        <w:tc>
          <w:tcPr>
            <w:tcW w:w="995" w:type="dxa"/>
            <w:tcBorders>
              <w:top w:val="nil"/>
              <w:left w:val="nil"/>
              <w:bottom w:val="nil"/>
              <w:right w:val="nil"/>
            </w:tcBorders>
            <w:shd w:val="clear" w:color="auto" w:fill="auto"/>
            <w:vAlign w:val="bottom"/>
            <w:hideMark/>
          </w:tcPr>
          <w:p w14:paraId="6F997325" w14:textId="77777777" w:rsidR="00B9311E" w:rsidRPr="00BD77D8" w:rsidRDefault="00B9311E" w:rsidP="00B9311E">
            <w:pPr>
              <w:spacing w:after="0" w:line="240" w:lineRule="auto"/>
              <w:jc w:val="right"/>
              <w:rPr>
                <w:sz w:val="18"/>
                <w:szCs w:val="18"/>
              </w:rPr>
            </w:pPr>
            <w:r w:rsidRPr="00BD77D8">
              <w:rPr>
                <w:sz w:val="18"/>
                <w:szCs w:val="18"/>
              </w:rPr>
              <w:t xml:space="preserve">            113 </w:t>
            </w:r>
          </w:p>
        </w:tc>
        <w:tc>
          <w:tcPr>
            <w:tcW w:w="1137" w:type="dxa"/>
            <w:tcBorders>
              <w:top w:val="nil"/>
              <w:left w:val="nil"/>
              <w:bottom w:val="nil"/>
              <w:right w:val="nil"/>
            </w:tcBorders>
            <w:shd w:val="clear" w:color="auto" w:fill="auto"/>
            <w:vAlign w:val="bottom"/>
            <w:hideMark/>
          </w:tcPr>
          <w:p w14:paraId="6CE3533E" w14:textId="77777777" w:rsidR="00B9311E" w:rsidRPr="00BD77D8" w:rsidRDefault="00B9311E" w:rsidP="00B9311E">
            <w:pPr>
              <w:spacing w:after="0" w:line="240" w:lineRule="auto"/>
              <w:jc w:val="right"/>
              <w:rPr>
                <w:sz w:val="18"/>
                <w:szCs w:val="18"/>
              </w:rPr>
            </w:pPr>
            <w:r w:rsidRPr="00BD77D8">
              <w:rPr>
                <w:sz w:val="18"/>
                <w:szCs w:val="18"/>
              </w:rPr>
              <w:t xml:space="preserve">     (7,776)</w:t>
            </w:r>
          </w:p>
        </w:tc>
        <w:tc>
          <w:tcPr>
            <w:tcW w:w="948" w:type="dxa"/>
            <w:tcBorders>
              <w:top w:val="nil"/>
              <w:left w:val="nil"/>
              <w:bottom w:val="nil"/>
              <w:right w:val="nil"/>
            </w:tcBorders>
            <w:shd w:val="clear" w:color="auto" w:fill="auto"/>
            <w:vAlign w:val="bottom"/>
            <w:hideMark/>
          </w:tcPr>
          <w:p w14:paraId="67FD54A7"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r>
      <w:tr w:rsidR="00BD77D8" w:rsidRPr="00BD77D8" w14:paraId="0E4EAE9B" w14:textId="77777777" w:rsidTr="003057FB">
        <w:trPr>
          <w:trHeight w:val="21"/>
        </w:trPr>
        <w:tc>
          <w:tcPr>
            <w:tcW w:w="5404" w:type="dxa"/>
            <w:tcBorders>
              <w:top w:val="nil"/>
              <w:left w:val="nil"/>
              <w:bottom w:val="nil"/>
              <w:right w:val="nil"/>
            </w:tcBorders>
            <w:shd w:val="clear" w:color="auto" w:fill="auto"/>
            <w:noWrap/>
            <w:vAlign w:val="bottom"/>
            <w:hideMark/>
          </w:tcPr>
          <w:p w14:paraId="71D98C34" w14:textId="77777777" w:rsidR="00B9311E" w:rsidRPr="00BD77D8" w:rsidRDefault="00B9311E" w:rsidP="00B9311E">
            <w:pPr>
              <w:spacing w:after="0" w:line="240" w:lineRule="auto"/>
              <w:rPr>
                <w:sz w:val="18"/>
                <w:szCs w:val="18"/>
              </w:rPr>
            </w:pPr>
            <w:r w:rsidRPr="00BD77D8">
              <w:rPr>
                <w:sz w:val="18"/>
                <w:szCs w:val="18"/>
              </w:rPr>
              <w:t xml:space="preserve"> Net revaluation increments recognised in Operating Result </w:t>
            </w:r>
          </w:p>
        </w:tc>
        <w:tc>
          <w:tcPr>
            <w:tcW w:w="852" w:type="dxa"/>
            <w:tcBorders>
              <w:top w:val="nil"/>
              <w:left w:val="nil"/>
              <w:bottom w:val="nil"/>
              <w:right w:val="nil"/>
            </w:tcBorders>
            <w:shd w:val="clear" w:color="auto" w:fill="auto"/>
            <w:vAlign w:val="bottom"/>
            <w:hideMark/>
          </w:tcPr>
          <w:p w14:paraId="41E49F9A" w14:textId="77777777" w:rsidR="00B9311E" w:rsidRPr="00BD77D8" w:rsidRDefault="00B9311E" w:rsidP="00B9311E">
            <w:pPr>
              <w:spacing w:after="0" w:line="240" w:lineRule="auto"/>
              <w:jc w:val="right"/>
              <w:rPr>
                <w:sz w:val="18"/>
                <w:szCs w:val="18"/>
              </w:rPr>
            </w:pPr>
            <w:r w:rsidRPr="00BD77D8">
              <w:rPr>
                <w:sz w:val="18"/>
                <w:szCs w:val="18"/>
              </w:rPr>
              <w:t xml:space="preserve">          144 </w:t>
            </w:r>
          </w:p>
        </w:tc>
        <w:tc>
          <w:tcPr>
            <w:tcW w:w="996" w:type="dxa"/>
            <w:tcBorders>
              <w:top w:val="nil"/>
              <w:left w:val="nil"/>
              <w:bottom w:val="nil"/>
              <w:right w:val="nil"/>
            </w:tcBorders>
            <w:shd w:val="clear" w:color="auto" w:fill="auto"/>
            <w:vAlign w:val="bottom"/>
            <w:hideMark/>
          </w:tcPr>
          <w:p w14:paraId="7ACBA265" w14:textId="77777777" w:rsidR="00B9311E" w:rsidRPr="00BD77D8" w:rsidRDefault="00B9311E" w:rsidP="00B9311E">
            <w:pPr>
              <w:spacing w:after="0" w:line="240" w:lineRule="auto"/>
              <w:jc w:val="right"/>
              <w:rPr>
                <w:sz w:val="18"/>
                <w:szCs w:val="18"/>
              </w:rPr>
            </w:pPr>
            <w:r w:rsidRPr="00BD77D8">
              <w:rPr>
                <w:sz w:val="18"/>
                <w:szCs w:val="18"/>
              </w:rPr>
              <w:t xml:space="preserve">      1,078 </w:t>
            </w:r>
          </w:p>
        </w:tc>
        <w:tc>
          <w:tcPr>
            <w:tcW w:w="995" w:type="dxa"/>
            <w:tcBorders>
              <w:top w:val="nil"/>
              <w:left w:val="nil"/>
              <w:bottom w:val="nil"/>
              <w:right w:val="nil"/>
            </w:tcBorders>
            <w:shd w:val="clear" w:color="auto" w:fill="auto"/>
            <w:vAlign w:val="bottom"/>
            <w:hideMark/>
          </w:tcPr>
          <w:p w14:paraId="7121F985"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37" w:type="dxa"/>
            <w:tcBorders>
              <w:top w:val="nil"/>
              <w:left w:val="nil"/>
              <w:bottom w:val="nil"/>
              <w:right w:val="nil"/>
            </w:tcBorders>
            <w:shd w:val="clear" w:color="auto" w:fill="auto"/>
            <w:vAlign w:val="bottom"/>
            <w:hideMark/>
          </w:tcPr>
          <w:p w14:paraId="3F6E54D5"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48" w:type="dxa"/>
            <w:tcBorders>
              <w:top w:val="nil"/>
              <w:left w:val="nil"/>
              <w:bottom w:val="nil"/>
              <w:right w:val="nil"/>
            </w:tcBorders>
            <w:shd w:val="clear" w:color="auto" w:fill="auto"/>
            <w:vAlign w:val="bottom"/>
            <w:hideMark/>
          </w:tcPr>
          <w:p w14:paraId="06B9506A" w14:textId="77777777" w:rsidR="00B9311E" w:rsidRPr="00BD77D8" w:rsidRDefault="00B9311E" w:rsidP="00B9311E">
            <w:pPr>
              <w:spacing w:after="0" w:line="240" w:lineRule="auto"/>
              <w:jc w:val="right"/>
              <w:rPr>
                <w:b/>
                <w:bCs/>
                <w:sz w:val="18"/>
                <w:szCs w:val="18"/>
              </w:rPr>
            </w:pPr>
            <w:r w:rsidRPr="00BD77D8">
              <w:rPr>
                <w:b/>
                <w:bCs/>
                <w:sz w:val="18"/>
                <w:szCs w:val="18"/>
              </w:rPr>
              <w:t xml:space="preserve">        1,222 </w:t>
            </w:r>
          </w:p>
        </w:tc>
      </w:tr>
      <w:tr w:rsidR="00BD77D8" w:rsidRPr="00BD77D8" w14:paraId="60F38D70" w14:textId="77777777" w:rsidTr="003057FB">
        <w:trPr>
          <w:trHeight w:val="21"/>
        </w:trPr>
        <w:tc>
          <w:tcPr>
            <w:tcW w:w="5404" w:type="dxa"/>
            <w:tcBorders>
              <w:top w:val="nil"/>
              <w:left w:val="nil"/>
              <w:bottom w:val="nil"/>
              <w:right w:val="nil"/>
            </w:tcBorders>
            <w:shd w:val="clear" w:color="auto" w:fill="auto"/>
            <w:noWrap/>
            <w:vAlign w:val="bottom"/>
            <w:hideMark/>
          </w:tcPr>
          <w:p w14:paraId="7B8D1758" w14:textId="77777777" w:rsidR="00B9311E" w:rsidRPr="00BD77D8" w:rsidRDefault="00B9311E" w:rsidP="00B9311E">
            <w:pPr>
              <w:spacing w:after="0" w:line="240" w:lineRule="auto"/>
              <w:rPr>
                <w:sz w:val="18"/>
                <w:szCs w:val="18"/>
              </w:rPr>
            </w:pPr>
            <w:r w:rsidRPr="00BD77D8">
              <w:rPr>
                <w:sz w:val="18"/>
                <w:szCs w:val="18"/>
              </w:rPr>
              <w:t xml:space="preserve"> Depreciation charge </w:t>
            </w:r>
          </w:p>
        </w:tc>
        <w:tc>
          <w:tcPr>
            <w:tcW w:w="852" w:type="dxa"/>
            <w:tcBorders>
              <w:top w:val="nil"/>
              <w:left w:val="nil"/>
              <w:bottom w:val="nil"/>
              <w:right w:val="nil"/>
            </w:tcBorders>
            <w:shd w:val="clear" w:color="auto" w:fill="auto"/>
            <w:vAlign w:val="bottom"/>
            <w:hideMark/>
          </w:tcPr>
          <w:p w14:paraId="6EC57D28"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6" w:type="dxa"/>
            <w:tcBorders>
              <w:top w:val="nil"/>
              <w:left w:val="nil"/>
              <w:bottom w:val="nil"/>
              <w:right w:val="nil"/>
            </w:tcBorders>
            <w:shd w:val="clear" w:color="auto" w:fill="auto"/>
            <w:vAlign w:val="bottom"/>
            <w:hideMark/>
          </w:tcPr>
          <w:p w14:paraId="295F60D8" w14:textId="77777777" w:rsidR="00B9311E" w:rsidRPr="00BD77D8" w:rsidRDefault="00B9311E" w:rsidP="00B9311E">
            <w:pPr>
              <w:spacing w:after="0" w:line="240" w:lineRule="auto"/>
              <w:jc w:val="right"/>
              <w:rPr>
                <w:sz w:val="18"/>
                <w:szCs w:val="18"/>
              </w:rPr>
            </w:pPr>
            <w:r w:rsidRPr="00BD77D8">
              <w:rPr>
                <w:sz w:val="18"/>
                <w:szCs w:val="18"/>
              </w:rPr>
              <w:t xml:space="preserve">     (4,234)</w:t>
            </w:r>
          </w:p>
        </w:tc>
        <w:tc>
          <w:tcPr>
            <w:tcW w:w="995" w:type="dxa"/>
            <w:tcBorders>
              <w:top w:val="nil"/>
              <w:left w:val="nil"/>
              <w:bottom w:val="nil"/>
              <w:right w:val="nil"/>
            </w:tcBorders>
            <w:shd w:val="clear" w:color="auto" w:fill="auto"/>
            <w:vAlign w:val="bottom"/>
            <w:hideMark/>
          </w:tcPr>
          <w:p w14:paraId="4B12F4F1" w14:textId="77777777" w:rsidR="00B9311E" w:rsidRPr="00BD77D8" w:rsidRDefault="00B9311E" w:rsidP="00B9311E">
            <w:pPr>
              <w:spacing w:after="0" w:line="240" w:lineRule="auto"/>
              <w:jc w:val="right"/>
              <w:rPr>
                <w:sz w:val="18"/>
                <w:szCs w:val="18"/>
              </w:rPr>
            </w:pPr>
            <w:r w:rsidRPr="00BD77D8">
              <w:rPr>
                <w:sz w:val="18"/>
                <w:szCs w:val="18"/>
              </w:rPr>
              <w:t xml:space="preserve">           (522)</w:t>
            </w:r>
          </w:p>
        </w:tc>
        <w:tc>
          <w:tcPr>
            <w:tcW w:w="1137" w:type="dxa"/>
            <w:tcBorders>
              <w:top w:val="nil"/>
              <w:left w:val="nil"/>
              <w:bottom w:val="nil"/>
              <w:right w:val="nil"/>
            </w:tcBorders>
            <w:shd w:val="clear" w:color="auto" w:fill="auto"/>
            <w:vAlign w:val="bottom"/>
            <w:hideMark/>
          </w:tcPr>
          <w:p w14:paraId="314B9D6A"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48" w:type="dxa"/>
            <w:tcBorders>
              <w:top w:val="nil"/>
              <w:left w:val="nil"/>
              <w:bottom w:val="nil"/>
              <w:right w:val="nil"/>
            </w:tcBorders>
            <w:shd w:val="clear" w:color="auto" w:fill="auto"/>
            <w:vAlign w:val="bottom"/>
            <w:hideMark/>
          </w:tcPr>
          <w:p w14:paraId="3CE2B982" w14:textId="77777777" w:rsidR="00B9311E" w:rsidRPr="00BD77D8" w:rsidRDefault="00B9311E" w:rsidP="00B9311E">
            <w:pPr>
              <w:spacing w:after="0" w:line="240" w:lineRule="auto"/>
              <w:jc w:val="right"/>
              <w:rPr>
                <w:b/>
                <w:bCs/>
                <w:sz w:val="18"/>
                <w:szCs w:val="18"/>
              </w:rPr>
            </w:pPr>
            <w:r w:rsidRPr="00BD77D8">
              <w:rPr>
                <w:b/>
                <w:bCs/>
                <w:sz w:val="18"/>
                <w:szCs w:val="18"/>
              </w:rPr>
              <w:t xml:space="preserve">      (4,756)</w:t>
            </w:r>
          </w:p>
        </w:tc>
      </w:tr>
      <w:tr w:rsidR="00BD77D8" w:rsidRPr="00BD77D8" w14:paraId="79552447" w14:textId="77777777" w:rsidTr="003057FB">
        <w:trPr>
          <w:trHeight w:val="21"/>
        </w:trPr>
        <w:tc>
          <w:tcPr>
            <w:tcW w:w="5404" w:type="dxa"/>
            <w:tcBorders>
              <w:top w:val="nil"/>
              <w:left w:val="nil"/>
              <w:bottom w:val="nil"/>
              <w:right w:val="nil"/>
            </w:tcBorders>
            <w:shd w:val="clear" w:color="auto" w:fill="auto"/>
            <w:noWrap/>
            <w:vAlign w:val="bottom"/>
            <w:hideMark/>
          </w:tcPr>
          <w:p w14:paraId="7A85DA06" w14:textId="77777777" w:rsidR="00B9311E" w:rsidRPr="00BD77D8" w:rsidRDefault="00B9311E" w:rsidP="00B9311E">
            <w:pPr>
              <w:spacing w:after="0" w:line="240" w:lineRule="auto"/>
              <w:rPr>
                <w:b/>
                <w:bCs/>
                <w:sz w:val="18"/>
                <w:szCs w:val="18"/>
              </w:rPr>
            </w:pPr>
            <w:r w:rsidRPr="00BD77D8">
              <w:rPr>
                <w:b/>
                <w:bCs/>
                <w:sz w:val="18"/>
                <w:szCs w:val="18"/>
              </w:rPr>
              <w:t xml:space="preserve"> Carrying amount at 30 June 2021 </w:t>
            </w:r>
          </w:p>
        </w:tc>
        <w:tc>
          <w:tcPr>
            <w:tcW w:w="852" w:type="dxa"/>
            <w:tcBorders>
              <w:top w:val="single" w:sz="4" w:space="0" w:color="auto"/>
              <w:left w:val="nil"/>
              <w:bottom w:val="single" w:sz="4" w:space="0" w:color="auto"/>
              <w:right w:val="nil"/>
            </w:tcBorders>
            <w:shd w:val="clear" w:color="auto" w:fill="auto"/>
            <w:vAlign w:val="bottom"/>
            <w:hideMark/>
          </w:tcPr>
          <w:p w14:paraId="7C0A1E4C" w14:textId="77777777" w:rsidR="00B9311E" w:rsidRPr="00BD77D8" w:rsidRDefault="00B9311E" w:rsidP="00B9311E">
            <w:pPr>
              <w:spacing w:after="0" w:line="240" w:lineRule="auto"/>
              <w:jc w:val="right"/>
              <w:rPr>
                <w:b/>
                <w:bCs/>
                <w:sz w:val="18"/>
                <w:szCs w:val="18"/>
              </w:rPr>
            </w:pPr>
            <w:r w:rsidRPr="00BD77D8">
              <w:rPr>
                <w:b/>
                <w:bCs/>
                <w:sz w:val="18"/>
                <w:szCs w:val="18"/>
              </w:rPr>
              <w:t xml:space="preserve">    50,663 </w:t>
            </w:r>
          </w:p>
        </w:tc>
        <w:tc>
          <w:tcPr>
            <w:tcW w:w="996" w:type="dxa"/>
            <w:tcBorders>
              <w:top w:val="single" w:sz="4" w:space="0" w:color="auto"/>
              <w:left w:val="nil"/>
              <w:bottom w:val="single" w:sz="4" w:space="0" w:color="auto"/>
              <w:right w:val="nil"/>
            </w:tcBorders>
            <w:shd w:val="clear" w:color="auto" w:fill="auto"/>
            <w:vAlign w:val="bottom"/>
            <w:hideMark/>
          </w:tcPr>
          <w:p w14:paraId="2B394F35" w14:textId="77777777" w:rsidR="00B9311E" w:rsidRPr="00BD77D8" w:rsidRDefault="00B9311E" w:rsidP="00B9311E">
            <w:pPr>
              <w:spacing w:after="0" w:line="240" w:lineRule="auto"/>
              <w:jc w:val="right"/>
              <w:rPr>
                <w:b/>
                <w:bCs/>
                <w:sz w:val="18"/>
                <w:szCs w:val="18"/>
              </w:rPr>
            </w:pPr>
            <w:r w:rsidRPr="00BD77D8">
              <w:rPr>
                <w:b/>
                <w:bCs/>
                <w:sz w:val="18"/>
                <w:szCs w:val="18"/>
              </w:rPr>
              <w:t xml:space="preserve">  128,218 </w:t>
            </w:r>
          </w:p>
        </w:tc>
        <w:tc>
          <w:tcPr>
            <w:tcW w:w="995" w:type="dxa"/>
            <w:tcBorders>
              <w:top w:val="single" w:sz="4" w:space="0" w:color="auto"/>
              <w:left w:val="nil"/>
              <w:bottom w:val="single" w:sz="4" w:space="0" w:color="auto"/>
              <w:right w:val="nil"/>
            </w:tcBorders>
            <w:shd w:val="clear" w:color="auto" w:fill="auto"/>
            <w:vAlign w:val="bottom"/>
            <w:hideMark/>
          </w:tcPr>
          <w:p w14:paraId="50A078FF" w14:textId="77777777" w:rsidR="00B9311E" w:rsidRPr="00BD77D8" w:rsidRDefault="00B9311E" w:rsidP="00B9311E">
            <w:pPr>
              <w:spacing w:after="0" w:line="240" w:lineRule="auto"/>
              <w:jc w:val="right"/>
              <w:rPr>
                <w:b/>
                <w:bCs/>
                <w:sz w:val="18"/>
                <w:szCs w:val="18"/>
              </w:rPr>
            </w:pPr>
            <w:r w:rsidRPr="00BD77D8">
              <w:rPr>
                <w:b/>
                <w:bCs/>
                <w:sz w:val="18"/>
                <w:szCs w:val="18"/>
              </w:rPr>
              <w:t xml:space="preserve">         1,946 </w:t>
            </w:r>
          </w:p>
        </w:tc>
        <w:tc>
          <w:tcPr>
            <w:tcW w:w="1137" w:type="dxa"/>
            <w:tcBorders>
              <w:top w:val="single" w:sz="4" w:space="0" w:color="auto"/>
              <w:left w:val="nil"/>
              <w:bottom w:val="single" w:sz="4" w:space="0" w:color="auto"/>
              <w:right w:val="nil"/>
            </w:tcBorders>
            <w:shd w:val="clear" w:color="auto" w:fill="auto"/>
            <w:vAlign w:val="bottom"/>
            <w:hideMark/>
          </w:tcPr>
          <w:p w14:paraId="374EB930" w14:textId="77777777" w:rsidR="00B9311E" w:rsidRPr="00BD77D8" w:rsidRDefault="00B9311E" w:rsidP="00B9311E">
            <w:pPr>
              <w:spacing w:after="0" w:line="240" w:lineRule="auto"/>
              <w:jc w:val="right"/>
              <w:rPr>
                <w:b/>
                <w:bCs/>
                <w:sz w:val="18"/>
                <w:szCs w:val="18"/>
              </w:rPr>
            </w:pPr>
            <w:r w:rsidRPr="00BD77D8">
              <w:rPr>
                <w:b/>
                <w:bCs/>
                <w:sz w:val="18"/>
                <w:szCs w:val="18"/>
              </w:rPr>
              <w:t xml:space="preserve">          469 </w:t>
            </w:r>
          </w:p>
        </w:tc>
        <w:tc>
          <w:tcPr>
            <w:tcW w:w="948" w:type="dxa"/>
            <w:tcBorders>
              <w:top w:val="single" w:sz="4" w:space="0" w:color="auto"/>
              <w:left w:val="nil"/>
              <w:bottom w:val="single" w:sz="4" w:space="0" w:color="auto"/>
              <w:right w:val="nil"/>
            </w:tcBorders>
            <w:shd w:val="clear" w:color="auto" w:fill="auto"/>
            <w:vAlign w:val="bottom"/>
            <w:hideMark/>
          </w:tcPr>
          <w:p w14:paraId="62232527" w14:textId="77777777" w:rsidR="00B9311E" w:rsidRPr="00BD77D8" w:rsidRDefault="00B9311E" w:rsidP="00B9311E">
            <w:pPr>
              <w:spacing w:after="0" w:line="240" w:lineRule="auto"/>
              <w:jc w:val="right"/>
              <w:rPr>
                <w:b/>
                <w:bCs/>
                <w:sz w:val="18"/>
                <w:szCs w:val="18"/>
              </w:rPr>
            </w:pPr>
            <w:r w:rsidRPr="00BD77D8">
              <w:rPr>
                <w:b/>
                <w:bCs/>
                <w:sz w:val="18"/>
                <w:szCs w:val="18"/>
              </w:rPr>
              <w:t xml:space="preserve">   181,296 </w:t>
            </w:r>
          </w:p>
        </w:tc>
      </w:tr>
      <w:tr w:rsidR="00BD77D8" w:rsidRPr="00BD77D8" w14:paraId="31C30993" w14:textId="77777777" w:rsidTr="003057FB">
        <w:trPr>
          <w:trHeight w:val="21"/>
        </w:trPr>
        <w:tc>
          <w:tcPr>
            <w:tcW w:w="5404" w:type="dxa"/>
            <w:tcBorders>
              <w:top w:val="nil"/>
              <w:left w:val="nil"/>
              <w:bottom w:val="nil"/>
              <w:right w:val="nil"/>
            </w:tcBorders>
            <w:shd w:val="clear" w:color="auto" w:fill="auto"/>
            <w:noWrap/>
            <w:vAlign w:val="bottom"/>
            <w:hideMark/>
          </w:tcPr>
          <w:p w14:paraId="525DB333" w14:textId="77777777" w:rsidR="00B9311E" w:rsidRPr="00BD77D8" w:rsidRDefault="00B9311E" w:rsidP="00B9311E">
            <w:pPr>
              <w:spacing w:after="0" w:line="240" w:lineRule="auto"/>
              <w:jc w:val="right"/>
              <w:rPr>
                <w:b/>
                <w:bCs/>
                <w:sz w:val="18"/>
                <w:szCs w:val="18"/>
              </w:rPr>
            </w:pPr>
          </w:p>
        </w:tc>
        <w:tc>
          <w:tcPr>
            <w:tcW w:w="852" w:type="dxa"/>
            <w:tcBorders>
              <w:top w:val="nil"/>
              <w:left w:val="nil"/>
              <w:bottom w:val="nil"/>
              <w:right w:val="nil"/>
            </w:tcBorders>
            <w:shd w:val="clear" w:color="auto" w:fill="auto"/>
            <w:noWrap/>
            <w:vAlign w:val="bottom"/>
            <w:hideMark/>
          </w:tcPr>
          <w:p w14:paraId="6FB08BA8" w14:textId="77777777" w:rsidR="00B9311E" w:rsidRPr="00BD77D8" w:rsidRDefault="00B9311E" w:rsidP="00B9311E">
            <w:pPr>
              <w:spacing w:after="0" w:line="240" w:lineRule="auto"/>
              <w:rPr>
                <w:rFonts w:ascii="Times New Roman" w:hAnsi="Times New Roman" w:cs="Times New Roman"/>
                <w:sz w:val="20"/>
                <w:szCs w:val="20"/>
              </w:rPr>
            </w:pPr>
          </w:p>
        </w:tc>
        <w:tc>
          <w:tcPr>
            <w:tcW w:w="996" w:type="dxa"/>
            <w:tcBorders>
              <w:top w:val="nil"/>
              <w:left w:val="nil"/>
              <w:bottom w:val="nil"/>
              <w:right w:val="nil"/>
            </w:tcBorders>
            <w:shd w:val="clear" w:color="auto" w:fill="auto"/>
            <w:noWrap/>
            <w:vAlign w:val="bottom"/>
            <w:hideMark/>
          </w:tcPr>
          <w:p w14:paraId="62EAADF5" w14:textId="77777777" w:rsidR="00B9311E" w:rsidRPr="00BD77D8" w:rsidRDefault="00B9311E" w:rsidP="00B9311E">
            <w:pPr>
              <w:spacing w:after="0" w:line="240" w:lineRule="auto"/>
              <w:jc w:val="right"/>
              <w:rPr>
                <w:rFonts w:ascii="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602068A4" w14:textId="77777777" w:rsidR="00B9311E" w:rsidRPr="00BD77D8" w:rsidRDefault="00B9311E" w:rsidP="00B9311E">
            <w:pPr>
              <w:spacing w:after="0" w:line="240" w:lineRule="auto"/>
              <w:jc w:val="right"/>
              <w:rPr>
                <w:rFonts w:ascii="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565B5735" w14:textId="77777777" w:rsidR="00B9311E" w:rsidRPr="00BD77D8" w:rsidRDefault="00B9311E" w:rsidP="00B9311E">
            <w:pPr>
              <w:spacing w:after="0" w:line="240" w:lineRule="auto"/>
              <w:jc w:val="right"/>
              <w:rPr>
                <w:rFonts w:ascii="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092D8138"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5EBD7C89" w14:textId="77777777" w:rsidTr="003057FB">
        <w:trPr>
          <w:trHeight w:val="21"/>
        </w:trPr>
        <w:tc>
          <w:tcPr>
            <w:tcW w:w="5404" w:type="dxa"/>
            <w:tcBorders>
              <w:top w:val="nil"/>
              <w:left w:val="nil"/>
              <w:bottom w:val="nil"/>
              <w:right w:val="nil"/>
            </w:tcBorders>
            <w:shd w:val="clear" w:color="auto" w:fill="auto"/>
            <w:noWrap/>
            <w:vAlign w:val="bottom"/>
            <w:hideMark/>
          </w:tcPr>
          <w:p w14:paraId="22532A24" w14:textId="77777777" w:rsidR="00B9311E" w:rsidRPr="00BD77D8" w:rsidRDefault="00B9311E" w:rsidP="00B9311E">
            <w:pPr>
              <w:spacing w:after="0" w:line="240" w:lineRule="auto"/>
              <w:rPr>
                <w:b/>
                <w:bCs/>
                <w:sz w:val="18"/>
                <w:szCs w:val="18"/>
              </w:rPr>
            </w:pPr>
            <w:r w:rsidRPr="00BD77D8">
              <w:rPr>
                <w:b/>
                <w:bCs/>
                <w:sz w:val="18"/>
                <w:szCs w:val="18"/>
              </w:rPr>
              <w:t xml:space="preserve"> Carrying amount at 1 July 2021 </w:t>
            </w:r>
          </w:p>
        </w:tc>
        <w:tc>
          <w:tcPr>
            <w:tcW w:w="852" w:type="dxa"/>
            <w:tcBorders>
              <w:top w:val="nil"/>
              <w:left w:val="nil"/>
              <w:bottom w:val="nil"/>
              <w:right w:val="nil"/>
            </w:tcBorders>
            <w:shd w:val="clear" w:color="auto" w:fill="auto"/>
            <w:vAlign w:val="bottom"/>
            <w:hideMark/>
          </w:tcPr>
          <w:p w14:paraId="6B846378" w14:textId="77777777" w:rsidR="00B9311E" w:rsidRPr="00BD77D8" w:rsidRDefault="00B9311E" w:rsidP="00B9311E">
            <w:pPr>
              <w:spacing w:after="0" w:line="240" w:lineRule="auto"/>
              <w:jc w:val="right"/>
              <w:rPr>
                <w:b/>
                <w:bCs/>
                <w:sz w:val="18"/>
                <w:szCs w:val="18"/>
              </w:rPr>
            </w:pPr>
            <w:r w:rsidRPr="00BD77D8">
              <w:rPr>
                <w:b/>
                <w:bCs/>
                <w:sz w:val="18"/>
                <w:szCs w:val="18"/>
              </w:rPr>
              <w:t xml:space="preserve">    50,663 </w:t>
            </w:r>
          </w:p>
        </w:tc>
        <w:tc>
          <w:tcPr>
            <w:tcW w:w="996" w:type="dxa"/>
            <w:tcBorders>
              <w:top w:val="nil"/>
              <w:left w:val="nil"/>
              <w:bottom w:val="nil"/>
              <w:right w:val="nil"/>
            </w:tcBorders>
            <w:shd w:val="clear" w:color="auto" w:fill="auto"/>
            <w:vAlign w:val="bottom"/>
            <w:hideMark/>
          </w:tcPr>
          <w:p w14:paraId="50E8DBDE" w14:textId="77777777" w:rsidR="00B9311E" w:rsidRPr="00BD77D8" w:rsidRDefault="00B9311E" w:rsidP="00B9311E">
            <w:pPr>
              <w:spacing w:after="0" w:line="240" w:lineRule="auto"/>
              <w:jc w:val="right"/>
              <w:rPr>
                <w:b/>
                <w:bCs/>
                <w:sz w:val="18"/>
                <w:szCs w:val="18"/>
              </w:rPr>
            </w:pPr>
            <w:r w:rsidRPr="00BD77D8">
              <w:rPr>
                <w:b/>
                <w:bCs/>
                <w:sz w:val="18"/>
                <w:szCs w:val="18"/>
              </w:rPr>
              <w:t xml:space="preserve">  128,218 </w:t>
            </w:r>
          </w:p>
        </w:tc>
        <w:tc>
          <w:tcPr>
            <w:tcW w:w="995" w:type="dxa"/>
            <w:tcBorders>
              <w:top w:val="nil"/>
              <w:left w:val="nil"/>
              <w:bottom w:val="nil"/>
              <w:right w:val="nil"/>
            </w:tcBorders>
            <w:shd w:val="clear" w:color="auto" w:fill="auto"/>
            <w:vAlign w:val="bottom"/>
            <w:hideMark/>
          </w:tcPr>
          <w:p w14:paraId="1047B56F" w14:textId="77777777" w:rsidR="00B9311E" w:rsidRPr="00BD77D8" w:rsidRDefault="00B9311E" w:rsidP="00B9311E">
            <w:pPr>
              <w:spacing w:after="0" w:line="240" w:lineRule="auto"/>
              <w:jc w:val="right"/>
              <w:rPr>
                <w:b/>
                <w:bCs/>
                <w:sz w:val="18"/>
                <w:szCs w:val="18"/>
              </w:rPr>
            </w:pPr>
            <w:r w:rsidRPr="00BD77D8">
              <w:rPr>
                <w:b/>
                <w:bCs/>
                <w:sz w:val="18"/>
                <w:szCs w:val="18"/>
              </w:rPr>
              <w:t xml:space="preserve">         1,946 </w:t>
            </w:r>
          </w:p>
        </w:tc>
        <w:tc>
          <w:tcPr>
            <w:tcW w:w="1137" w:type="dxa"/>
            <w:tcBorders>
              <w:top w:val="nil"/>
              <w:left w:val="nil"/>
              <w:bottom w:val="nil"/>
              <w:right w:val="nil"/>
            </w:tcBorders>
            <w:shd w:val="clear" w:color="auto" w:fill="auto"/>
            <w:vAlign w:val="bottom"/>
            <w:hideMark/>
          </w:tcPr>
          <w:p w14:paraId="2A081860" w14:textId="77777777" w:rsidR="00B9311E" w:rsidRPr="00BD77D8" w:rsidRDefault="00B9311E" w:rsidP="00B9311E">
            <w:pPr>
              <w:spacing w:after="0" w:line="240" w:lineRule="auto"/>
              <w:jc w:val="right"/>
              <w:rPr>
                <w:b/>
                <w:bCs/>
                <w:sz w:val="18"/>
                <w:szCs w:val="18"/>
              </w:rPr>
            </w:pPr>
            <w:r w:rsidRPr="00BD77D8">
              <w:rPr>
                <w:b/>
                <w:bCs/>
                <w:sz w:val="18"/>
                <w:szCs w:val="18"/>
              </w:rPr>
              <w:t xml:space="preserve">          469 </w:t>
            </w:r>
          </w:p>
        </w:tc>
        <w:tc>
          <w:tcPr>
            <w:tcW w:w="948" w:type="dxa"/>
            <w:tcBorders>
              <w:top w:val="nil"/>
              <w:left w:val="nil"/>
              <w:bottom w:val="nil"/>
              <w:right w:val="nil"/>
            </w:tcBorders>
            <w:shd w:val="clear" w:color="auto" w:fill="auto"/>
            <w:vAlign w:val="bottom"/>
            <w:hideMark/>
          </w:tcPr>
          <w:p w14:paraId="139BE56F" w14:textId="77777777" w:rsidR="00B9311E" w:rsidRPr="00BD77D8" w:rsidRDefault="00B9311E" w:rsidP="00B9311E">
            <w:pPr>
              <w:spacing w:after="0" w:line="240" w:lineRule="auto"/>
              <w:jc w:val="right"/>
              <w:rPr>
                <w:b/>
                <w:bCs/>
                <w:sz w:val="18"/>
                <w:szCs w:val="18"/>
              </w:rPr>
            </w:pPr>
            <w:r w:rsidRPr="00BD77D8">
              <w:rPr>
                <w:b/>
                <w:bCs/>
                <w:sz w:val="18"/>
                <w:szCs w:val="18"/>
              </w:rPr>
              <w:t xml:space="preserve">   181,296 </w:t>
            </w:r>
          </w:p>
        </w:tc>
      </w:tr>
      <w:tr w:rsidR="00BD77D8" w:rsidRPr="00BD77D8" w14:paraId="2C31F4C2" w14:textId="77777777" w:rsidTr="003057FB">
        <w:trPr>
          <w:trHeight w:val="21"/>
        </w:trPr>
        <w:tc>
          <w:tcPr>
            <w:tcW w:w="5404" w:type="dxa"/>
            <w:tcBorders>
              <w:top w:val="nil"/>
              <w:left w:val="nil"/>
              <w:bottom w:val="nil"/>
              <w:right w:val="nil"/>
            </w:tcBorders>
            <w:shd w:val="clear" w:color="auto" w:fill="auto"/>
            <w:noWrap/>
            <w:vAlign w:val="bottom"/>
            <w:hideMark/>
          </w:tcPr>
          <w:p w14:paraId="265F69DD" w14:textId="77777777" w:rsidR="00B9311E" w:rsidRPr="00BD77D8" w:rsidRDefault="00B9311E" w:rsidP="00B9311E">
            <w:pPr>
              <w:spacing w:after="0" w:line="240" w:lineRule="auto"/>
              <w:rPr>
                <w:sz w:val="18"/>
                <w:szCs w:val="18"/>
              </w:rPr>
            </w:pPr>
            <w:r w:rsidRPr="00BD77D8">
              <w:rPr>
                <w:sz w:val="18"/>
                <w:szCs w:val="18"/>
              </w:rPr>
              <w:t xml:space="preserve"> Acquisition </w:t>
            </w:r>
          </w:p>
        </w:tc>
        <w:tc>
          <w:tcPr>
            <w:tcW w:w="852" w:type="dxa"/>
            <w:tcBorders>
              <w:top w:val="nil"/>
              <w:left w:val="nil"/>
              <w:bottom w:val="nil"/>
              <w:right w:val="nil"/>
            </w:tcBorders>
            <w:shd w:val="clear" w:color="auto" w:fill="auto"/>
            <w:noWrap/>
            <w:vAlign w:val="bottom"/>
            <w:hideMark/>
          </w:tcPr>
          <w:p w14:paraId="356D11D0"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6" w:type="dxa"/>
            <w:tcBorders>
              <w:top w:val="nil"/>
              <w:left w:val="nil"/>
              <w:bottom w:val="nil"/>
              <w:right w:val="nil"/>
            </w:tcBorders>
            <w:shd w:val="clear" w:color="auto" w:fill="auto"/>
            <w:noWrap/>
            <w:vAlign w:val="bottom"/>
            <w:hideMark/>
          </w:tcPr>
          <w:p w14:paraId="345119D3"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5" w:type="dxa"/>
            <w:tcBorders>
              <w:top w:val="nil"/>
              <w:left w:val="nil"/>
              <w:bottom w:val="nil"/>
              <w:right w:val="nil"/>
            </w:tcBorders>
            <w:shd w:val="clear" w:color="auto" w:fill="auto"/>
            <w:noWrap/>
            <w:vAlign w:val="bottom"/>
            <w:hideMark/>
          </w:tcPr>
          <w:p w14:paraId="26589583"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37" w:type="dxa"/>
            <w:tcBorders>
              <w:top w:val="nil"/>
              <w:left w:val="nil"/>
              <w:bottom w:val="nil"/>
              <w:right w:val="nil"/>
            </w:tcBorders>
            <w:shd w:val="clear" w:color="auto" w:fill="auto"/>
            <w:noWrap/>
            <w:vAlign w:val="bottom"/>
            <w:hideMark/>
          </w:tcPr>
          <w:p w14:paraId="2F6C7E9C" w14:textId="77777777" w:rsidR="00B9311E" w:rsidRPr="00BD77D8" w:rsidRDefault="00B9311E" w:rsidP="00B9311E">
            <w:pPr>
              <w:spacing w:after="0" w:line="240" w:lineRule="auto"/>
              <w:jc w:val="right"/>
              <w:rPr>
                <w:sz w:val="18"/>
                <w:szCs w:val="18"/>
              </w:rPr>
            </w:pPr>
            <w:r w:rsidRPr="00BD77D8">
              <w:rPr>
                <w:sz w:val="18"/>
                <w:szCs w:val="18"/>
              </w:rPr>
              <w:t xml:space="preserve">      2,323 </w:t>
            </w:r>
          </w:p>
        </w:tc>
        <w:tc>
          <w:tcPr>
            <w:tcW w:w="948" w:type="dxa"/>
            <w:tcBorders>
              <w:top w:val="nil"/>
              <w:left w:val="nil"/>
              <w:bottom w:val="nil"/>
              <w:right w:val="nil"/>
            </w:tcBorders>
            <w:shd w:val="clear" w:color="auto" w:fill="auto"/>
            <w:vAlign w:val="bottom"/>
            <w:hideMark/>
          </w:tcPr>
          <w:p w14:paraId="7041ED1A" w14:textId="77777777" w:rsidR="00B9311E" w:rsidRPr="00BD77D8" w:rsidRDefault="00B9311E" w:rsidP="00B9311E">
            <w:pPr>
              <w:spacing w:after="0" w:line="240" w:lineRule="auto"/>
              <w:jc w:val="right"/>
              <w:rPr>
                <w:b/>
                <w:bCs/>
                <w:sz w:val="18"/>
                <w:szCs w:val="18"/>
              </w:rPr>
            </w:pPr>
            <w:r w:rsidRPr="00BD77D8">
              <w:rPr>
                <w:b/>
                <w:bCs/>
                <w:sz w:val="18"/>
                <w:szCs w:val="18"/>
              </w:rPr>
              <w:t xml:space="preserve">        2,323 </w:t>
            </w:r>
          </w:p>
        </w:tc>
      </w:tr>
      <w:tr w:rsidR="00BD77D8" w:rsidRPr="00BD77D8" w14:paraId="179EE17B" w14:textId="77777777" w:rsidTr="003057FB">
        <w:trPr>
          <w:trHeight w:val="21"/>
        </w:trPr>
        <w:tc>
          <w:tcPr>
            <w:tcW w:w="5404" w:type="dxa"/>
            <w:tcBorders>
              <w:top w:val="nil"/>
              <w:left w:val="nil"/>
              <w:bottom w:val="nil"/>
              <w:right w:val="nil"/>
            </w:tcBorders>
            <w:shd w:val="clear" w:color="auto" w:fill="auto"/>
            <w:noWrap/>
            <w:vAlign w:val="bottom"/>
            <w:hideMark/>
          </w:tcPr>
          <w:p w14:paraId="13878920" w14:textId="77777777" w:rsidR="00B9311E" w:rsidRPr="00BD77D8" w:rsidRDefault="00B9311E" w:rsidP="00B9311E">
            <w:pPr>
              <w:spacing w:after="0" w:line="240" w:lineRule="auto"/>
              <w:rPr>
                <w:sz w:val="18"/>
                <w:szCs w:val="18"/>
              </w:rPr>
            </w:pPr>
            <w:r w:rsidRPr="00BD77D8">
              <w:rPr>
                <w:sz w:val="18"/>
                <w:szCs w:val="18"/>
              </w:rPr>
              <w:t xml:space="preserve"> Disposals # </w:t>
            </w:r>
          </w:p>
        </w:tc>
        <w:tc>
          <w:tcPr>
            <w:tcW w:w="852" w:type="dxa"/>
            <w:tcBorders>
              <w:top w:val="nil"/>
              <w:left w:val="nil"/>
              <w:bottom w:val="nil"/>
              <w:right w:val="nil"/>
            </w:tcBorders>
            <w:shd w:val="clear" w:color="auto" w:fill="auto"/>
            <w:noWrap/>
            <w:vAlign w:val="bottom"/>
            <w:hideMark/>
          </w:tcPr>
          <w:p w14:paraId="51A45183"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6" w:type="dxa"/>
            <w:tcBorders>
              <w:top w:val="nil"/>
              <w:left w:val="nil"/>
              <w:bottom w:val="nil"/>
              <w:right w:val="nil"/>
            </w:tcBorders>
            <w:shd w:val="clear" w:color="auto" w:fill="auto"/>
            <w:noWrap/>
            <w:vAlign w:val="bottom"/>
            <w:hideMark/>
          </w:tcPr>
          <w:p w14:paraId="27D7F3F8" w14:textId="77777777" w:rsidR="00B9311E" w:rsidRPr="00BD77D8" w:rsidRDefault="00B9311E" w:rsidP="00B9311E">
            <w:pPr>
              <w:spacing w:after="0" w:line="240" w:lineRule="auto"/>
              <w:jc w:val="right"/>
              <w:rPr>
                <w:sz w:val="18"/>
                <w:szCs w:val="18"/>
              </w:rPr>
            </w:pPr>
            <w:r w:rsidRPr="00BD77D8">
              <w:rPr>
                <w:sz w:val="18"/>
                <w:szCs w:val="18"/>
              </w:rPr>
              <w:t xml:space="preserve">        (814)</w:t>
            </w:r>
          </w:p>
        </w:tc>
        <w:tc>
          <w:tcPr>
            <w:tcW w:w="995" w:type="dxa"/>
            <w:tcBorders>
              <w:top w:val="nil"/>
              <w:left w:val="nil"/>
              <w:bottom w:val="nil"/>
              <w:right w:val="nil"/>
            </w:tcBorders>
            <w:shd w:val="clear" w:color="auto" w:fill="auto"/>
            <w:noWrap/>
            <w:vAlign w:val="bottom"/>
            <w:hideMark/>
          </w:tcPr>
          <w:p w14:paraId="22B741B8" w14:textId="77777777" w:rsidR="00B9311E" w:rsidRPr="00BD77D8" w:rsidRDefault="00B9311E" w:rsidP="00B9311E">
            <w:pPr>
              <w:spacing w:after="0" w:line="240" w:lineRule="auto"/>
              <w:jc w:val="right"/>
              <w:rPr>
                <w:sz w:val="18"/>
                <w:szCs w:val="18"/>
              </w:rPr>
            </w:pPr>
            <w:r w:rsidRPr="00BD77D8">
              <w:rPr>
                <w:sz w:val="18"/>
                <w:szCs w:val="18"/>
              </w:rPr>
              <w:t xml:space="preserve">               (3)</w:t>
            </w:r>
          </w:p>
        </w:tc>
        <w:tc>
          <w:tcPr>
            <w:tcW w:w="1137" w:type="dxa"/>
            <w:tcBorders>
              <w:top w:val="nil"/>
              <w:left w:val="nil"/>
              <w:bottom w:val="nil"/>
              <w:right w:val="nil"/>
            </w:tcBorders>
            <w:shd w:val="clear" w:color="auto" w:fill="auto"/>
            <w:noWrap/>
            <w:vAlign w:val="bottom"/>
            <w:hideMark/>
          </w:tcPr>
          <w:p w14:paraId="6B60F467"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48" w:type="dxa"/>
            <w:tcBorders>
              <w:top w:val="nil"/>
              <w:left w:val="nil"/>
              <w:bottom w:val="nil"/>
              <w:right w:val="nil"/>
            </w:tcBorders>
            <w:shd w:val="clear" w:color="auto" w:fill="auto"/>
            <w:vAlign w:val="bottom"/>
            <w:hideMark/>
          </w:tcPr>
          <w:p w14:paraId="018CF4FB" w14:textId="77777777" w:rsidR="00B9311E" w:rsidRPr="00BD77D8" w:rsidRDefault="00B9311E" w:rsidP="00B9311E">
            <w:pPr>
              <w:spacing w:after="0" w:line="240" w:lineRule="auto"/>
              <w:jc w:val="right"/>
              <w:rPr>
                <w:b/>
                <w:bCs/>
                <w:sz w:val="18"/>
                <w:szCs w:val="18"/>
              </w:rPr>
            </w:pPr>
            <w:r w:rsidRPr="00BD77D8">
              <w:rPr>
                <w:b/>
                <w:bCs/>
                <w:sz w:val="18"/>
                <w:szCs w:val="18"/>
              </w:rPr>
              <w:t xml:space="preserve">          (817)</w:t>
            </w:r>
          </w:p>
        </w:tc>
      </w:tr>
      <w:tr w:rsidR="00BD77D8" w:rsidRPr="00BD77D8" w14:paraId="19EF03C8" w14:textId="77777777" w:rsidTr="003057FB">
        <w:trPr>
          <w:trHeight w:val="21"/>
        </w:trPr>
        <w:tc>
          <w:tcPr>
            <w:tcW w:w="5404" w:type="dxa"/>
            <w:tcBorders>
              <w:top w:val="nil"/>
              <w:left w:val="nil"/>
              <w:bottom w:val="nil"/>
              <w:right w:val="nil"/>
            </w:tcBorders>
            <w:shd w:val="clear" w:color="auto" w:fill="auto"/>
            <w:noWrap/>
            <w:vAlign w:val="bottom"/>
            <w:hideMark/>
          </w:tcPr>
          <w:p w14:paraId="453CEA2D" w14:textId="77777777" w:rsidR="00B9311E" w:rsidRPr="00BD77D8" w:rsidRDefault="00B9311E" w:rsidP="00B9311E">
            <w:pPr>
              <w:spacing w:after="0" w:line="240" w:lineRule="auto"/>
              <w:rPr>
                <w:sz w:val="18"/>
                <w:szCs w:val="18"/>
              </w:rPr>
            </w:pPr>
            <w:r w:rsidRPr="00BD77D8">
              <w:rPr>
                <w:sz w:val="18"/>
                <w:szCs w:val="18"/>
              </w:rPr>
              <w:t xml:space="preserve"> Transfers out to other Queensland Government entities </w:t>
            </w:r>
            <w:proofErr w:type="spellStart"/>
            <w:r w:rsidRPr="00BD77D8">
              <w:rPr>
                <w:sz w:val="18"/>
                <w:szCs w:val="18"/>
              </w:rPr>
              <w:t>MoG</w:t>
            </w:r>
            <w:proofErr w:type="spellEnd"/>
            <w:r w:rsidRPr="00BD77D8">
              <w:rPr>
                <w:sz w:val="18"/>
                <w:szCs w:val="18"/>
              </w:rPr>
              <w:t xml:space="preserve"> ^ </w:t>
            </w:r>
          </w:p>
        </w:tc>
        <w:tc>
          <w:tcPr>
            <w:tcW w:w="852" w:type="dxa"/>
            <w:tcBorders>
              <w:top w:val="nil"/>
              <w:left w:val="nil"/>
              <w:bottom w:val="nil"/>
              <w:right w:val="nil"/>
            </w:tcBorders>
            <w:shd w:val="clear" w:color="auto" w:fill="auto"/>
            <w:noWrap/>
            <w:vAlign w:val="bottom"/>
            <w:hideMark/>
          </w:tcPr>
          <w:p w14:paraId="4CF0920E"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6" w:type="dxa"/>
            <w:tcBorders>
              <w:top w:val="nil"/>
              <w:left w:val="nil"/>
              <w:bottom w:val="nil"/>
              <w:right w:val="nil"/>
            </w:tcBorders>
            <w:shd w:val="clear" w:color="auto" w:fill="auto"/>
            <w:noWrap/>
            <w:vAlign w:val="bottom"/>
            <w:hideMark/>
          </w:tcPr>
          <w:p w14:paraId="4420132E"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5" w:type="dxa"/>
            <w:tcBorders>
              <w:top w:val="nil"/>
              <w:left w:val="nil"/>
              <w:bottom w:val="nil"/>
              <w:right w:val="nil"/>
            </w:tcBorders>
            <w:shd w:val="clear" w:color="auto" w:fill="auto"/>
            <w:noWrap/>
            <w:vAlign w:val="bottom"/>
            <w:hideMark/>
          </w:tcPr>
          <w:p w14:paraId="1D8C9B5D" w14:textId="77777777" w:rsidR="00B9311E" w:rsidRPr="00BD77D8" w:rsidRDefault="00B9311E" w:rsidP="00B9311E">
            <w:pPr>
              <w:spacing w:after="0" w:line="240" w:lineRule="auto"/>
              <w:jc w:val="right"/>
              <w:rPr>
                <w:sz w:val="18"/>
                <w:szCs w:val="18"/>
              </w:rPr>
            </w:pPr>
            <w:r w:rsidRPr="00BD77D8">
              <w:rPr>
                <w:sz w:val="18"/>
                <w:szCs w:val="18"/>
              </w:rPr>
              <w:t xml:space="preserve">             (13)</w:t>
            </w:r>
          </w:p>
        </w:tc>
        <w:tc>
          <w:tcPr>
            <w:tcW w:w="1137" w:type="dxa"/>
            <w:tcBorders>
              <w:top w:val="nil"/>
              <w:left w:val="nil"/>
              <w:bottom w:val="nil"/>
              <w:right w:val="nil"/>
            </w:tcBorders>
            <w:shd w:val="clear" w:color="auto" w:fill="auto"/>
            <w:noWrap/>
            <w:vAlign w:val="bottom"/>
            <w:hideMark/>
          </w:tcPr>
          <w:p w14:paraId="3630F57C"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48" w:type="dxa"/>
            <w:tcBorders>
              <w:top w:val="nil"/>
              <w:left w:val="nil"/>
              <w:bottom w:val="nil"/>
              <w:right w:val="nil"/>
            </w:tcBorders>
            <w:shd w:val="clear" w:color="auto" w:fill="auto"/>
            <w:vAlign w:val="bottom"/>
            <w:hideMark/>
          </w:tcPr>
          <w:p w14:paraId="0F466074" w14:textId="77777777" w:rsidR="00B9311E" w:rsidRPr="00BD77D8" w:rsidRDefault="00B9311E" w:rsidP="00B9311E">
            <w:pPr>
              <w:spacing w:after="0" w:line="240" w:lineRule="auto"/>
              <w:jc w:val="right"/>
              <w:rPr>
                <w:b/>
                <w:bCs/>
                <w:sz w:val="18"/>
                <w:szCs w:val="18"/>
              </w:rPr>
            </w:pPr>
            <w:r w:rsidRPr="00BD77D8">
              <w:rPr>
                <w:b/>
                <w:bCs/>
                <w:sz w:val="18"/>
                <w:szCs w:val="18"/>
              </w:rPr>
              <w:t xml:space="preserve">            (13)</w:t>
            </w:r>
          </w:p>
        </w:tc>
      </w:tr>
      <w:tr w:rsidR="00BD77D8" w:rsidRPr="00BD77D8" w14:paraId="3884AEDB" w14:textId="77777777" w:rsidTr="003057FB">
        <w:trPr>
          <w:trHeight w:val="21"/>
        </w:trPr>
        <w:tc>
          <w:tcPr>
            <w:tcW w:w="5404" w:type="dxa"/>
            <w:tcBorders>
              <w:top w:val="nil"/>
              <w:left w:val="nil"/>
              <w:bottom w:val="nil"/>
              <w:right w:val="nil"/>
            </w:tcBorders>
            <w:shd w:val="clear" w:color="auto" w:fill="auto"/>
            <w:noWrap/>
            <w:vAlign w:val="bottom"/>
            <w:hideMark/>
          </w:tcPr>
          <w:p w14:paraId="0170C7A2" w14:textId="77777777" w:rsidR="00B9311E" w:rsidRPr="00BD77D8" w:rsidRDefault="00B9311E" w:rsidP="00B9311E">
            <w:pPr>
              <w:spacing w:after="0" w:line="240" w:lineRule="auto"/>
              <w:rPr>
                <w:sz w:val="18"/>
                <w:szCs w:val="18"/>
              </w:rPr>
            </w:pPr>
            <w:r w:rsidRPr="00BD77D8">
              <w:rPr>
                <w:sz w:val="18"/>
                <w:szCs w:val="18"/>
              </w:rPr>
              <w:t xml:space="preserve"> Assets reclassified as held for sale </w:t>
            </w:r>
          </w:p>
        </w:tc>
        <w:tc>
          <w:tcPr>
            <w:tcW w:w="852" w:type="dxa"/>
            <w:tcBorders>
              <w:top w:val="nil"/>
              <w:left w:val="nil"/>
              <w:bottom w:val="nil"/>
              <w:right w:val="nil"/>
            </w:tcBorders>
            <w:shd w:val="clear" w:color="auto" w:fill="auto"/>
            <w:noWrap/>
            <w:vAlign w:val="bottom"/>
            <w:hideMark/>
          </w:tcPr>
          <w:p w14:paraId="5EA73943" w14:textId="77777777" w:rsidR="00B9311E" w:rsidRPr="00BD77D8" w:rsidRDefault="00B9311E" w:rsidP="00B9311E">
            <w:pPr>
              <w:spacing w:after="0" w:line="240" w:lineRule="auto"/>
              <w:jc w:val="right"/>
              <w:rPr>
                <w:sz w:val="18"/>
                <w:szCs w:val="18"/>
              </w:rPr>
            </w:pPr>
            <w:r w:rsidRPr="00BD77D8">
              <w:rPr>
                <w:sz w:val="18"/>
                <w:szCs w:val="18"/>
              </w:rPr>
              <w:t xml:space="preserve">        (500)</w:t>
            </w:r>
          </w:p>
        </w:tc>
        <w:tc>
          <w:tcPr>
            <w:tcW w:w="996" w:type="dxa"/>
            <w:tcBorders>
              <w:top w:val="nil"/>
              <w:left w:val="nil"/>
              <w:bottom w:val="nil"/>
              <w:right w:val="nil"/>
            </w:tcBorders>
            <w:shd w:val="clear" w:color="auto" w:fill="auto"/>
            <w:noWrap/>
            <w:vAlign w:val="bottom"/>
            <w:hideMark/>
          </w:tcPr>
          <w:p w14:paraId="504CAE02" w14:textId="77777777" w:rsidR="00B9311E" w:rsidRPr="00BD77D8" w:rsidRDefault="00B9311E" w:rsidP="00B9311E">
            <w:pPr>
              <w:spacing w:after="0" w:line="240" w:lineRule="auto"/>
              <w:jc w:val="right"/>
              <w:rPr>
                <w:sz w:val="18"/>
                <w:szCs w:val="18"/>
              </w:rPr>
            </w:pPr>
            <w:r w:rsidRPr="00BD77D8">
              <w:rPr>
                <w:sz w:val="18"/>
                <w:szCs w:val="18"/>
              </w:rPr>
              <w:t xml:space="preserve">        (380)</w:t>
            </w:r>
          </w:p>
        </w:tc>
        <w:tc>
          <w:tcPr>
            <w:tcW w:w="995" w:type="dxa"/>
            <w:tcBorders>
              <w:top w:val="nil"/>
              <w:left w:val="nil"/>
              <w:bottom w:val="nil"/>
              <w:right w:val="nil"/>
            </w:tcBorders>
            <w:shd w:val="clear" w:color="auto" w:fill="auto"/>
            <w:noWrap/>
            <w:vAlign w:val="bottom"/>
            <w:hideMark/>
          </w:tcPr>
          <w:p w14:paraId="28BC72E5" w14:textId="77777777" w:rsidR="00B9311E" w:rsidRPr="00BD77D8" w:rsidRDefault="00B9311E" w:rsidP="00B9311E">
            <w:pPr>
              <w:spacing w:after="0" w:line="240" w:lineRule="auto"/>
              <w:jc w:val="right"/>
              <w:rPr>
                <w:sz w:val="18"/>
                <w:szCs w:val="18"/>
              </w:rPr>
            </w:pPr>
          </w:p>
        </w:tc>
        <w:tc>
          <w:tcPr>
            <w:tcW w:w="1137" w:type="dxa"/>
            <w:tcBorders>
              <w:top w:val="nil"/>
              <w:left w:val="nil"/>
              <w:bottom w:val="nil"/>
              <w:right w:val="nil"/>
            </w:tcBorders>
            <w:shd w:val="clear" w:color="auto" w:fill="auto"/>
            <w:noWrap/>
            <w:vAlign w:val="bottom"/>
            <w:hideMark/>
          </w:tcPr>
          <w:p w14:paraId="609091CF" w14:textId="77777777" w:rsidR="00B9311E" w:rsidRPr="00BD77D8" w:rsidRDefault="00B9311E" w:rsidP="00B9311E">
            <w:pPr>
              <w:spacing w:after="0" w:line="240" w:lineRule="auto"/>
              <w:jc w:val="right"/>
              <w:rPr>
                <w:rFonts w:ascii="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25368B24" w14:textId="77777777" w:rsidR="00B9311E" w:rsidRPr="00BD77D8" w:rsidRDefault="00B9311E" w:rsidP="00B9311E">
            <w:pPr>
              <w:spacing w:after="0" w:line="240" w:lineRule="auto"/>
              <w:jc w:val="right"/>
              <w:rPr>
                <w:b/>
                <w:bCs/>
                <w:sz w:val="18"/>
                <w:szCs w:val="18"/>
              </w:rPr>
            </w:pPr>
            <w:r w:rsidRPr="00BD77D8">
              <w:rPr>
                <w:b/>
                <w:bCs/>
                <w:sz w:val="18"/>
                <w:szCs w:val="18"/>
              </w:rPr>
              <w:t xml:space="preserve">          (880)</w:t>
            </w:r>
          </w:p>
        </w:tc>
      </w:tr>
      <w:tr w:rsidR="00BD77D8" w:rsidRPr="00BD77D8" w14:paraId="1CA08124" w14:textId="77777777" w:rsidTr="003057FB">
        <w:trPr>
          <w:trHeight w:val="21"/>
        </w:trPr>
        <w:tc>
          <w:tcPr>
            <w:tcW w:w="5404" w:type="dxa"/>
            <w:tcBorders>
              <w:top w:val="nil"/>
              <w:left w:val="nil"/>
              <w:bottom w:val="nil"/>
              <w:right w:val="nil"/>
            </w:tcBorders>
            <w:shd w:val="clear" w:color="auto" w:fill="auto"/>
            <w:noWrap/>
            <w:vAlign w:val="bottom"/>
            <w:hideMark/>
          </w:tcPr>
          <w:p w14:paraId="5534EC09" w14:textId="77777777" w:rsidR="00B9311E" w:rsidRPr="00BD77D8" w:rsidRDefault="00B9311E" w:rsidP="00B9311E">
            <w:pPr>
              <w:spacing w:after="0" w:line="240" w:lineRule="auto"/>
              <w:rPr>
                <w:sz w:val="18"/>
                <w:szCs w:val="18"/>
              </w:rPr>
            </w:pPr>
            <w:r w:rsidRPr="00BD77D8">
              <w:rPr>
                <w:sz w:val="18"/>
                <w:szCs w:val="18"/>
              </w:rPr>
              <w:t xml:space="preserve"> Transfers between asset classes </w:t>
            </w:r>
          </w:p>
        </w:tc>
        <w:tc>
          <w:tcPr>
            <w:tcW w:w="852" w:type="dxa"/>
            <w:tcBorders>
              <w:top w:val="nil"/>
              <w:left w:val="nil"/>
              <w:bottom w:val="nil"/>
              <w:right w:val="nil"/>
            </w:tcBorders>
            <w:shd w:val="clear" w:color="auto" w:fill="auto"/>
            <w:noWrap/>
            <w:vAlign w:val="bottom"/>
            <w:hideMark/>
          </w:tcPr>
          <w:p w14:paraId="6A50055C"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6" w:type="dxa"/>
            <w:tcBorders>
              <w:top w:val="nil"/>
              <w:left w:val="nil"/>
              <w:bottom w:val="nil"/>
              <w:right w:val="nil"/>
            </w:tcBorders>
            <w:shd w:val="clear" w:color="auto" w:fill="auto"/>
            <w:noWrap/>
            <w:vAlign w:val="bottom"/>
            <w:hideMark/>
          </w:tcPr>
          <w:p w14:paraId="1AEA9070" w14:textId="77777777" w:rsidR="00B9311E" w:rsidRPr="00BD77D8" w:rsidRDefault="00B9311E" w:rsidP="00B9311E">
            <w:pPr>
              <w:spacing w:after="0" w:line="240" w:lineRule="auto"/>
              <w:jc w:val="right"/>
              <w:rPr>
                <w:sz w:val="18"/>
                <w:szCs w:val="18"/>
              </w:rPr>
            </w:pPr>
            <w:r w:rsidRPr="00BD77D8">
              <w:rPr>
                <w:sz w:val="18"/>
                <w:szCs w:val="18"/>
              </w:rPr>
              <w:t xml:space="preserve">      1,420 </w:t>
            </w:r>
          </w:p>
        </w:tc>
        <w:tc>
          <w:tcPr>
            <w:tcW w:w="995" w:type="dxa"/>
            <w:tcBorders>
              <w:top w:val="nil"/>
              <w:left w:val="nil"/>
              <w:bottom w:val="nil"/>
              <w:right w:val="nil"/>
            </w:tcBorders>
            <w:shd w:val="clear" w:color="auto" w:fill="auto"/>
            <w:noWrap/>
            <w:vAlign w:val="bottom"/>
            <w:hideMark/>
          </w:tcPr>
          <w:p w14:paraId="33B3CF63" w14:textId="77777777" w:rsidR="00B9311E" w:rsidRPr="00BD77D8" w:rsidRDefault="00B9311E" w:rsidP="00B9311E">
            <w:pPr>
              <w:spacing w:after="0" w:line="240" w:lineRule="auto"/>
              <w:jc w:val="right"/>
              <w:rPr>
                <w:sz w:val="18"/>
                <w:szCs w:val="18"/>
              </w:rPr>
            </w:pPr>
            <w:r w:rsidRPr="00BD77D8">
              <w:rPr>
                <w:sz w:val="18"/>
                <w:szCs w:val="18"/>
              </w:rPr>
              <w:t xml:space="preserve">               22 </w:t>
            </w:r>
          </w:p>
        </w:tc>
        <w:tc>
          <w:tcPr>
            <w:tcW w:w="1137" w:type="dxa"/>
            <w:tcBorders>
              <w:top w:val="nil"/>
              <w:left w:val="nil"/>
              <w:bottom w:val="nil"/>
              <w:right w:val="nil"/>
            </w:tcBorders>
            <w:shd w:val="clear" w:color="auto" w:fill="auto"/>
            <w:noWrap/>
            <w:vAlign w:val="bottom"/>
            <w:hideMark/>
          </w:tcPr>
          <w:p w14:paraId="1427D35F" w14:textId="77777777" w:rsidR="00B9311E" w:rsidRPr="00BD77D8" w:rsidRDefault="00B9311E" w:rsidP="00B9311E">
            <w:pPr>
              <w:spacing w:after="0" w:line="240" w:lineRule="auto"/>
              <w:jc w:val="right"/>
              <w:rPr>
                <w:sz w:val="18"/>
                <w:szCs w:val="18"/>
              </w:rPr>
            </w:pPr>
            <w:r w:rsidRPr="00BD77D8">
              <w:rPr>
                <w:sz w:val="18"/>
                <w:szCs w:val="18"/>
              </w:rPr>
              <w:t xml:space="preserve">     (1,442)</w:t>
            </w:r>
          </w:p>
        </w:tc>
        <w:tc>
          <w:tcPr>
            <w:tcW w:w="948" w:type="dxa"/>
            <w:tcBorders>
              <w:top w:val="nil"/>
              <w:left w:val="nil"/>
              <w:bottom w:val="nil"/>
              <w:right w:val="nil"/>
            </w:tcBorders>
            <w:shd w:val="clear" w:color="auto" w:fill="auto"/>
            <w:vAlign w:val="bottom"/>
            <w:hideMark/>
          </w:tcPr>
          <w:p w14:paraId="56E4A526"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r>
      <w:tr w:rsidR="00BD77D8" w:rsidRPr="00BD77D8" w14:paraId="10C39912" w14:textId="77777777" w:rsidTr="003057FB">
        <w:trPr>
          <w:trHeight w:val="21"/>
        </w:trPr>
        <w:tc>
          <w:tcPr>
            <w:tcW w:w="5404" w:type="dxa"/>
            <w:tcBorders>
              <w:top w:val="nil"/>
              <w:left w:val="nil"/>
              <w:bottom w:val="nil"/>
              <w:right w:val="nil"/>
            </w:tcBorders>
            <w:shd w:val="clear" w:color="auto" w:fill="auto"/>
            <w:noWrap/>
            <w:vAlign w:val="bottom"/>
            <w:hideMark/>
          </w:tcPr>
          <w:p w14:paraId="54870FDA" w14:textId="77777777" w:rsidR="00B9311E" w:rsidRPr="00BD77D8" w:rsidRDefault="00B9311E" w:rsidP="00B9311E">
            <w:pPr>
              <w:spacing w:after="0" w:line="240" w:lineRule="auto"/>
              <w:rPr>
                <w:sz w:val="18"/>
                <w:szCs w:val="18"/>
              </w:rPr>
            </w:pPr>
            <w:r w:rsidRPr="00BD77D8">
              <w:rPr>
                <w:sz w:val="18"/>
                <w:szCs w:val="18"/>
              </w:rPr>
              <w:t xml:space="preserve"> Net revaluation increments recognised in Operating Result </w:t>
            </w:r>
          </w:p>
        </w:tc>
        <w:tc>
          <w:tcPr>
            <w:tcW w:w="852" w:type="dxa"/>
            <w:tcBorders>
              <w:top w:val="nil"/>
              <w:left w:val="nil"/>
              <w:bottom w:val="nil"/>
              <w:right w:val="nil"/>
            </w:tcBorders>
            <w:shd w:val="clear" w:color="auto" w:fill="auto"/>
            <w:noWrap/>
            <w:vAlign w:val="bottom"/>
            <w:hideMark/>
          </w:tcPr>
          <w:p w14:paraId="5C780CDD" w14:textId="77777777" w:rsidR="00B9311E" w:rsidRPr="00BD77D8" w:rsidRDefault="00B9311E" w:rsidP="00B9311E">
            <w:pPr>
              <w:spacing w:after="0" w:line="240" w:lineRule="auto"/>
              <w:jc w:val="right"/>
              <w:rPr>
                <w:sz w:val="18"/>
                <w:szCs w:val="18"/>
              </w:rPr>
            </w:pPr>
            <w:r w:rsidRPr="00BD77D8">
              <w:rPr>
                <w:sz w:val="18"/>
                <w:szCs w:val="18"/>
              </w:rPr>
              <w:t xml:space="preserve">      6,296 </w:t>
            </w:r>
          </w:p>
        </w:tc>
        <w:tc>
          <w:tcPr>
            <w:tcW w:w="996" w:type="dxa"/>
            <w:tcBorders>
              <w:top w:val="nil"/>
              <w:left w:val="nil"/>
              <w:bottom w:val="nil"/>
              <w:right w:val="nil"/>
            </w:tcBorders>
            <w:shd w:val="clear" w:color="auto" w:fill="auto"/>
            <w:noWrap/>
            <w:vAlign w:val="bottom"/>
            <w:hideMark/>
          </w:tcPr>
          <w:p w14:paraId="04925EFE" w14:textId="77777777" w:rsidR="00B9311E" w:rsidRPr="00BD77D8" w:rsidRDefault="00B9311E" w:rsidP="00B9311E">
            <w:pPr>
              <w:spacing w:after="0" w:line="240" w:lineRule="auto"/>
              <w:jc w:val="right"/>
              <w:rPr>
                <w:sz w:val="18"/>
                <w:szCs w:val="18"/>
              </w:rPr>
            </w:pPr>
            <w:r w:rsidRPr="00BD77D8">
              <w:rPr>
                <w:sz w:val="18"/>
                <w:szCs w:val="18"/>
              </w:rPr>
              <w:t xml:space="preserve">    22,273 </w:t>
            </w:r>
          </w:p>
        </w:tc>
        <w:tc>
          <w:tcPr>
            <w:tcW w:w="995" w:type="dxa"/>
            <w:tcBorders>
              <w:top w:val="nil"/>
              <w:left w:val="nil"/>
              <w:bottom w:val="nil"/>
              <w:right w:val="nil"/>
            </w:tcBorders>
            <w:shd w:val="clear" w:color="auto" w:fill="auto"/>
            <w:noWrap/>
            <w:vAlign w:val="bottom"/>
            <w:hideMark/>
          </w:tcPr>
          <w:p w14:paraId="7E52EE8B"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37" w:type="dxa"/>
            <w:tcBorders>
              <w:top w:val="nil"/>
              <w:left w:val="nil"/>
              <w:bottom w:val="nil"/>
              <w:right w:val="nil"/>
            </w:tcBorders>
            <w:shd w:val="clear" w:color="auto" w:fill="auto"/>
            <w:noWrap/>
            <w:vAlign w:val="bottom"/>
            <w:hideMark/>
          </w:tcPr>
          <w:p w14:paraId="4E963425"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48" w:type="dxa"/>
            <w:tcBorders>
              <w:top w:val="nil"/>
              <w:left w:val="nil"/>
              <w:bottom w:val="nil"/>
              <w:right w:val="nil"/>
            </w:tcBorders>
            <w:shd w:val="clear" w:color="auto" w:fill="auto"/>
            <w:vAlign w:val="bottom"/>
            <w:hideMark/>
          </w:tcPr>
          <w:p w14:paraId="735B4DC6" w14:textId="77777777" w:rsidR="00B9311E" w:rsidRPr="00BD77D8" w:rsidRDefault="00B9311E" w:rsidP="00B9311E">
            <w:pPr>
              <w:spacing w:after="0" w:line="240" w:lineRule="auto"/>
              <w:jc w:val="right"/>
              <w:rPr>
                <w:b/>
                <w:bCs/>
                <w:sz w:val="18"/>
                <w:szCs w:val="18"/>
              </w:rPr>
            </w:pPr>
            <w:r w:rsidRPr="00BD77D8">
              <w:rPr>
                <w:b/>
                <w:bCs/>
                <w:sz w:val="18"/>
                <w:szCs w:val="18"/>
              </w:rPr>
              <w:t xml:space="preserve">      28,569 </w:t>
            </w:r>
          </w:p>
        </w:tc>
      </w:tr>
      <w:tr w:rsidR="00BD77D8" w:rsidRPr="00BD77D8" w14:paraId="4FD2B0FA" w14:textId="77777777" w:rsidTr="003057FB">
        <w:trPr>
          <w:trHeight w:val="21"/>
        </w:trPr>
        <w:tc>
          <w:tcPr>
            <w:tcW w:w="5404" w:type="dxa"/>
            <w:tcBorders>
              <w:top w:val="nil"/>
              <w:left w:val="nil"/>
              <w:bottom w:val="nil"/>
              <w:right w:val="nil"/>
            </w:tcBorders>
            <w:shd w:val="clear" w:color="auto" w:fill="auto"/>
            <w:noWrap/>
            <w:vAlign w:val="bottom"/>
            <w:hideMark/>
          </w:tcPr>
          <w:p w14:paraId="3AD40FFF" w14:textId="77777777" w:rsidR="00B9311E" w:rsidRPr="00BD77D8" w:rsidRDefault="00B9311E" w:rsidP="00B9311E">
            <w:pPr>
              <w:spacing w:after="0" w:line="240" w:lineRule="auto"/>
              <w:rPr>
                <w:sz w:val="18"/>
                <w:szCs w:val="18"/>
              </w:rPr>
            </w:pPr>
            <w:r w:rsidRPr="00BD77D8">
              <w:rPr>
                <w:sz w:val="18"/>
                <w:szCs w:val="18"/>
              </w:rPr>
              <w:t xml:space="preserve"> Transfer of assets to other entities * </w:t>
            </w:r>
          </w:p>
        </w:tc>
        <w:tc>
          <w:tcPr>
            <w:tcW w:w="852" w:type="dxa"/>
            <w:tcBorders>
              <w:top w:val="nil"/>
              <w:left w:val="nil"/>
              <w:bottom w:val="nil"/>
              <w:right w:val="nil"/>
            </w:tcBorders>
            <w:shd w:val="clear" w:color="auto" w:fill="auto"/>
            <w:noWrap/>
            <w:vAlign w:val="bottom"/>
            <w:hideMark/>
          </w:tcPr>
          <w:p w14:paraId="747675E9" w14:textId="77777777" w:rsidR="00B9311E" w:rsidRPr="00BD77D8" w:rsidRDefault="00B9311E" w:rsidP="00B9311E">
            <w:pPr>
              <w:spacing w:after="0" w:line="240" w:lineRule="auto"/>
              <w:jc w:val="right"/>
              <w:rPr>
                <w:sz w:val="18"/>
                <w:szCs w:val="18"/>
              </w:rPr>
            </w:pPr>
            <w:r w:rsidRPr="00BD77D8">
              <w:rPr>
                <w:sz w:val="18"/>
                <w:szCs w:val="18"/>
              </w:rPr>
              <w:t xml:space="preserve">        (495)</w:t>
            </w:r>
          </w:p>
        </w:tc>
        <w:tc>
          <w:tcPr>
            <w:tcW w:w="996" w:type="dxa"/>
            <w:tcBorders>
              <w:top w:val="nil"/>
              <w:left w:val="nil"/>
              <w:bottom w:val="nil"/>
              <w:right w:val="nil"/>
            </w:tcBorders>
            <w:shd w:val="clear" w:color="auto" w:fill="auto"/>
            <w:noWrap/>
            <w:vAlign w:val="bottom"/>
            <w:hideMark/>
          </w:tcPr>
          <w:p w14:paraId="7F966866" w14:textId="77777777" w:rsidR="00B9311E" w:rsidRPr="00BD77D8" w:rsidRDefault="00B9311E" w:rsidP="00B9311E">
            <w:pPr>
              <w:spacing w:after="0" w:line="240" w:lineRule="auto"/>
              <w:jc w:val="right"/>
              <w:rPr>
                <w:sz w:val="18"/>
                <w:szCs w:val="18"/>
              </w:rPr>
            </w:pPr>
            <w:r w:rsidRPr="00BD77D8">
              <w:rPr>
                <w:sz w:val="18"/>
                <w:szCs w:val="18"/>
              </w:rPr>
              <w:t xml:space="preserve">     (1,109)</w:t>
            </w:r>
          </w:p>
        </w:tc>
        <w:tc>
          <w:tcPr>
            <w:tcW w:w="995" w:type="dxa"/>
            <w:tcBorders>
              <w:top w:val="nil"/>
              <w:left w:val="nil"/>
              <w:bottom w:val="nil"/>
              <w:right w:val="nil"/>
            </w:tcBorders>
            <w:shd w:val="clear" w:color="auto" w:fill="auto"/>
            <w:noWrap/>
            <w:vAlign w:val="bottom"/>
            <w:hideMark/>
          </w:tcPr>
          <w:p w14:paraId="482FFB87"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37" w:type="dxa"/>
            <w:tcBorders>
              <w:top w:val="nil"/>
              <w:left w:val="nil"/>
              <w:bottom w:val="nil"/>
              <w:right w:val="nil"/>
            </w:tcBorders>
            <w:shd w:val="clear" w:color="auto" w:fill="auto"/>
            <w:noWrap/>
            <w:vAlign w:val="bottom"/>
            <w:hideMark/>
          </w:tcPr>
          <w:p w14:paraId="73D1483A"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48" w:type="dxa"/>
            <w:tcBorders>
              <w:top w:val="nil"/>
              <w:left w:val="nil"/>
              <w:bottom w:val="nil"/>
              <w:right w:val="nil"/>
            </w:tcBorders>
            <w:shd w:val="clear" w:color="auto" w:fill="auto"/>
            <w:vAlign w:val="bottom"/>
            <w:hideMark/>
          </w:tcPr>
          <w:p w14:paraId="3ECCBF46" w14:textId="77777777" w:rsidR="00B9311E" w:rsidRPr="00BD77D8" w:rsidRDefault="00B9311E" w:rsidP="00B9311E">
            <w:pPr>
              <w:spacing w:after="0" w:line="240" w:lineRule="auto"/>
              <w:jc w:val="right"/>
              <w:rPr>
                <w:b/>
                <w:bCs/>
                <w:sz w:val="18"/>
                <w:szCs w:val="18"/>
              </w:rPr>
            </w:pPr>
            <w:r w:rsidRPr="00BD77D8">
              <w:rPr>
                <w:b/>
                <w:bCs/>
                <w:sz w:val="18"/>
                <w:szCs w:val="18"/>
              </w:rPr>
              <w:t xml:space="preserve">      (1,604)</w:t>
            </w:r>
          </w:p>
        </w:tc>
      </w:tr>
      <w:tr w:rsidR="00BD77D8" w:rsidRPr="00BD77D8" w14:paraId="419CFD9A" w14:textId="77777777" w:rsidTr="003057FB">
        <w:trPr>
          <w:trHeight w:val="21"/>
        </w:trPr>
        <w:tc>
          <w:tcPr>
            <w:tcW w:w="5404" w:type="dxa"/>
            <w:tcBorders>
              <w:top w:val="nil"/>
              <w:left w:val="nil"/>
              <w:bottom w:val="nil"/>
              <w:right w:val="nil"/>
            </w:tcBorders>
            <w:shd w:val="clear" w:color="auto" w:fill="auto"/>
            <w:noWrap/>
            <w:vAlign w:val="bottom"/>
            <w:hideMark/>
          </w:tcPr>
          <w:p w14:paraId="60DC4AC6" w14:textId="77777777" w:rsidR="00B9311E" w:rsidRPr="00BD77D8" w:rsidRDefault="00B9311E" w:rsidP="00B9311E">
            <w:pPr>
              <w:spacing w:after="0" w:line="240" w:lineRule="auto"/>
              <w:rPr>
                <w:sz w:val="18"/>
                <w:szCs w:val="18"/>
              </w:rPr>
            </w:pPr>
            <w:r w:rsidRPr="00BD77D8">
              <w:rPr>
                <w:sz w:val="18"/>
                <w:szCs w:val="18"/>
              </w:rPr>
              <w:t xml:space="preserve"> Depreciation charge </w:t>
            </w:r>
          </w:p>
        </w:tc>
        <w:tc>
          <w:tcPr>
            <w:tcW w:w="852" w:type="dxa"/>
            <w:tcBorders>
              <w:top w:val="nil"/>
              <w:left w:val="nil"/>
              <w:bottom w:val="nil"/>
              <w:right w:val="nil"/>
            </w:tcBorders>
            <w:shd w:val="clear" w:color="auto" w:fill="auto"/>
            <w:noWrap/>
            <w:vAlign w:val="bottom"/>
            <w:hideMark/>
          </w:tcPr>
          <w:p w14:paraId="7E2D739B"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6" w:type="dxa"/>
            <w:tcBorders>
              <w:top w:val="nil"/>
              <w:left w:val="nil"/>
              <w:bottom w:val="nil"/>
              <w:right w:val="nil"/>
            </w:tcBorders>
            <w:shd w:val="clear" w:color="auto" w:fill="auto"/>
            <w:noWrap/>
            <w:vAlign w:val="bottom"/>
            <w:hideMark/>
          </w:tcPr>
          <w:p w14:paraId="30B8EDCE" w14:textId="77777777" w:rsidR="00B9311E" w:rsidRPr="00BD77D8" w:rsidRDefault="00B9311E" w:rsidP="00B9311E">
            <w:pPr>
              <w:spacing w:after="0" w:line="240" w:lineRule="auto"/>
              <w:jc w:val="right"/>
              <w:rPr>
                <w:sz w:val="18"/>
                <w:szCs w:val="18"/>
              </w:rPr>
            </w:pPr>
            <w:r w:rsidRPr="00BD77D8">
              <w:rPr>
                <w:sz w:val="18"/>
                <w:szCs w:val="18"/>
              </w:rPr>
              <w:t xml:space="preserve">     (3,222)</w:t>
            </w:r>
          </w:p>
        </w:tc>
        <w:tc>
          <w:tcPr>
            <w:tcW w:w="995" w:type="dxa"/>
            <w:tcBorders>
              <w:top w:val="nil"/>
              <w:left w:val="nil"/>
              <w:bottom w:val="nil"/>
              <w:right w:val="nil"/>
            </w:tcBorders>
            <w:shd w:val="clear" w:color="auto" w:fill="auto"/>
            <w:noWrap/>
            <w:vAlign w:val="bottom"/>
            <w:hideMark/>
          </w:tcPr>
          <w:p w14:paraId="4187D246" w14:textId="77777777" w:rsidR="00B9311E" w:rsidRPr="00BD77D8" w:rsidRDefault="00B9311E" w:rsidP="00B9311E">
            <w:pPr>
              <w:spacing w:after="0" w:line="240" w:lineRule="auto"/>
              <w:jc w:val="right"/>
              <w:rPr>
                <w:sz w:val="18"/>
                <w:szCs w:val="18"/>
              </w:rPr>
            </w:pPr>
            <w:r w:rsidRPr="00BD77D8">
              <w:rPr>
                <w:sz w:val="18"/>
                <w:szCs w:val="18"/>
              </w:rPr>
              <w:t xml:space="preserve">           (479)</w:t>
            </w:r>
          </w:p>
        </w:tc>
        <w:tc>
          <w:tcPr>
            <w:tcW w:w="1137" w:type="dxa"/>
            <w:tcBorders>
              <w:top w:val="nil"/>
              <w:left w:val="nil"/>
              <w:bottom w:val="nil"/>
              <w:right w:val="nil"/>
            </w:tcBorders>
            <w:shd w:val="clear" w:color="auto" w:fill="auto"/>
            <w:noWrap/>
            <w:vAlign w:val="bottom"/>
            <w:hideMark/>
          </w:tcPr>
          <w:p w14:paraId="129AAA7D"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48" w:type="dxa"/>
            <w:tcBorders>
              <w:top w:val="nil"/>
              <w:left w:val="nil"/>
              <w:bottom w:val="single" w:sz="4" w:space="0" w:color="auto"/>
              <w:right w:val="nil"/>
            </w:tcBorders>
            <w:shd w:val="clear" w:color="auto" w:fill="auto"/>
            <w:vAlign w:val="bottom"/>
            <w:hideMark/>
          </w:tcPr>
          <w:p w14:paraId="528B35D5" w14:textId="77777777" w:rsidR="00B9311E" w:rsidRPr="00BD77D8" w:rsidRDefault="00B9311E" w:rsidP="00B9311E">
            <w:pPr>
              <w:spacing w:after="0" w:line="240" w:lineRule="auto"/>
              <w:jc w:val="right"/>
              <w:rPr>
                <w:b/>
                <w:bCs/>
                <w:sz w:val="18"/>
                <w:szCs w:val="18"/>
              </w:rPr>
            </w:pPr>
            <w:r w:rsidRPr="00BD77D8">
              <w:rPr>
                <w:b/>
                <w:bCs/>
                <w:sz w:val="18"/>
                <w:szCs w:val="18"/>
              </w:rPr>
              <w:t xml:space="preserve">      (3,701)</w:t>
            </w:r>
          </w:p>
        </w:tc>
      </w:tr>
      <w:tr w:rsidR="00BD77D8" w:rsidRPr="00BD77D8" w14:paraId="0FFE9A0C" w14:textId="77777777" w:rsidTr="003057FB">
        <w:trPr>
          <w:trHeight w:val="21"/>
        </w:trPr>
        <w:tc>
          <w:tcPr>
            <w:tcW w:w="5404" w:type="dxa"/>
            <w:tcBorders>
              <w:top w:val="nil"/>
              <w:left w:val="nil"/>
              <w:bottom w:val="nil"/>
              <w:right w:val="nil"/>
            </w:tcBorders>
            <w:shd w:val="clear" w:color="auto" w:fill="auto"/>
            <w:noWrap/>
            <w:vAlign w:val="bottom"/>
            <w:hideMark/>
          </w:tcPr>
          <w:p w14:paraId="3EB9D2E3" w14:textId="77777777" w:rsidR="00B9311E" w:rsidRPr="00BD77D8" w:rsidRDefault="00B9311E" w:rsidP="00B9311E">
            <w:pPr>
              <w:spacing w:after="0" w:line="240" w:lineRule="auto"/>
              <w:rPr>
                <w:b/>
                <w:bCs/>
                <w:sz w:val="18"/>
                <w:szCs w:val="18"/>
              </w:rPr>
            </w:pPr>
            <w:r w:rsidRPr="00BD77D8">
              <w:rPr>
                <w:b/>
                <w:bCs/>
                <w:sz w:val="18"/>
                <w:szCs w:val="18"/>
              </w:rPr>
              <w:t xml:space="preserve"> Carrying amount at 30 June 2022 </w:t>
            </w:r>
          </w:p>
        </w:tc>
        <w:tc>
          <w:tcPr>
            <w:tcW w:w="852" w:type="dxa"/>
            <w:tcBorders>
              <w:top w:val="single" w:sz="4" w:space="0" w:color="auto"/>
              <w:left w:val="nil"/>
              <w:bottom w:val="single" w:sz="4" w:space="0" w:color="auto"/>
              <w:right w:val="nil"/>
            </w:tcBorders>
            <w:shd w:val="clear" w:color="auto" w:fill="auto"/>
            <w:vAlign w:val="bottom"/>
            <w:hideMark/>
          </w:tcPr>
          <w:p w14:paraId="79DC356A" w14:textId="77777777" w:rsidR="00B9311E" w:rsidRPr="00BD77D8" w:rsidRDefault="00B9311E" w:rsidP="00B9311E">
            <w:pPr>
              <w:spacing w:after="0" w:line="240" w:lineRule="auto"/>
              <w:jc w:val="right"/>
              <w:rPr>
                <w:b/>
                <w:bCs/>
                <w:sz w:val="18"/>
                <w:szCs w:val="18"/>
              </w:rPr>
            </w:pPr>
            <w:r w:rsidRPr="00BD77D8">
              <w:rPr>
                <w:b/>
                <w:bCs/>
                <w:sz w:val="18"/>
                <w:szCs w:val="18"/>
              </w:rPr>
              <w:t xml:space="preserve">    55,964 </w:t>
            </w:r>
          </w:p>
        </w:tc>
        <w:tc>
          <w:tcPr>
            <w:tcW w:w="996" w:type="dxa"/>
            <w:tcBorders>
              <w:top w:val="single" w:sz="4" w:space="0" w:color="auto"/>
              <w:left w:val="nil"/>
              <w:bottom w:val="single" w:sz="4" w:space="0" w:color="auto"/>
              <w:right w:val="nil"/>
            </w:tcBorders>
            <w:shd w:val="clear" w:color="auto" w:fill="auto"/>
            <w:vAlign w:val="bottom"/>
            <w:hideMark/>
          </w:tcPr>
          <w:p w14:paraId="0FFA1361" w14:textId="77777777" w:rsidR="00B9311E" w:rsidRPr="00BD77D8" w:rsidRDefault="00B9311E" w:rsidP="00B9311E">
            <w:pPr>
              <w:spacing w:after="0" w:line="240" w:lineRule="auto"/>
              <w:jc w:val="right"/>
              <w:rPr>
                <w:b/>
                <w:bCs/>
                <w:sz w:val="18"/>
                <w:szCs w:val="18"/>
              </w:rPr>
            </w:pPr>
            <w:r w:rsidRPr="00BD77D8">
              <w:rPr>
                <w:b/>
                <w:bCs/>
                <w:sz w:val="18"/>
                <w:szCs w:val="18"/>
              </w:rPr>
              <w:t xml:space="preserve">  146,386 </w:t>
            </w:r>
          </w:p>
        </w:tc>
        <w:tc>
          <w:tcPr>
            <w:tcW w:w="995" w:type="dxa"/>
            <w:tcBorders>
              <w:top w:val="single" w:sz="4" w:space="0" w:color="auto"/>
              <w:left w:val="nil"/>
              <w:bottom w:val="single" w:sz="4" w:space="0" w:color="auto"/>
              <w:right w:val="nil"/>
            </w:tcBorders>
            <w:shd w:val="clear" w:color="auto" w:fill="auto"/>
            <w:vAlign w:val="bottom"/>
            <w:hideMark/>
          </w:tcPr>
          <w:p w14:paraId="07C62B10" w14:textId="77777777" w:rsidR="00B9311E" w:rsidRPr="00BD77D8" w:rsidRDefault="00B9311E" w:rsidP="00B9311E">
            <w:pPr>
              <w:spacing w:after="0" w:line="240" w:lineRule="auto"/>
              <w:jc w:val="right"/>
              <w:rPr>
                <w:b/>
                <w:bCs/>
                <w:sz w:val="18"/>
                <w:szCs w:val="18"/>
              </w:rPr>
            </w:pPr>
            <w:r w:rsidRPr="00BD77D8">
              <w:rPr>
                <w:b/>
                <w:bCs/>
                <w:sz w:val="18"/>
                <w:szCs w:val="18"/>
              </w:rPr>
              <w:t xml:space="preserve">         1,473 </w:t>
            </w:r>
          </w:p>
        </w:tc>
        <w:tc>
          <w:tcPr>
            <w:tcW w:w="1137" w:type="dxa"/>
            <w:tcBorders>
              <w:top w:val="single" w:sz="4" w:space="0" w:color="auto"/>
              <w:left w:val="nil"/>
              <w:bottom w:val="single" w:sz="4" w:space="0" w:color="auto"/>
              <w:right w:val="nil"/>
            </w:tcBorders>
            <w:shd w:val="clear" w:color="auto" w:fill="auto"/>
            <w:vAlign w:val="bottom"/>
            <w:hideMark/>
          </w:tcPr>
          <w:p w14:paraId="586EA87A" w14:textId="77777777" w:rsidR="00B9311E" w:rsidRPr="00BD77D8" w:rsidRDefault="00B9311E" w:rsidP="00B9311E">
            <w:pPr>
              <w:spacing w:after="0" w:line="240" w:lineRule="auto"/>
              <w:jc w:val="right"/>
              <w:rPr>
                <w:b/>
                <w:bCs/>
                <w:sz w:val="18"/>
                <w:szCs w:val="18"/>
              </w:rPr>
            </w:pPr>
            <w:r w:rsidRPr="00BD77D8">
              <w:rPr>
                <w:b/>
                <w:bCs/>
                <w:sz w:val="18"/>
                <w:szCs w:val="18"/>
              </w:rPr>
              <w:t xml:space="preserve">      1,350 </w:t>
            </w:r>
          </w:p>
        </w:tc>
        <w:tc>
          <w:tcPr>
            <w:tcW w:w="948" w:type="dxa"/>
            <w:tcBorders>
              <w:top w:val="single" w:sz="4" w:space="0" w:color="auto"/>
              <w:left w:val="nil"/>
              <w:bottom w:val="single" w:sz="4" w:space="0" w:color="auto"/>
              <w:right w:val="nil"/>
            </w:tcBorders>
            <w:shd w:val="clear" w:color="auto" w:fill="auto"/>
            <w:vAlign w:val="bottom"/>
            <w:hideMark/>
          </w:tcPr>
          <w:p w14:paraId="28423BD8" w14:textId="77777777" w:rsidR="00B9311E" w:rsidRPr="00BD77D8" w:rsidRDefault="00B9311E" w:rsidP="00B9311E">
            <w:pPr>
              <w:spacing w:after="0" w:line="240" w:lineRule="auto"/>
              <w:jc w:val="right"/>
              <w:rPr>
                <w:b/>
                <w:bCs/>
                <w:sz w:val="18"/>
                <w:szCs w:val="18"/>
              </w:rPr>
            </w:pPr>
            <w:r w:rsidRPr="00BD77D8">
              <w:rPr>
                <w:b/>
                <w:bCs/>
                <w:sz w:val="18"/>
                <w:szCs w:val="18"/>
              </w:rPr>
              <w:t xml:space="preserve">   205,173 </w:t>
            </w:r>
          </w:p>
        </w:tc>
      </w:tr>
    </w:tbl>
    <w:p w14:paraId="068D0642" w14:textId="77777777" w:rsidR="00B9311E" w:rsidRPr="00BD77D8" w:rsidRDefault="00B9311E" w:rsidP="00760ABD">
      <w:pPr>
        <w:spacing w:before="200" w:line="205" w:lineRule="exact"/>
        <w:textAlignment w:val="baseline"/>
        <w:rPr>
          <w:rFonts w:eastAsia="PMingLiU"/>
          <w:b/>
          <w:bCs/>
          <w:sz w:val="16"/>
          <w:szCs w:val="20"/>
          <w:lang w:eastAsia="en-US"/>
        </w:rPr>
      </w:pPr>
      <w:bookmarkStart w:id="159" w:name="_Hlk108627203"/>
      <w:r w:rsidRPr="00BD77D8">
        <w:rPr>
          <w:rFonts w:eastAsia="PMingLiU"/>
          <w:sz w:val="16"/>
          <w:szCs w:val="20"/>
          <w:lang w:eastAsia="en-US"/>
        </w:rPr>
        <w:t># Refer to Note B2-5 for further information.</w:t>
      </w:r>
    </w:p>
    <w:p w14:paraId="08B6C6E3" w14:textId="77777777" w:rsidR="00B9311E" w:rsidRPr="00BD77D8" w:rsidRDefault="00B9311E" w:rsidP="00760ABD">
      <w:pPr>
        <w:spacing w:line="205" w:lineRule="exact"/>
        <w:textAlignment w:val="baseline"/>
        <w:rPr>
          <w:rFonts w:eastAsia="PMingLiU"/>
          <w:b/>
          <w:bCs/>
          <w:sz w:val="16"/>
          <w:szCs w:val="20"/>
          <w:lang w:eastAsia="en-US"/>
        </w:rPr>
      </w:pPr>
      <w:r w:rsidRPr="00BD77D8">
        <w:rPr>
          <w:rFonts w:eastAsia="PMingLiU"/>
          <w:sz w:val="16"/>
          <w:szCs w:val="20"/>
          <w:lang w:eastAsia="en-US"/>
        </w:rPr>
        <w:t>^</w:t>
      </w:r>
      <w:r w:rsidRPr="00BD77D8">
        <w:rPr>
          <w:rFonts w:eastAsia="PMingLiU"/>
          <w:sz w:val="18"/>
          <w:szCs w:val="22"/>
          <w:lang w:eastAsia="en-US"/>
        </w:rPr>
        <w:t xml:space="preserve"> </w:t>
      </w:r>
      <w:r w:rsidRPr="00BD77D8">
        <w:rPr>
          <w:rFonts w:eastAsia="PMingLiU"/>
          <w:sz w:val="16"/>
          <w:szCs w:val="20"/>
          <w:lang w:eastAsia="en-US"/>
        </w:rPr>
        <w:t>Final transfer of assets to the Department of Communities, Housing and Digital Economy. Refer to note A4 Machinery-of-Government (</w:t>
      </w:r>
      <w:proofErr w:type="spellStart"/>
      <w:r w:rsidRPr="00BD77D8">
        <w:rPr>
          <w:rFonts w:eastAsia="PMingLiU"/>
          <w:sz w:val="16"/>
          <w:szCs w:val="20"/>
          <w:lang w:eastAsia="en-US"/>
        </w:rPr>
        <w:t>MoG</w:t>
      </w:r>
      <w:proofErr w:type="spellEnd"/>
      <w:r w:rsidRPr="00BD77D8">
        <w:rPr>
          <w:rFonts w:eastAsia="PMingLiU"/>
          <w:sz w:val="16"/>
          <w:szCs w:val="20"/>
          <w:lang w:eastAsia="en-US"/>
        </w:rPr>
        <w:t>) Changes.</w:t>
      </w:r>
    </w:p>
    <w:p w14:paraId="6A59735C" w14:textId="77777777" w:rsidR="00B9311E" w:rsidRPr="00BD77D8" w:rsidRDefault="00B9311E" w:rsidP="00B9311E">
      <w:pPr>
        <w:spacing w:after="0" w:line="205" w:lineRule="exact"/>
        <w:textAlignment w:val="baseline"/>
        <w:rPr>
          <w:rFonts w:eastAsia="PMingLiU"/>
          <w:b/>
          <w:bCs/>
          <w:sz w:val="16"/>
          <w:szCs w:val="20"/>
          <w:lang w:eastAsia="en-US"/>
        </w:rPr>
      </w:pPr>
      <w:r w:rsidRPr="00BD77D8">
        <w:rPr>
          <w:rFonts w:eastAsia="Arial"/>
          <w:iCs/>
          <w:spacing w:val="-3"/>
          <w:sz w:val="16"/>
          <w:szCs w:val="16"/>
          <w:lang w:eastAsia="en-US"/>
        </w:rPr>
        <w:t xml:space="preserve">*The department transferred land </w:t>
      </w:r>
      <w:r w:rsidRPr="00BD77D8">
        <w:rPr>
          <w:rFonts w:eastAsia="PMingLiU"/>
          <w:sz w:val="16"/>
          <w:szCs w:val="20"/>
          <w:lang w:eastAsia="en-US"/>
        </w:rPr>
        <w:t xml:space="preserve">and building, </w:t>
      </w:r>
      <w:proofErr w:type="spellStart"/>
      <w:r w:rsidRPr="00BD77D8">
        <w:rPr>
          <w:rFonts w:eastAsia="PMingLiU"/>
          <w:sz w:val="16"/>
          <w:szCs w:val="20"/>
          <w:lang w:eastAsia="en-US"/>
        </w:rPr>
        <w:t>Olandi</w:t>
      </w:r>
      <w:proofErr w:type="spellEnd"/>
      <w:r w:rsidRPr="00BD77D8">
        <w:rPr>
          <w:rFonts w:eastAsia="PMingLiU"/>
          <w:sz w:val="16"/>
          <w:szCs w:val="20"/>
          <w:lang w:eastAsia="en-US"/>
        </w:rPr>
        <w:t xml:space="preserve"> Hall, to the Torres Shire Council. The transaction has been recognised as a reduction in Controlled Equity and recognition of the asset transfer as an Administered Grant. Refer to the Statement of Changes in Equity and Note G1-6 for further information.</w:t>
      </w:r>
    </w:p>
    <w:bookmarkEnd w:id="159"/>
    <w:p w14:paraId="5B24F5EB" w14:textId="620451DE" w:rsidR="00B9311E" w:rsidRPr="00BD77D8" w:rsidRDefault="00F35846" w:rsidP="00C3515C">
      <w:pPr>
        <w:spacing w:before="1800" w:after="0" w:line="240" w:lineRule="auto"/>
        <w:rPr>
          <w:rFonts w:eastAsia="Arial"/>
          <w:bCs/>
          <w:sz w:val="18"/>
          <w:szCs w:val="18"/>
          <w:lang w:eastAsia="en-US"/>
        </w:rPr>
      </w:pP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t>Page 22 of 45</w:t>
      </w:r>
      <w:r w:rsidR="00B9311E" w:rsidRPr="00BD77D8">
        <w:rPr>
          <w:rFonts w:eastAsia="Arial"/>
          <w:sz w:val="18"/>
          <w:szCs w:val="18"/>
          <w:lang w:eastAsia="en-US"/>
        </w:rPr>
        <w:br w:type="page"/>
      </w:r>
    </w:p>
    <w:p w14:paraId="33FB30A2" w14:textId="77777777" w:rsidR="00B9311E" w:rsidRPr="00BD77D8" w:rsidRDefault="00B9311E" w:rsidP="00B9311E">
      <w:pPr>
        <w:spacing w:after="0" w:line="240" w:lineRule="auto"/>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46857EC8" w14:textId="77777777" w:rsidR="00B9311E" w:rsidRPr="00BD77D8" w:rsidRDefault="00B9311E" w:rsidP="00F70507">
      <w:pPr>
        <w:spacing w:after="0" w:line="240" w:lineRule="auto"/>
        <w:rPr>
          <w:rFonts w:eastAsia="Arial"/>
          <w:b/>
          <w:bCs/>
          <w:sz w:val="18"/>
          <w:szCs w:val="18"/>
          <w:lang w:eastAsia="en-US"/>
        </w:rPr>
      </w:pPr>
      <w:r w:rsidRPr="00BD77D8">
        <w:rPr>
          <w:rFonts w:eastAsia="Arial"/>
          <w:b/>
          <w:bCs/>
          <w:sz w:val="18"/>
          <w:szCs w:val="18"/>
          <w:lang w:eastAsia="en-US"/>
        </w:rPr>
        <w:t>Notes to the Financial Statements</w:t>
      </w:r>
    </w:p>
    <w:p w14:paraId="0A5DA6E3"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45D7F8FA"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470D9503" w14:textId="77777777" w:rsidR="00B9311E" w:rsidRPr="00BD77D8" w:rsidRDefault="00B9311E" w:rsidP="00E47A6E">
      <w:pPr>
        <w:spacing w:before="240" w:line="180" w:lineRule="atLeast"/>
        <w:textAlignment w:val="baseline"/>
        <w:rPr>
          <w:rFonts w:eastAsia="Arial"/>
          <w:b/>
          <w:bCs/>
          <w:sz w:val="22"/>
          <w:szCs w:val="22"/>
          <w:lang w:eastAsia="en-US"/>
        </w:rPr>
      </w:pPr>
      <w:r w:rsidRPr="00BD77D8">
        <w:rPr>
          <w:rFonts w:eastAsia="Arial"/>
          <w:b/>
          <w:bCs/>
          <w:sz w:val="22"/>
          <w:szCs w:val="22"/>
          <w:lang w:eastAsia="en-US"/>
        </w:rPr>
        <w:t>C4 Property, Plant and Equipment (continued)</w:t>
      </w:r>
    </w:p>
    <w:p w14:paraId="6403949D" w14:textId="77777777" w:rsidR="00B9311E" w:rsidRPr="00BD77D8" w:rsidRDefault="00B9311E" w:rsidP="00760ABD">
      <w:pPr>
        <w:spacing w:line="180" w:lineRule="atLeast"/>
        <w:ind w:right="216"/>
        <w:textAlignment w:val="baseline"/>
        <w:rPr>
          <w:rFonts w:eastAsia="Arial"/>
          <w:b/>
          <w:bCs/>
          <w:sz w:val="18"/>
          <w:szCs w:val="18"/>
          <w:lang w:eastAsia="en-US"/>
        </w:rPr>
      </w:pPr>
      <w:r w:rsidRPr="00BD77D8">
        <w:rPr>
          <w:rFonts w:eastAsia="Arial"/>
          <w:b/>
          <w:bCs/>
          <w:sz w:val="18"/>
          <w:szCs w:val="18"/>
          <w:lang w:eastAsia="en-US"/>
        </w:rPr>
        <w:t>C4-2 Recognition and Acquisition</w:t>
      </w:r>
    </w:p>
    <w:p w14:paraId="77F451CC" w14:textId="77777777" w:rsidR="00B9311E" w:rsidRPr="00BD77D8" w:rsidRDefault="00B9311E" w:rsidP="00760ABD">
      <w:pPr>
        <w:spacing w:line="180" w:lineRule="atLeast"/>
        <w:ind w:right="216"/>
        <w:textAlignment w:val="baseline"/>
        <w:rPr>
          <w:rFonts w:eastAsia="Arial"/>
          <w:b/>
          <w:bCs/>
          <w:sz w:val="18"/>
          <w:szCs w:val="18"/>
          <w:lang w:eastAsia="en-US"/>
        </w:rPr>
      </w:pPr>
      <w:r w:rsidRPr="00BD77D8">
        <w:rPr>
          <w:rFonts w:eastAsia="Arial"/>
          <w:b/>
          <w:bCs/>
          <w:sz w:val="18"/>
          <w:szCs w:val="18"/>
          <w:lang w:eastAsia="en-US"/>
        </w:rPr>
        <w:t>Accounting policy – Recognition</w:t>
      </w:r>
    </w:p>
    <w:p w14:paraId="6F89EE30" w14:textId="5CE2C8C8" w:rsidR="00B9311E" w:rsidRPr="00BD77D8" w:rsidRDefault="00B9311E" w:rsidP="00760ABD">
      <w:pPr>
        <w:spacing w:line="180" w:lineRule="atLeast"/>
        <w:ind w:right="216"/>
        <w:textAlignment w:val="baseline"/>
        <w:rPr>
          <w:rFonts w:eastAsia="Arial"/>
          <w:b/>
          <w:bCs/>
          <w:sz w:val="18"/>
          <w:szCs w:val="18"/>
          <w:lang w:eastAsia="en-US"/>
        </w:rPr>
      </w:pPr>
      <w:r w:rsidRPr="00BD77D8">
        <w:rPr>
          <w:rFonts w:eastAsia="Arial"/>
          <w:b/>
          <w:bCs/>
          <w:sz w:val="18"/>
          <w:szCs w:val="18"/>
          <w:lang w:eastAsia="en-US"/>
        </w:rPr>
        <w:t>Basis of Capitalisation and Recognition Thresholds</w:t>
      </w:r>
    </w:p>
    <w:p w14:paraId="65F4C7AD" w14:textId="77777777" w:rsidR="00B9311E" w:rsidRPr="00BD77D8" w:rsidRDefault="00B9311E" w:rsidP="00760ABD">
      <w:pPr>
        <w:spacing w:line="180" w:lineRule="atLeast"/>
        <w:ind w:right="216"/>
        <w:textAlignment w:val="baseline"/>
        <w:rPr>
          <w:rFonts w:eastAsia="Arial"/>
          <w:b/>
          <w:bCs/>
          <w:sz w:val="18"/>
          <w:szCs w:val="18"/>
          <w:lang w:eastAsia="en-US"/>
        </w:rPr>
      </w:pPr>
      <w:r w:rsidRPr="00BD77D8">
        <w:rPr>
          <w:rFonts w:eastAsia="Arial"/>
          <w:sz w:val="18"/>
          <w:szCs w:val="18"/>
          <w:lang w:eastAsia="en-US"/>
        </w:rPr>
        <w:t>Items of property, plant and equipment with a historical cost or other value equal to or in excess of the following thresholds are recognised as assets for financial reporting purposes in the year of acquisition:</w:t>
      </w:r>
    </w:p>
    <w:tbl>
      <w:tblPr>
        <w:tblW w:w="0" w:type="auto"/>
        <w:tblLayout w:type="fixed"/>
        <w:tblCellMar>
          <w:left w:w="0" w:type="dxa"/>
          <w:right w:w="0" w:type="dxa"/>
        </w:tblCellMar>
        <w:tblLook w:val="04A0" w:firstRow="1" w:lastRow="0" w:firstColumn="1" w:lastColumn="0" w:noHBand="0" w:noVBand="1"/>
      </w:tblPr>
      <w:tblGrid>
        <w:gridCol w:w="4712"/>
        <w:gridCol w:w="4328"/>
      </w:tblGrid>
      <w:tr w:rsidR="00BD77D8" w:rsidRPr="00BD77D8" w14:paraId="3C7E7331" w14:textId="77777777" w:rsidTr="003057FB">
        <w:trPr>
          <w:trHeight w:hRule="exact" w:val="259"/>
        </w:trPr>
        <w:tc>
          <w:tcPr>
            <w:tcW w:w="4712" w:type="dxa"/>
            <w:tcBorders>
              <w:top w:val="none" w:sz="0" w:space="0" w:color="020000"/>
              <w:left w:val="none" w:sz="0" w:space="0" w:color="020000"/>
              <w:bottom w:val="none" w:sz="0" w:space="0" w:color="020000"/>
              <w:right w:val="none" w:sz="0" w:space="0" w:color="020000"/>
            </w:tcBorders>
            <w:vAlign w:val="center"/>
          </w:tcPr>
          <w:p w14:paraId="7793F4E8" w14:textId="77777777" w:rsidR="00B9311E" w:rsidRPr="00BD77D8" w:rsidRDefault="00B9311E" w:rsidP="00B9311E">
            <w:pPr>
              <w:spacing w:after="0" w:line="180" w:lineRule="atLeast"/>
              <w:ind w:left="1145"/>
              <w:textAlignment w:val="baseline"/>
              <w:rPr>
                <w:rFonts w:eastAsia="Arial"/>
                <w:b/>
                <w:bCs/>
                <w:sz w:val="18"/>
                <w:szCs w:val="18"/>
                <w:lang w:eastAsia="en-US"/>
              </w:rPr>
            </w:pPr>
            <w:r w:rsidRPr="00BD77D8">
              <w:rPr>
                <w:rFonts w:eastAsia="Arial"/>
                <w:sz w:val="18"/>
                <w:szCs w:val="18"/>
                <w:lang w:eastAsia="en-US"/>
              </w:rPr>
              <w:t>Buildings (including land improvements)</w:t>
            </w:r>
          </w:p>
        </w:tc>
        <w:tc>
          <w:tcPr>
            <w:tcW w:w="4328" w:type="dxa"/>
            <w:tcBorders>
              <w:top w:val="none" w:sz="0" w:space="0" w:color="020000"/>
              <w:left w:val="none" w:sz="0" w:space="0" w:color="020000"/>
              <w:bottom w:val="none" w:sz="0" w:space="0" w:color="020000"/>
              <w:right w:val="none" w:sz="0" w:space="0" w:color="020000"/>
            </w:tcBorders>
            <w:vAlign w:val="center"/>
          </w:tcPr>
          <w:p w14:paraId="022765F1" w14:textId="77777777" w:rsidR="00B9311E" w:rsidRPr="00BD77D8" w:rsidRDefault="00B9311E" w:rsidP="00B9311E">
            <w:pPr>
              <w:spacing w:after="0" w:line="180" w:lineRule="atLeast"/>
              <w:ind w:left="398"/>
              <w:textAlignment w:val="baseline"/>
              <w:rPr>
                <w:rFonts w:eastAsia="Arial"/>
                <w:b/>
                <w:bCs/>
                <w:sz w:val="18"/>
                <w:szCs w:val="18"/>
                <w:lang w:eastAsia="en-US"/>
              </w:rPr>
            </w:pPr>
            <w:r w:rsidRPr="00BD77D8">
              <w:rPr>
                <w:rFonts w:eastAsia="Arial"/>
                <w:sz w:val="18"/>
                <w:szCs w:val="18"/>
                <w:lang w:eastAsia="en-US"/>
              </w:rPr>
              <w:t>$10,000</w:t>
            </w:r>
          </w:p>
        </w:tc>
      </w:tr>
      <w:tr w:rsidR="00BD77D8" w:rsidRPr="00BD77D8" w14:paraId="506CADE3" w14:textId="77777777" w:rsidTr="003057FB">
        <w:trPr>
          <w:trHeight w:hRule="exact" w:val="207"/>
        </w:trPr>
        <w:tc>
          <w:tcPr>
            <w:tcW w:w="4712" w:type="dxa"/>
            <w:tcBorders>
              <w:top w:val="none" w:sz="0" w:space="0" w:color="020000"/>
              <w:left w:val="none" w:sz="0" w:space="0" w:color="020000"/>
              <w:bottom w:val="none" w:sz="0" w:space="0" w:color="020000"/>
              <w:right w:val="none" w:sz="0" w:space="0" w:color="020000"/>
            </w:tcBorders>
            <w:vAlign w:val="center"/>
          </w:tcPr>
          <w:p w14:paraId="5A15F1D3" w14:textId="77777777" w:rsidR="00B9311E" w:rsidRPr="00BD77D8" w:rsidRDefault="00B9311E" w:rsidP="00B9311E">
            <w:pPr>
              <w:spacing w:after="0" w:line="180" w:lineRule="atLeast"/>
              <w:ind w:left="1145"/>
              <w:textAlignment w:val="baseline"/>
              <w:rPr>
                <w:rFonts w:eastAsia="Arial"/>
                <w:b/>
                <w:bCs/>
                <w:sz w:val="18"/>
                <w:szCs w:val="18"/>
                <w:lang w:eastAsia="en-US"/>
              </w:rPr>
            </w:pPr>
            <w:r w:rsidRPr="00BD77D8">
              <w:rPr>
                <w:rFonts w:eastAsia="Arial"/>
                <w:sz w:val="18"/>
                <w:szCs w:val="18"/>
                <w:lang w:eastAsia="en-US"/>
              </w:rPr>
              <w:t>Land</w:t>
            </w:r>
          </w:p>
        </w:tc>
        <w:tc>
          <w:tcPr>
            <w:tcW w:w="4328" w:type="dxa"/>
            <w:tcBorders>
              <w:top w:val="none" w:sz="0" w:space="0" w:color="020000"/>
              <w:left w:val="none" w:sz="0" w:space="0" w:color="020000"/>
              <w:bottom w:val="none" w:sz="0" w:space="0" w:color="020000"/>
              <w:right w:val="none" w:sz="0" w:space="0" w:color="020000"/>
            </w:tcBorders>
            <w:vAlign w:val="center"/>
          </w:tcPr>
          <w:p w14:paraId="16EB0006" w14:textId="77777777" w:rsidR="00B9311E" w:rsidRPr="00BD77D8" w:rsidRDefault="00B9311E" w:rsidP="00B9311E">
            <w:pPr>
              <w:spacing w:after="0" w:line="180" w:lineRule="atLeast"/>
              <w:ind w:left="398"/>
              <w:textAlignment w:val="baseline"/>
              <w:rPr>
                <w:rFonts w:eastAsia="Arial"/>
                <w:b/>
                <w:bCs/>
                <w:sz w:val="18"/>
                <w:szCs w:val="18"/>
                <w:lang w:eastAsia="en-US"/>
              </w:rPr>
            </w:pPr>
            <w:r w:rsidRPr="00BD77D8">
              <w:rPr>
                <w:rFonts w:eastAsia="Arial"/>
                <w:sz w:val="18"/>
                <w:szCs w:val="18"/>
                <w:lang w:eastAsia="en-US"/>
              </w:rPr>
              <w:t>$1</w:t>
            </w:r>
          </w:p>
        </w:tc>
      </w:tr>
      <w:tr w:rsidR="00BD77D8" w:rsidRPr="00BD77D8" w14:paraId="404C12B4" w14:textId="77777777" w:rsidTr="003057FB">
        <w:trPr>
          <w:trHeight w:hRule="exact" w:val="207"/>
        </w:trPr>
        <w:tc>
          <w:tcPr>
            <w:tcW w:w="4712" w:type="dxa"/>
            <w:tcBorders>
              <w:top w:val="none" w:sz="0" w:space="0" w:color="020000"/>
              <w:left w:val="none" w:sz="0" w:space="0" w:color="020000"/>
              <w:bottom w:val="none" w:sz="0" w:space="0" w:color="020000"/>
              <w:right w:val="none" w:sz="0" w:space="0" w:color="020000"/>
            </w:tcBorders>
            <w:vAlign w:val="center"/>
          </w:tcPr>
          <w:p w14:paraId="7457B0C8" w14:textId="77777777" w:rsidR="00B9311E" w:rsidRPr="00BD77D8" w:rsidRDefault="00B9311E" w:rsidP="00B9311E">
            <w:pPr>
              <w:spacing w:after="0" w:line="180" w:lineRule="atLeast"/>
              <w:ind w:left="1145"/>
              <w:textAlignment w:val="baseline"/>
              <w:rPr>
                <w:rFonts w:eastAsia="Arial"/>
                <w:b/>
                <w:bCs/>
                <w:sz w:val="18"/>
                <w:szCs w:val="18"/>
                <w:lang w:eastAsia="en-US"/>
              </w:rPr>
            </w:pPr>
            <w:r w:rsidRPr="00BD77D8">
              <w:rPr>
                <w:rFonts w:eastAsia="Arial"/>
                <w:sz w:val="18"/>
                <w:szCs w:val="18"/>
                <w:lang w:eastAsia="en-US"/>
              </w:rPr>
              <w:t>Plant and equipment</w:t>
            </w:r>
          </w:p>
        </w:tc>
        <w:tc>
          <w:tcPr>
            <w:tcW w:w="4328" w:type="dxa"/>
            <w:tcBorders>
              <w:top w:val="none" w:sz="0" w:space="0" w:color="020000"/>
              <w:left w:val="none" w:sz="0" w:space="0" w:color="020000"/>
              <w:bottom w:val="none" w:sz="0" w:space="0" w:color="020000"/>
              <w:right w:val="none" w:sz="0" w:space="0" w:color="020000"/>
            </w:tcBorders>
            <w:vAlign w:val="center"/>
          </w:tcPr>
          <w:p w14:paraId="6325E842" w14:textId="77777777" w:rsidR="00B9311E" w:rsidRPr="00BD77D8" w:rsidRDefault="00B9311E" w:rsidP="00B9311E">
            <w:pPr>
              <w:spacing w:after="0" w:line="180" w:lineRule="atLeast"/>
              <w:ind w:left="398"/>
              <w:textAlignment w:val="baseline"/>
              <w:rPr>
                <w:rFonts w:eastAsia="Arial"/>
                <w:b/>
                <w:bCs/>
                <w:sz w:val="18"/>
                <w:szCs w:val="18"/>
                <w:lang w:eastAsia="en-US"/>
              </w:rPr>
            </w:pPr>
            <w:r w:rsidRPr="00BD77D8">
              <w:rPr>
                <w:rFonts w:eastAsia="Arial"/>
                <w:sz w:val="18"/>
                <w:szCs w:val="18"/>
                <w:lang w:eastAsia="en-US"/>
              </w:rPr>
              <w:t>$5,000</w:t>
            </w:r>
          </w:p>
        </w:tc>
      </w:tr>
      <w:tr w:rsidR="00B9311E" w:rsidRPr="00BD77D8" w14:paraId="4ABD838F" w14:textId="77777777" w:rsidTr="003057FB">
        <w:trPr>
          <w:trHeight w:hRule="exact" w:val="288"/>
        </w:trPr>
        <w:tc>
          <w:tcPr>
            <w:tcW w:w="4712" w:type="dxa"/>
            <w:tcBorders>
              <w:top w:val="none" w:sz="0" w:space="0" w:color="020000"/>
              <w:left w:val="none" w:sz="0" w:space="0" w:color="020000"/>
              <w:bottom w:val="none" w:sz="0" w:space="0" w:color="020000"/>
              <w:right w:val="none" w:sz="0" w:space="0" w:color="020000"/>
            </w:tcBorders>
            <w:vAlign w:val="center"/>
          </w:tcPr>
          <w:p w14:paraId="41765E5B" w14:textId="77777777" w:rsidR="00B9311E" w:rsidRPr="00BD77D8" w:rsidRDefault="00B9311E" w:rsidP="00B9311E">
            <w:pPr>
              <w:spacing w:after="0" w:line="180" w:lineRule="atLeast"/>
              <w:ind w:left="1145"/>
              <w:textAlignment w:val="baseline"/>
              <w:rPr>
                <w:rFonts w:eastAsia="Arial"/>
                <w:b/>
                <w:bCs/>
                <w:sz w:val="18"/>
                <w:szCs w:val="18"/>
                <w:lang w:eastAsia="en-US"/>
              </w:rPr>
            </w:pPr>
          </w:p>
        </w:tc>
        <w:tc>
          <w:tcPr>
            <w:tcW w:w="4328" w:type="dxa"/>
            <w:tcBorders>
              <w:top w:val="none" w:sz="0" w:space="0" w:color="020000"/>
              <w:left w:val="none" w:sz="0" w:space="0" w:color="020000"/>
              <w:bottom w:val="none" w:sz="0" w:space="0" w:color="020000"/>
              <w:right w:val="none" w:sz="0" w:space="0" w:color="020000"/>
            </w:tcBorders>
            <w:vAlign w:val="center"/>
          </w:tcPr>
          <w:p w14:paraId="750E902A" w14:textId="77777777" w:rsidR="00B9311E" w:rsidRPr="00BD77D8" w:rsidRDefault="00B9311E" w:rsidP="00B9311E">
            <w:pPr>
              <w:spacing w:after="0" w:line="180" w:lineRule="atLeast"/>
              <w:ind w:left="398"/>
              <w:textAlignment w:val="baseline"/>
              <w:rPr>
                <w:rFonts w:eastAsia="Arial"/>
                <w:b/>
                <w:bCs/>
                <w:sz w:val="18"/>
                <w:szCs w:val="18"/>
                <w:lang w:eastAsia="en-US"/>
              </w:rPr>
            </w:pPr>
          </w:p>
        </w:tc>
      </w:tr>
    </w:tbl>
    <w:p w14:paraId="636CD8CB" w14:textId="77777777" w:rsidR="00B9311E" w:rsidRPr="00BD77D8" w:rsidRDefault="00B9311E" w:rsidP="00B9311E">
      <w:pPr>
        <w:spacing w:after="0" w:line="20" w:lineRule="exact"/>
        <w:rPr>
          <w:rFonts w:eastAsia="PMingLiU"/>
          <w:b/>
          <w:bCs/>
          <w:sz w:val="18"/>
          <w:szCs w:val="18"/>
          <w:lang w:eastAsia="en-US"/>
        </w:rPr>
      </w:pPr>
    </w:p>
    <w:p w14:paraId="61C5C766" w14:textId="77777777" w:rsidR="00B9311E" w:rsidRPr="00BD77D8" w:rsidRDefault="00B9311E" w:rsidP="00760ABD">
      <w:pPr>
        <w:spacing w:line="180" w:lineRule="atLeast"/>
        <w:textAlignment w:val="baseline"/>
        <w:rPr>
          <w:rFonts w:eastAsia="Arial"/>
          <w:b/>
          <w:bCs/>
          <w:sz w:val="18"/>
          <w:szCs w:val="18"/>
          <w:lang w:eastAsia="en-US"/>
        </w:rPr>
      </w:pPr>
      <w:r w:rsidRPr="00BD77D8">
        <w:rPr>
          <w:rFonts w:eastAsia="Arial"/>
          <w:sz w:val="18"/>
          <w:szCs w:val="18"/>
          <w:lang w:eastAsia="en-US"/>
        </w:rPr>
        <w:t>Items with a lesser value are expensed in the year of acquisition.</w:t>
      </w:r>
    </w:p>
    <w:p w14:paraId="66005552" w14:textId="77777777" w:rsidR="00B9311E" w:rsidRPr="00BD77D8" w:rsidRDefault="00B9311E" w:rsidP="00760ABD">
      <w:pPr>
        <w:spacing w:line="180" w:lineRule="atLeast"/>
        <w:ind w:right="216"/>
        <w:textAlignment w:val="baseline"/>
        <w:rPr>
          <w:rFonts w:eastAsia="Arial"/>
          <w:b/>
          <w:bCs/>
          <w:sz w:val="18"/>
          <w:szCs w:val="18"/>
          <w:lang w:eastAsia="en-US"/>
        </w:rPr>
      </w:pPr>
      <w:r w:rsidRPr="00BD77D8">
        <w:rPr>
          <w:rFonts w:eastAsia="Arial"/>
          <w:sz w:val="18"/>
          <w:szCs w:val="18"/>
          <w:lang w:eastAsia="en-US"/>
        </w:rPr>
        <w:t>Expenditure on property, plant and equipment is capitalised where it is probable that it will increase the service potential or useful life of the existing asset. Maintenance expenditure that merely restores original service potential (lost through ordinary wear and tear) is expensed.</w:t>
      </w:r>
    </w:p>
    <w:p w14:paraId="7419A57F" w14:textId="77777777" w:rsidR="00B9311E" w:rsidRPr="00BD77D8" w:rsidRDefault="00B9311E" w:rsidP="00760ABD">
      <w:pPr>
        <w:spacing w:line="180" w:lineRule="atLeast"/>
        <w:textAlignment w:val="baseline"/>
        <w:rPr>
          <w:rFonts w:eastAsia="Arial"/>
          <w:b/>
          <w:bCs/>
          <w:sz w:val="18"/>
          <w:szCs w:val="18"/>
          <w:lang w:eastAsia="en-US"/>
        </w:rPr>
      </w:pPr>
      <w:r w:rsidRPr="00BD77D8">
        <w:rPr>
          <w:rFonts w:eastAsia="Arial"/>
          <w:sz w:val="18"/>
          <w:szCs w:val="18"/>
          <w:lang w:eastAsia="en-US"/>
        </w:rPr>
        <w:t>Separately identified components of assets are measured on the same basis as the assets to which they relate.</w:t>
      </w:r>
    </w:p>
    <w:p w14:paraId="64B8C033" w14:textId="77777777" w:rsidR="00B9311E" w:rsidRPr="00BD77D8" w:rsidRDefault="00B9311E" w:rsidP="00760ABD">
      <w:pPr>
        <w:spacing w:line="180" w:lineRule="atLeast"/>
        <w:textAlignment w:val="baseline"/>
        <w:rPr>
          <w:rFonts w:eastAsia="Arial"/>
          <w:b/>
          <w:bCs/>
          <w:sz w:val="18"/>
          <w:szCs w:val="18"/>
          <w:lang w:eastAsia="en-US"/>
        </w:rPr>
      </w:pPr>
      <w:r w:rsidRPr="00BD77D8">
        <w:rPr>
          <w:rFonts w:eastAsia="Arial"/>
          <w:b/>
          <w:bCs/>
          <w:sz w:val="18"/>
          <w:szCs w:val="18"/>
          <w:lang w:eastAsia="en-US"/>
        </w:rPr>
        <w:t>Accounting policy - Cost of Acquisition</w:t>
      </w:r>
    </w:p>
    <w:p w14:paraId="3C53912B" w14:textId="77777777" w:rsidR="00B9311E" w:rsidRPr="00BD77D8" w:rsidRDefault="00B9311E" w:rsidP="00760ABD">
      <w:pPr>
        <w:spacing w:line="180" w:lineRule="atLeast"/>
        <w:ind w:right="144"/>
        <w:textAlignment w:val="baseline"/>
        <w:rPr>
          <w:rFonts w:eastAsia="Arial"/>
          <w:b/>
          <w:sz w:val="18"/>
          <w:szCs w:val="18"/>
          <w:lang w:eastAsia="en-US"/>
        </w:rPr>
      </w:pPr>
      <w:r w:rsidRPr="00BD77D8">
        <w:rPr>
          <w:rFonts w:eastAsia="Arial"/>
          <w:sz w:val="18"/>
          <w:szCs w:val="18"/>
          <w:lang w:eastAsia="en-US"/>
        </w:rPr>
        <w:t>Historical cost is used for the initial recording of all property, plant and equipment acquisitions. Historical cost is determined as the value given as consideration and costs incidental to the acquisition (such as architect's fees and engineering design fees), plus all other costs incurred in getting the assets ready for use.</w:t>
      </w:r>
    </w:p>
    <w:p w14:paraId="0AAAD28A" w14:textId="77777777" w:rsidR="00B9311E" w:rsidRPr="00BD77D8" w:rsidRDefault="00B9311E" w:rsidP="00760ABD">
      <w:pPr>
        <w:spacing w:line="180" w:lineRule="atLeast"/>
        <w:ind w:right="360"/>
        <w:textAlignment w:val="baseline"/>
        <w:rPr>
          <w:rFonts w:eastAsia="Arial"/>
          <w:b/>
          <w:sz w:val="18"/>
          <w:szCs w:val="18"/>
          <w:lang w:eastAsia="en-US"/>
        </w:rPr>
      </w:pPr>
      <w:r w:rsidRPr="00BD77D8">
        <w:rPr>
          <w:rFonts w:eastAsia="Arial"/>
          <w:sz w:val="18"/>
          <w:szCs w:val="18"/>
          <w:lang w:eastAsia="en-US"/>
        </w:rPr>
        <w:t>Where assets are received free of charge from another State Government entity, whether as a result of a Machinery-of-Government change, or other involuntary transfer, the acquisition is recognised as the carrying amount in the books of the other entity immediately prior to the transfer.</w:t>
      </w:r>
    </w:p>
    <w:p w14:paraId="6AFE6D8E" w14:textId="77777777" w:rsidR="00760ABD" w:rsidRPr="00BD77D8" w:rsidRDefault="00B9311E" w:rsidP="00760ABD">
      <w:pPr>
        <w:spacing w:line="180" w:lineRule="atLeast"/>
        <w:textAlignment w:val="baseline"/>
        <w:rPr>
          <w:rFonts w:eastAsia="Arial"/>
          <w:b/>
          <w:bCs/>
          <w:sz w:val="18"/>
          <w:szCs w:val="18"/>
          <w:lang w:eastAsia="en-US"/>
        </w:rPr>
      </w:pPr>
      <w:r w:rsidRPr="00BD77D8">
        <w:rPr>
          <w:rFonts w:eastAsia="Arial"/>
          <w:b/>
          <w:bCs/>
          <w:sz w:val="18"/>
          <w:szCs w:val="18"/>
          <w:lang w:eastAsia="en-US"/>
        </w:rPr>
        <w:t xml:space="preserve">C4-3 Measurement Using Historical Cost </w:t>
      </w:r>
    </w:p>
    <w:p w14:paraId="3807F1C2" w14:textId="3DF7EAFB" w:rsidR="00B9311E" w:rsidRPr="00BD77D8" w:rsidRDefault="00B9311E" w:rsidP="00760ABD">
      <w:pPr>
        <w:spacing w:line="180" w:lineRule="atLeast"/>
        <w:textAlignment w:val="baseline"/>
        <w:rPr>
          <w:rFonts w:eastAsia="Arial"/>
          <w:b/>
          <w:bCs/>
          <w:sz w:val="18"/>
          <w:szCs w:val="18"/>
          <w:lang w:eastAsia="en-US"/>
        </w:rPr>
      </w:pPr>
      <w:r w:rsidRPr="00BD77D8">
        <w:rPr>
          <w:rFonts w:eastAsia="Arial"/>
          <w:b/>
          <w:bCs/>
          <w:sz w:val="18"/>
          <w:szCs w:val="18"/>
          <w:lang w:eastAsia="en-US"/>
        </w:rPr>
        <w:t>Accounting policy</w:t>
      </w:r>
    </w:p>
    <w:p w14:paraId="5A432417" w14:textId="77777777" w:rsidR="00B9311E" w:rsidRPr="00BD77D8" w:rsidRDefault="00B9311E" w:rsidP="00760ABD">
      <w:pPr>
        <w:spacing w:line="180" w:lineRule="atLeast"/>
        <w:ind w:right="144"/>
        <w:textAlignment w:val="baseline"/>
        <w:rPr>
          <w:rFonts w:eastAsia="Arial"/>
          <w:b/>
          <w:sz w:val="18"/>
          <w:szCs w:val="18"/>
          <w:lang w:eastAsia="en-US"/>
        </w:rPr>
      </w:pPr>
      <w:r w:rsidRPr="00BD77D8">
        <w:rPr>
          <w:rFonts w:eastAsia="Arial"/>
          <w:sz w:val="18"/>
          <w:szCs w:val="18"/>
          <w:lang w:eastAsia="en-US"/>
        </w:rPr>
        <w:t>Plant and equipment are measured at historical cost in accordance with the Queensland Treasury’s Non-Current Asset Policies (NCAP) for the Queensland Public Sector. The carrying amounts for such plant and equipment is not materially different from their fair value.</w:t>
      </w:r>
    </w:p>
    <w:p w14:paraId="2AE8E96D" w14:textId="77777777" w:rsidR="00B9311E" w:rsidRPr="00BD77D8" w:rsidRDefault="00B9311E" w:rsidP="00760ABD">
      <w:pPr>
        <w:spacing w:line="180" w:lineRule="atLeast"/>
        <w:textAlignment w:val="baseline"/>
        <w:rPr>
          <w:rFonts w:eastAsia="Arial"/>
          <w:b/>
          <w:bCs/>
          <w:sz w:val="18"/>
          <w:szCs w:val="18"/>
          <w:lang w:eastAsia="en-US"/>
        </w:rPr>
      </w:pPr>
      <w:r w:rsidRPr="00BD77D8">
        <w:rPr>
          <w:rFonts w:eastAsia="Arial"/>
          <w:b/>
          <w:bCs/>
          <w:sz w:val="18"/>
          <w:szCs w:val="18"/>
          <w:lang w:eastAsia="en-US"/>
        </w:rPr>
        <w:t xml:space="preserve">C4-4 Measurement Using Fair Value </w:t>
      </w:r>
    </w:p>
    <w:p w14:paraId="444FD7A9" w14:textId="6CD388C0" w:rsidR="00B9311E" w:rsidRPr="00BD77D8" w:rsidRDefault="00B9311E" w:rsidP="00760ABD">
      <w:pPr>
        <w:spacing w:line="180" w:lineRule="atLeast"/>
        <w:textAlignment w:val="baseline"/>
        <w:rPr>
          <w:rFonts w:eastAsia="Arial"/>
          <w:b/>
          <w:bCs/>
          <w:sz w:val="18"/>
          <w:szCs w:val="18"/>
          <w:lang w:eastAsia="en-US"/>
        </w:rPr>
      </w:pPr>
      <w:r w:rsidRPr="00BD77D8">
        <w:rPr>
          <w:rFonts w:eastAsia="Arial"/>
          <w:b/>
          <w:bCs/>
          <w:sz w:val="18"/>
          <w:szCs w:val="18"/>
          <w:lang w:eastAsia="en-US"/>
        </w:rPr>
        <w:t>Accounting policy</w:t>
      </w:r>
    </w:p>
    <w:p w14:paraId="1DBCD21D" w14:textId="77777777" w:rsidR="00B9311E" w:rsidRPr="00BD77D8" w:rsidRDefault="00B9311E" w:rsidP="00B9311E">
      <w:pPr>
        <w:spacing w:after="0" w:line="180" w:lineRule="atLeast"/>
        <w:textAlignment w:val="baseline"/>
        <w:rPr>
          <w:rFonts w:eastAsia="Arial"/>
          <w:b/>
          <w:sz w:val="18"/>
          <w:szCs w:val="18"/>
          <w:lang w:eastAsia="en-US"/>
        </w:rPr>
      </w:pPr>
      <w:r w:rsidRPr="00BD77D8">
        <w:rPr>
          <w:rFonts w:eastAsia="Arial"/>
          <w:sz w:val="18"/>
          <w:szCs w:val="18"/>
          <w:lang w:eastAsia="en-US"/>
        </w:rPr>
        <w:t xml:space="preserve">Land, buildings, infrastructure, major plant and equipment and heritage and cultural assets are measured at fair value as </w:t>
      </w:r>
    </w:p>
    <w:p w14:paraId="6FD55A81" w14:textId="77777777" w:rsidR="00B9311E" w:rsidRPr="00BD77D8" w:rsidRDefault="00B9311E" w:rsidP="00B9311E">
      <w:pPr>
        <w:spacing w:after="0" w:line="180" w:lineRule="atLeast"/>
        <w:textAlignment w:val="baseline"/>
        <w:rPr>
          <w:rFonts w:eastAsia="Arial"/>
          <w:b/>
          <w:sz w:val="18"/>
          <w:szCs w:val="18"/>
          <w:lang w:eastAsia="en-US"/>
        </w:rPr>
      </w:pPr>
      <w:r w:rsidRPr="00BD77D8">
        <w:rPr>
          <w:rFonts w:eastAsia="Arial"/>
          <w:sz w:val="18"/>
          <w:szCs w:val="18"/>
          <w:lang w:eastAsia="en-US"/>
        </w:rPr>
        <w:t xml:space="preserve">required by Queensland Treasury’s Non-Current Asset Policies for the Queensland Public Sector. These assets are reported at </w:t>
      </w:r>
    </w:p>
    <w:p w14:paraId="66FDFB00" w14:textId="77777777" w:rsidR="00B9311E" w:rsidRPr="00BD77D8" w:rsidRDefault="00B9311E" w:rsidP="00760ABD">
      <w:pPr>
        <w:spacing w:after="240" w:line="180" w:lineRule="atLeast"/>
        <w:textAlignment w:val="baseline"/>
        <w:rPr>
          <w:rFonts w:eastAsia="Arial"/>
          <w:b/>
          <w:sz w:val="18"/>
          <w:szCs w:val="18"/>
          <w:lang w:eastAsia="en-US"/>
        </w:rPr>
      </w:pPr>
      <w:r w:rsidRPr="00BD77D8">
        <w:rPr>
          <w:rFonts w:eastAsia="Arial"/>
          <w:sz w:val="18"/>
          <w:szCs w:val="18"/>
          <w:lang w:eastAsia="en-US"/>
        </w:rPr>
        <w:t>their revalued amounts, being the fair value at the date of valuation, less any subsequent accumulated depreciation (refer to Note C4-1).</w:t>
      </w:r>
    </w:p>
    <w:p w14:paraId="7EEBCD90" w14:textId="77777777" w:rsidR="00B9311E" w:rsidRPr="00BD77D8" w:rsidRDefault="00B9311E" w:rsidP="00760ABD">
      <w:pPr>
        <w:spacing w:after="240" w:line="180" w:lineRule="atLeast"/>
        <w:textAlignment w:val="baseline"/>
        <w:rPr>
          <w:rFonts w:eastAsia="Arial"/>
          <w:b/>
          <w:sz w:val="18"/>
          <w:szCs w:val="18"/>
          <w:lang w:eastAsia="en-US"/>
        </w:rPr>
      </w:pPr>
      <w:r w:rsidRPr="00BD77D8">
        <w:rPr>
          <w:rFonts w:eastAsia="Arial"/>
          <w:sz w:val="18"/>
          <w:szCs w:val="18"/>
          <w:lang w:eastAsia="en-US"/>
        </w:rPr>
        <w:t>The cost of items acquired during the financial year has been judged by management to materially represent their fair value at the end of the reporting period.</w:t>
      </w:r>
    </w:p>
    <w:p w14:paraId="48A118A6" w14:textId="77777777" w:rsidR="00B9311E" w:rsidRPr="00BD77D8" w:rsidRDefault="00B9311E" w:rsidP="00760ABD">
      <w:pPr>
        <w:spacing w:after="240" w:line="180" w:lineRule="atLeast"/>
        <w:textAlignment w:val="baseline"/>
        <w:rPr>
          <w:rFonts w:eastAsia="Arial"/>
          <w:b/>
          <w:sz w:val="18"/>
          <w:szCs w:val="18"/>
          <w:lang w:eastAsia="en-US"/>
        </w:rPr>
      </w:pPr>
      <w:r w:rsidRPr="00BD77D8">
        <w:rPr>
          <w:rFonts w:eastAsia="Arial"/>
          <w:sz w:val="18"/>
          <w:szCs w:val="18"/>
          <w:lang w:eastAsia="en-US"/>
        </w:rPr>
        <w:t>Comprehensive revaluations using independent professional valuers are undertaken at least once every five years, with the application of appropriate and relevant asset market indices in interceding years. However, if a particular asset class experiences significant and volatile changes in fair value, the class is subject to specific appraisal in the reporting period, where practicable, regardless of the timing of the last specific appraisal.</w:t>
      </w:r>
    </w:p>
    <w:p w14:paraId="6F3A9FBD" w14:textId="77777777" w:rsidR="00B9311E" w:rsidRPr="00BD77D8" w:rsidRDefault="00B9311E" w:rsidP="00760ABD">
      <w:pPr>
        <w:spacing w:after="240" w:line="180" w:lineRule="atLeast"/>
        <w:textAlignment w:val="baseline"/>
        <w:rPr>
          <w:rFonts w:eastAsia="Arial"/>
          <w:b/>
          <w:sz w:val="18"/>
          <w:szCs w:val="18"/>
          <w:lang w:eastAsia="en-US"/>
        </w:rPr>
      </w:pPr>
      <w:r w:rsidRPr="00BD77D8">
        <w:rPr>
          <w:rFonts w:eastAsia="Arial"/>
          <w:sz w:val="18"/>
          <w:szCs w:val="18"/>
          <w:lang w:eastAsia="en-US"/>
        </w:rPr>
        <w:t>The fair values reported by the department are based on appropriate valuation techniques that maximise the use of available and relevant observable inputs and minimise the use of unobservable inputs. Materiality is considered in determining whether the difference between the carrying amount and the fair value of an asset is material (in which case revaluation is warranted).</w:t>
      </w:r>
    </w:p>
    <w:p w14:paraId="58003A07" w14:textId="210D7092" w:rsidR="00B9311E" w:rsidRPr="00BD77D8" w:rsidRDefault="00F35846" w:rsidP="00B9311E">
      <w:pPr>
        <w:spacing w:after="0" w:line="199" w:lineRule="exact"/>
        <w:textAlignment w:val="baseline"/>
        <w:rPr>
          <w:rFonts w:eastAsia="Arial"/>
          <w:bCs/>
          <w:sz w:val="18"/>
          <w:szCs w:val="18"/>
          <w:lang w:eastAsia="en-US"/>
        </w:rPr>
      </w:pP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t>Page 23 of 45</w:t>
      </w:r>
    </w:p>
    <w:p w14:paraId="44CFA712"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6D4924CB"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2A1575FC"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145C104D" w14:textId="77777777" w:rsidR="00B9311E" w:rsidRPr="00BD77D8" w:rsidRDefault="00B9311E" w:rsidP="00B9311E">
      <w:pPr>
        <w:pBdr>
          <w:bottom w:val="single" w:sz="4" w:space="1" w:color="auto"/>
        </w:pBdr>
        <w:spacing w:after="0" w:line="250" w:lineRule="exact"/>
        <w:textAlignment w:val="baseline"/>
        <w:rPr>
          <w:rFonts w:eastAsia="Arial"/>
          <w:b/>
          <w:sz w:val="18"/>
          <w:szCs w:val="18"/>
          <w:lang w:eastAsia="en-US"/>
        </w:rPr>
      </w:pPr>
    </w:p>
    <w:p w14:paraId="73BEBC28" w14:textId="77777777" w:rsidR="00B9311E" w:rsidRPr="00BD77D8" w:rsidRDefault="00B9311E" w:rsidP="00E47A6E">
      <w:pPr>
        <w:spacing w:before="240" w:line="180" w:lineRule="atLeast"/>
        <w:textAlignment w:val="baseline"/>
        <w:rPr>
          <w:rFonts w:eastAsia="Arial"/>
          <w:b/>
          <w:bCs/>
          <w:sz w:val="22"/>
          <w:szCs w:val="22"/>
          <w:lang w:eastAsia="en-US"/>
        </w:rPr>
      </w:pPr>
      <w:r w:rsidRPr="00BD77D8">
        <w:rPr>
          <w:rFonts w:eastAsia="Arial"/>
          <w:b/>
          <w:bCs/>
          <w:sz w:val="22"/>
          <w:szCs w:val="22"/>
          <w:lang w:eastAsia="en-US"/>
        </w:rPr>
        <w:t>C4 Property, Plant and Equipment (continued)</w:t>
      </w:r>
    </w:p>
    <w:p w14:paraId="3784C927" w14:textId="77777777" w:rsidR="00B9311E" w:rsidRPr="00BD77D8" w:rsidRDefault="00B9311E" w:rsidP="00140059">
      <w:pPr>
        <w:spacing w:line="180" w:lineRule="atLeast"/>
        <w:textAlignment w:val="baseline"/>
        <w:rPr>
          <w:rFonts w:eastAsia="Arial"/>
          <w:b/>
          <w:bCs/>
          <w:sz w:val="18"/>
          <w:szCs w:val="18"/>
          <w:lang w:eastAsia="en-US"/>
        </w:rPr>
      </w:pPr>
      <w:r w:rsidRPr="00BD77D8">
        <w:rPr>
          <w:rFonts w:eastAsia="Arial"/>
          <w:b/>
          <w:bCs/>
          <w:sz w:val="18"/>
          <w:szCs w:val="18"/>
          <w:lang w:eastAsia="en-US"/>
        </w:rPr>
        <w:t>C4-4 Measurement Using Fair Value (continued)</w:t>
      </w:r>
    </w:p>
    <w:p w14:paraId="4BB732BF" w14:textId="77777777" w:rsidR="00B9311E" w:rsidRPr="00BD77D8" w:rsidRDefault="00B9311E" w:rsidP="00140059">
      <w:pPr>
        <w:spacing w:line="180" w:lineRule="atLeast"/>
        <w:textAlignment w:val="baseline"/>
        <w:rPr>
          <w:rFonts w:eastAsia="Arial"/>
          <w:b/>
          <w:bCs/>
          <w:sz w:val="18"/>
          <w:szCs w:val="18"/>
          <w:lang w:eastAsia="en-US"/>
        </w:rPr>
      </w:pPr>
      <w:r w:rsidRPr="00BD77D8">
        <w:rPr>
          <w:rFonts w:eastAsia="Arial"/>
          <w:b/>
          <w:bCs/>
          <w:sz w:val="18"/>
          <w:szCs w:val="18"/>
          <w:lang w:eastAsia="en-US"/>
        </w:rPr>
        <w:t>Use of Specific Appraisals</w:t>
      </w:r>
    </w:p>
    <w:p w14:paraId="2221B6A4" w14:textId="77777777" w:rsidR="00B9311E" w:rsidRPr="00BD77D8" w:rsidRDefault="00B9311E" w:rsidP="00140059">
      <w:pPr>
        <w:spacing w:line="240" w:lineRule="auto"/>
        <w:rPr>
          <w:rFonts w:eastAsia="PMingLiU"/>
          <w:b/>
          <w:sz w:val="18"/>
          <w:szCs w:val="18"/>
          <w:lang w:eastAsia="en-US"/>
        </w:rPr>
      </w:pPr>
      <w:r w:rsidRPr="00BD77D8">
        <w:rPr>
          <w:rFonts w:eastAsia="PMingLiU"/>
          <w:sz w:val="18"/>
          <w:szCs w:val="18"/>
          <w:lang w:eastAsia="en-US"/>
        </w:rPr>
        <w:t>The department’s land and buildings were revalued by independent professional valuers, APV Valuers &amp; Asset Management (APV) valuers certificates 2962 and 4079, in the current financial year. The effective date of the revaluation is 30 June 2022. Management have confirmed there has been no significant shift in the values since then.</w:t>
      </w:r>
    </w:p>
    <w:p w14:paraId="7C554099" w14:textId="77777777" w:rsidR="00B9311E" w:rsidRPr="00BD77D8" w:rsidRDefault="00B9311E" w:rsidP="00140059">
      <w:pPr>
        <w:spacing w:line="180" w:lineRule="atLeast"/>
        <w:rPr>
          <w:rFonts w:eastAsia="PMingLiU"/>
          <w:b/>
          <w:bCs/>
          <w:sz w:val="18"/>
          <w:szCs w:val="18"/>
          <w:lang w:eastAsia="en-US"/>
        </w:rPr>
      </w:pPr>
      <w:r w:rsidRPr="00BD77D8">
        <w:rPr>
          <w:rFonts w:eastAsia="PMingLiU"/>
          <w:b/>
          <w:bCs/>
          <w:sz w:val="18"/>
          <w:szCs w:val="18"/>
          <w:lang w:eastAsia="en-US"/>
        </w:rPr>
        <w:t>Use of Indices</w:t>
      </w:r>
    </w:p>
    <w:p w14:paraId="184E0676" w14:textId="77777777" w:rsidR="00B9311E" w:rsidRPr="00BD77D8" w:rsidRDefault="00B9311E" w:rsidP="00140059">
      <w:pPr>
        <w:spacing w:line="180" w:lineRule="atLeast"/>
        <w:rPr>
          <w:rFonts w:eastAsia="PMingLiU"/>
          <w:b/>
          <w:sz w:val="18"/>
          <w:szCs w:val="18"/>
          <w:lang w:eastAsia="en-US"/>
        </w:rPr>
      </w:pPr>
      <w:r w:rsidRPr="00BD77D8">
        <w:rPr>
          <w:rFonts w:eastAsia="PMingLiU"/>
          <w:sz w:val="18"/>
          <w:szCs w:val="18"/>
          <w:lang w:eastAsia="en-US"/>
        </w:rPr>
        <w:t>APV undertook specific appraisals of land and building assets supporting the Aboriginal and Torres Strait Islander Partnerships Service Area and undertook a desktop revaluation of land and building supporting the Disability Services and Seniors Services Service Areas. Both revaluation processes included the application of relevant land and building industry indices in the assessment of the asset values (refer to Note C4-7).</w:t>
      </w:r>
    </w:p>
    <w:p w14:paraId="221289A0" w14:textId="77777777" w:rsidR="00B9311E" w:rsidRPr="00BD77D8" w:rsidRDefault="00B9311E" w:rsidP="00140059">
      <w:pPr>
        <w:spacing w:line="180" w:lineRule="atLeast"/>
        <w:rPr>
          <w:rFonts w:eastAsia="Arial"/>
          <w:bCs/>
          <w:sz w:val="18"/>
          <w:szCs w:val="18"/>
          <w:lang w:eastAsia="en-US"/>
        </w:rPr>
      </w:pPr>
      <w:r w:rsidRPr="00BD77D8">
        <w:rPr>
          <w:rFonts w:eastAsia="PMingLiU"/>
          <w:sz w:val="18"/>
          <w:szCs w:val="18"/>
          <w:lang w:eastAsia="en-US"/>
        </w:rPr>
        <w:t>APV provides assurance of the robustness, validity and appropriateness of the indices for application to the relevant assets. Management assesses and confirms the relevance and suitability of indices provided by APV based on the department's own particular circumstances.</w:t>
      </w:r>
    </w:p>
    <w:p w14:paraId="3C367F30" w14:textId="527734CC" w:rsidR="00B9311E" w:rsidRPr="00BD77D8" w:rsidRDefault="00B9311E" w:rsidP="00140059">
      <w:pPr>
        <w:spacing w:line="180" w:lineRule="atLeast"/>
        <w:textAlignment w:val="baseline"/>
        <w:rPr>
          <w:rFonts w:eastAsia="Arial"/>
          <w:b/>
          <w:bCs/>
          <w:sz w:val="18"/>
          <w:szCs w:val="18"/>
          <w:lang w:eastAsia="en-US"/>
        </w:rPr>
      </w:pPr>
      <w:r w:rsidRPr="00BD77D8">
        <w:rPr>
          <w:rFonts w:eastAsia="Arial"/>
          <w:b/>
          <w:bCs/>
          <w:sz w:val="18"/>
          <w:szCs w:val="18"/>
          <w:lang w:eastAsia="en-US"/>
        </w:rPr>
        <w:t>Accounting for Changes in Fair Value</w:t>
      </w:r>
    </w:p>
    <w:p w14:paraId="304BB76C" w14:textId="77777777" w:rsidR="00B9311E" w:rsidRPr="00BD77D8" w:rsidRDefault="00B9311E" w:rsidP="00140059">
      <w:pPr>
        <w:spacing w:line="180" w:lineRule="atLeast"/>
        <w:ind w:right="72"/>
        <w:textAlignment w:val="baseline"/>
        <w:rPr>
          <w:rFonts w:eastAsia="Arial"/>
          <w:b/>
          <w:sz w:val="18"/>
          <w:szCs w:val="18"/>
          <w:lang w:eastAsia="en-US"/>
        </w:rPr>
      </w:pPr>
      <w:r w:rsidRPr="00BD77D8">
        <w:rPr>
          <w:rFonts w:eastAsia="Arial"/>
          <w:sz w:val="18"/>
          <w:szCs w:val="18"/>
          <w:lang w:eastAsia="en-US"/>
        </w:rPr>
        <w:t>Any revaluation increment arising on the revaluation of an asset is credited to the asset revaluation surplus of the appropriate class, except to the extent it reverses a revaluation decrement for the class previously recognised as an expense. A decrease in the carrying amount of an asset on revaluation is charged as an expense, to the extent it exceeds the balance if any, in the revaluation surplus relating to the asset class.</w:t>
      </w:r>
    </w:p>
    <w:p w14:paraId="1AB12A6B" w14:textId="77777777" w:rsidR="00B9311E" w:rsidRPr="00BD77D8" w:rsidRDefault="00B9311E" w:rsidP="00140059">
      <w:pPr>
        <w:spacing w:line="180" w:lineRule="atLeast"/>
        <w:ind w:right="72"/>
        <w:textAlignment w:val="baseline"/>
        <w:rPr>
          <w:rFonts w:eastAsia="Arial"/>
          <w:b/>
          <w:spacing w:val="1"/>
          <w:sz w:val="18"/>
          <w:szCs w:val="18"/>
          <w:lang w:eastAsia="en-US"/>
        </w:rPr>
      </w:pPr>
      <w:r w:rsidRPr="00BD77D8">
        <w:rPr>
          <w:rFonts w:eastAsia="Arial"/>
          <w:spacing w:val="1"/>
          <w:sz w:val="18"/>
          <w:szCs w:val="18"/>
          <w:lang w:eastAsia="en-US"/>
        </w:rPr>
        <w:t>The department depleted its asset revaluation reserve in the 2011-12 financial year and a $201.000M revaluation decrement was recognised. The decrement was due to the revaluation of rental housing stock at fair value prior to the asset transfer to the former Department of Housing and Public Works. The fair value of the housing stock was significantly lower than the book value due to economic factors impacting on the property market at that time.</w:t>
      </w:r>
    </w:p>
    <w:p w14:paraId="51E1733C" w14:textId="77777777" w:rsidR="00B9311E" w:rsidRPr="00BD77D8" w:rsidRDefault="00B9311E" w:rsidP="00140059">
      <w:pPr>
        <w:spacing w:line="180" w:lineRule="atLeast"/>
        <w:ind w:right="144"/>
        <w:textAlignment w:val="baseline"/>
        <w:rPr>
          <w:rFonts w:eastAsia="Arial"/>
          <w:b/>
          <w:sz w:val="18"/>
          <w:szCs w:val="18"/>
          <w:lang w:eastAsia="en-US"/>
        </w:rPr>
      </w:pPr>
      <w:r w:rsidRPr="00BD77D8">
        <w:rPr>
          <w:rFonts w:eastAsia="Arial"/>
          <w:sz w:val="18"/>
          <w:szCs w:val="18"/>
          <w:lang w:eastAsia="en-US"/>
        </w:rPr>
        <w:t>In accordance with Australian Accounting Standards, the revaluation increment on the department’s land and buildings in 2021-22 has been recognised as revenue in the statement of comprehensive income, as a reversal of the revaluation decrement.</w:t>
      </w:r>
    </w:p>
    <w:p w14:paraId="377B9550" w14:textId="77777777" w:rsidR="00B9311E" w:rsidRPr="00BD77D8" w:rsidRDefault="00B9311E" w:rsidP="00140059">
      <w:pPr>
        <w:spacing w:line="180" w:lineRule="atLeast"/>
        <w:ind w:right="792"/>
        <w:textAlignment w:val="baseline"/>
        <w:rPr>
          <w:rFonts w:eastAsia="Arial"/>
          <w:b/>
          <w:sz w:val="18"/>
          <w:szCs w:val="18"/>
          <w:lang w:eastAsia="en-US"/>
        </w:rPr>
      </w:pPr>
      <w:r w:rsidRPr="00BD77D8">
        <w:rPr>
          <w:rFonts w:eastAsia="Arial"/>
          <w:sz w:val="18"/>
          <w:szCs w:val="18"/>
          <w:lang w:eastAsia="en-US"/>
        </w:rPr>
        <w:t>As at 30 June 2022, the carrying amount of the asset revaluation decrements were $64.892M (2020-21: $71.187M) for land and $53.1201M (2020-21: $75.394M) for buildings.</w:t>
      </w:r>
    </w:p>
    <w:p w14:paraId="33946803" w14:textId="77777777" w:rsidR="00140059" w:rsidRPr="00BD77D8" w:rsidRDefault="00B9311E" w:rsidP="00140059">
      <w:pPr>
        <w:spacing w:line="180" w:lineRule="atLeast"/>
        <w:textAlignment w:val="baseline"/>
        <w:rPr>
          <w:rFonts w:eastAsia="Arial"/>
          <w:b/>
          <w:bCs/>
          <w:sz w:val="18"/>
          <w:szCs w:val="18"/>
          <w:lang w:eastAsia="en-US"/>
        </w:rPr>
      </w:pPr>
      <w:r w:rsidRPr="00BD77D8">
        <w:rPr>
          <w:rFonts w:eastAsia="Arial"/>
          <w:b/>
          <w:bCs/>
          <w:sz w:val="18"/>
          <w:szCs w:val="18"/>
          <w:lang w:eastAsia="en-US"/>
        </w:rPr>
        <w:t>C4-5 Depreciation Expense</w:t>
      </w:r>
    </w:p>
    <w:p w14:paraId="532C8EE9" w14:textId="20172934" w:rsidR="00B9311E" w:rsidRPr="00BD77D8" w:rsidRDefault="00B9311E" w:rsidP="00140059">
      <w:pPr>
        <w:spacing w:line="180" w:lineRule="atLeast"/>
        <w:textAlignment w:val="baseline"/>
        <w:rPr>
          <w:rFonts w:eastAsia="Arial"/>
          <w:b/>
          <w:bCs/>
          <w:sz w:val="18"/>
          <w:szCs w:val="18"/>
          <w:lang w:eastAsia="en-US"/>
        </w:rPr>
      </w:pPr>
      <w:r w:rsidRPr="00BD77D8">
        <w:rPr>
          <w:rFonts w:eastAsia="Arial"/>
          <w:b/>
          <w:bCs/>
          <w:sz w:val="18"/>
          <w:szCs w:val="18"/>
          <w:lang w:eastAsia="en-US"/>
        </w:rPr>
        <w:t>Accounting policy</w:t>
      </w:r>
    </w:p>
    <w:p w14:paraId="3688A28C" w14:textId="77777777" w:rsidR="00B9311E" w:rsidRPr="00BD77D8" w:rsidRDefault="00B9311E" w:rsidP="00140059">
      <w:pPr>
        <w:spacing w:line="180" w:lineRule="atLeast"/>
        <w:ind w:right="360"/>
        <w:textAlignment w:val="baseline"/>
        <w:rPr>
          <w:rFonts w:eastAsia="Arial"/>
          <w:b/>
          <w:sz w:val="18"/>
          <w:szCs w:val="18"/>
          <w:lang w:eastAsia="en-US"/>
        </w:rPr>
      </w:pPr>
      <w:r w:rsidRPr="00BD77D8">
        <w:rPr>
          <w:rFonts w:eastAsia="Arial"/>
          <w:sz w:val="18"/>
          <w:szCs w:val="18"/>
          <w:lang w:eastAsia="en-US"/>
        </w:rPr>
        <w:t>Property, plant and equipment is depreciated on a straight-line basis so as to allocate the net cost or revalued amount of each asset, less any estimated residual value, progressively over its estimated useful life to the department. The remaining useful lives of buildings, plant and equipment are reviewed annually.</w:t>
      </w:r>
    </w:p>
    <w:p w14:paraId="0BB0D05B" w14:textId="77777777" w:rsidR="00B9311E" w:rsidRPr="00BD77D8" w:rsidRDefault="00B9311E" w:rsidP="00140059">
      <w:pPr>
        <w:spacing w:line="180" w:lineRule="atLeast"/>
        <w:textAlignment w:val="baseline"/>
        <w:rPr>
          <w:rFonts w:eastAsia="Arial"/>
          <w:b/>
          <w:sz w:val="18"/>
          <w:szCs w:val="18"/>
          <w:lang w:eastAsia="en-US"/>
        </w:rPr>
      </w:pPr>
      <w:r w:rsidRPr="00BD77D8">
        <w:rPr>
          <w:rFonts w:eastAsia="Arial"/>
          <w:sz w:val="18"/>
          <w:szCs w:val="18"/>
          <w:lang w:eastAsia="en-US"/>
        </w:rPr>
        <w:t>Land is not depreciated as it has an unlimited useful life.</w:t>
      </w:r>
    </w:p>
    <w:p w14:paraId="461E8D51" w14:textId="77777777" w:rsidR="00B9311E" w:rsidRPr="00BD77D8" w:rsidRDefault="00B9311E" w:rsidP="00140059">
      <w:pPr>
        <w:spacing w:line="180" w:lineRule="atLeast"/>
        <w:ind w:right="360"/>
        <w:textAlignment w:val="baseline"/>
        <w:rPr>
          <w:rFonts w:eastAsia="Arial"/>
          <w:b/>
          <w:sz w:val="18"/>
          <w:szCs w:val="18"/>
          <w:lang w:eastAsia="en-US"/>
        </w:rPr>
      </w:pPr>
      <w:r w:rsidRPr="00BD77D8">
        <w:rPr>
          <w:rFonts w:eastAsia="Arial"/>
          <w:sz w:val="18"/>
          <w:szCs w:val="18"/>
          <w:lang w:eastAsia="en-US"/>
        </w:rPr>
        <w:t>Straight line depreciation is used as that is consistent with the even consumption of service potential of these assets over their useful life to the department.</w:t>
      </w:r>
    </w:p>
    <w:p w14:paraId="79780D3B" w14:textId="77777777" w:rsidR="00B9311E" w:rsidRPr="00BD77D8" w:rsidRDefault="00B9311E" w:rsidP="00140059">
      <w:pPr>
        <w:spacing w:line="180" w:lineRule="atLeast"/>
        <w:ind w:right="144"/>
        <w:textAlignment w:val="baseline"/>
        <w:rPr>
          <w:rFonts w:eastAsia="Arial"/>
          <w:b/>
          <w:sz w:val="18"/>
          <w:szCs w:val="18"/>
          <w:lang w:eastAsia="en-US"/>
        </w:rPr>
      </w:pPr>
      <w:r w:rsidRPr="00BD77D8">
        <w:rPr>
          <w:rFonts w:eastAsia="Arial"/>
          <w:sz w:val="18"/>
          <w:szCs w:val="18"/>
          <w:lang w:eastAsia="en-US"/>
        </w:rPr>
        <w:t>Assets under construction (work-in-progress) are not depreciated until construction is complete and the asset is put to use or is ready for its intended use, whichever is the earlier. These assets are then reclassified to the relevant class within property, plant and equipment.</w:t>
      </w:r>
    </w:p>
    <w:p w14:paraId="645DC903" w14:textId="77777777" w:rsidR="00B9311E" w:rsidRPr="00BD77D8" w:rsidRDefault="00B9311E" w:rsidP="00140059">
      <w:pPr>
        <w:spacing w:after="240" w:line="180" w:lineRule="atLeast"/>
        <w:ind w:right="216"/>
        <w:textAlignment w:val="baseline"/>
        <w:rPr>
          <w:rFonts w:eastAsia="Arial"/>
          <w:b/>
          <w:sz w:val="18"/>
          <w:szCs w:val="18"/>
          <w:lang w:eastAsia="en-US"/>
        </w:rPr>
      </w:pPr>
      <w:r w:rsidRPr="00BD77D8">
        <w:rPr>
          <w:rFonts w:eastAsia="Arial"/>
          <w:sz w:val="18"/>
          <w:szCs w:val="18"/>
          <w:lang w:eastAsia="en-US"/>
        </w:rPr>
        <w:t xml:space="preserve">The depreciable </w:t>
      </w:r>
      <w:proofErr w:type="gramStart"/>
      <w:r w:rsidRPr="00BD77D8">
        <w:rPr>
          <w:rFonts w:eastAsia="Arial"/>
          <w:sz w:val="18"/>
          <w:szCs w:val="18"/>
          <w:lang w:eastAsia="en-US"/>
        </w:rPr>
        <w:t>amount</w:t>
      </w:r>
      <w:proofErr w:type="gramEnd"/>
      <w:r w:rsidRPr="00BD77D8">
        <w:rPr>
          <w:rFonts w:eastAsia="Arial"/>
          <w:sz w:val="18"/>
          <w:szCs w:val="18"/>
          <w:lang w:eastAsia="en-US"/>
        </w:rPr>
        <w:t xml:space="preserve"> of improvements to or on leasehold land is allocated progressively over the estimated useful lives of the improvements or the unexpired period of the lease, whichever is the shorter. The unexpired period of a lease includes any option period where exercise of the option is probable.</w:t>
      </w:r>
    </w:p>
    <w:p w14:paraId="3ADB4F06" w14:textId="0A736D67" w:rsidR="00CC5C24" w:rsidRPr="00BD77D8" w:rsidRDefault="00B9311E" w:rsidP="00140059">
      <w:pPr>
        <w:spacing w:after="240" w:line="180" w:lineRule="atLeast"/>
        <w:ind w:right="72"/>
        <w:textAlignment w:val="baseline"/>
        <w:rPr>
          <w:rFonts w:eastAsia="Arial"/>
          <w:sz w:val="18"/>
          <w:szCs w:val="18"/>
          <w:lang w:eastAsia="en-US"/>
        </w:rPr>
      </w:pPr>
      <w:r w:rsidRPr="00BD77D8">
        <w:rPr>
          <w:rFonts w:eastAsia="Arial"/>
          <w:sz w:val="18"/>
          <w:szCs w:val="18"/>
          <w:lang w:eastAsia="en-US"/>
        </w:rPr>
        <w:t>For the department's depreciable assets, the estimated amount to be received on the disposal at the end of their useful life (residual value) is determined to be zero.</w:t>
      </w:r>
    </w:p>
    <w:p w14:paraId="617E8700" w14:textId="054D6AA2" w:rsidR="00CC5C24" w:rsidRPr="00BD77D8" w:rsidRDefault="00CC5C24" w:rsidP="00B9311E">
      <w:pPr>
        <w:spacing w:after="0" w:line="180" w:lineRule="atLeast"/>
        <w:ind w:right="72"/>
        <w:textAlignment w:val="baseline"/>
        <w:rPr>
          <w:rFonts w:eastAsia="Arial"/>
          <w:bCs/>
          <w:sz w:val="18"/>
          <w:szCs w:val="18"/>
          <w:lang w:eastAsia="en-US"/>
        </w:rPr>
      </w:pP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Pr="00BD77D8">
        <w:rPr>
          <w:rFonts w:eastAsia="Arial"/>
          <w:b/>
          <w:sz w:val="18"/>
          <w:szCs w:val="18"/>
          <w:lang w:eastAsia="en-US"/>
        </w:rPr>
        <w:tab/>
      </w:r>
      <w:r w:rsidR="0040288C" w:rsidRPr="00BD77D8">
        <w:rPr>
          <w:rFonts w:eastAsia="Arial"/>
          <w:bCs/>
          <w:sz w:val="18"/>
          <w:szCs w:val="18"/>
          <w:lang w:eastAsia="en-US"/>
        </w:rPr>
        <w:t>Page 24 of 45</w:t>
      </w:r>
    </w:p>
    <w:p w14:paraId="35686222"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00897A36"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35222483"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79DF8696"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6996CD54" w14:textId="77777777" w:rsidR="00B9311E" w:rsidRPr="00BD77D8" w:rsidRDefault="00B9311E" w:rsidP="00E47A6E">
      <w:pPr>
        <w:spacing w:before="240" w:line="250" w:lineRule="exact"/>
        <w:textAlignment w:val="baseline"/>
        <w:rPr>
          <w:rFonts w:eastAsia="Arial"/>
          <w:b/>
          <w:bCs/>
          <w:sz w:val="22"/>
          <w:szCs w:val="22"/>
          <w:lang w:eastAsia="en-US"/>
        </w:rPr>
      </w:pPr>
      <w:r w:rsidRPr="00BD77D8">
        <w:rPr>
          <w:rFonts w:eastAsia="Arial"/>
          <w:b/>
          <w:bCs/>
          <w:sz w:val="22"/>
          <w:szCs w:val="22"/>
          <w:lang w:eastAsia="en-US"/>
        </w:rPr>
        <w:t>C4 Property, Plant and Equipment (continued)</w:t>
      </w:r>
    </w:p>
    <w:p w14:paraId="6A8FB007" w14:textId="77777777" w:rsidR="00B9311E" w:rsidRPr="00BD77D8" w:rsidRDefault="00B9311E" w:rsidP="00140059">
      <w:pPr>
        <w:spacing w:line="180" w:lineRule="atLeast"/>
        <w:textAlignment w:val="baseline"/>
        <w:rPr>
          <w:rFonts w:eastAsia="Arial"/>
          <w:b/>
          <w:bCs/>
          <w:sz w:val="18"/>
          <w:szCs w:val="18"/>
          <w:lang w:eastAsia="en-US"/>
        </w:rPr>
      </w:pPr>
      <w:r w:rsidRPr="00BD77D8">
        <w:rPr>
          <w:rFonts w:eastAsia="Arial"/>
          <w:b/>
          <w:bCs/>
          <w:sz w:val="18"/>
          <w:szCs w:val="18"/>
          <w:lang w:eastAsia="en-US"/>
        </w:rPr>
        <w:t>C4-5 Depreciation Expense (continued)</w:t>
      </w:r>
    </w:p>
    <w:p w14:paraId="14686197" w14:textId="77777777" w:rsidR="00B9311E" w:rsidRPr="00BD77D8" w:rsidRDefault="00B9311E" w:rsidP="00140059">
      <w:pPr>
        <w:spacing w:line="180" w:lineRule="atLeast"/>
        <w:textAlignment w:val="baseline"/>
        <w:rPr>
          <w:rFonts w:eastAsia="Arial"/>
          <w:b/>
          <w:bCs/>
          <w:sz w:val="18"/>
          <w:szCs w:val="18"/>
          <w:lang w:eastAsia="en-US"/>
        </w:rPr>
      </w:pPr>
      <w:r w:rsidRPr="00BD77D8">
        <w:rPr>
          <w:rFonts w:eastAsia="Arial"/>
          <w:b/>
          <w:bCs/>
          <w:sz w:val="18"/>
          <w:szCs w:val="18"/>
          <w:lang w:eastAsia="en-US"/>
        </w:rPr>
        <w:t>Depreciation Rates</w:t>
      </w:r>
    </w:p>
    <w:p w14:paraId="28856C3C" w14:textId="77777777" w:rsidR="00B9311E" w:rsidRPr="00BD77D8" w:rsidRDefault="00B9311E" w:rsidP="00140059">
      <w:pPr>
        <w:spacing w:line="180" w:lineRule="atLeast"/>
        <w:textAlignment w:val="baseline"/>
        <w:rPr>
          <w:rFonts w:eastAsia="Arial"/>
          <w:b/>
          <w:sz w:val="18"/>
          <w:szCs w:val="18"/>
          <w:lang w:eastAsia="en-US"/>
        </w:rPr>
      </w:pPr>
      <w:r w:rsidRPr="00BD77D8">
        <w:rPr>
          <w:rFonts w:eastAsia="Arial"/>
          <w:sz w:val="18"/>
          <w:szCs w:val="18"/>
          <w:lang w:eastAsia="en-US"/>
        </w:rPr>
        <w:t>Key Estimates: Depreciation rates for each class of depreciable asset (including significant identifiable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268"/>
        <w:gridCol w:w="2551"/>
      </w:tblGrid>
      <w:tr w:rsidR="00BD77D8" w:rsidRPr="00BD77D8" w14:paraId="7BFABC30" w14:textId="77777777" w:rsidTr="00140059">
        <w:tc>
          <w:tcPr>
            <w:tcW w:w="3114" w:type="dxa"/>
          </w:tcPr>
          <w:p w14:paraId="4D7BF14A" w14:textId="713E5041" w:rsidR="00140059" w:rsidRPr="00BD77D8" w:rsidRDefault="00140059" w:rsidP="00B9311E">
            <w:pPr>
              <w:spacing w:after="0" w:line="180" w:lineRule="atLeast"/>
              <w:textAlignment w:val="baseline"/>
              <w:rPr>
                <w:rFonts w:ascii="Arial" w:eastAsia="Arial" w:hAnsi="Arial"/>
                <w:b/>
                <w:bCs/>
                <w:sz w:val="18"/>
                <w:szCs w:val="18"/>
                <w:lang w:eastAsia="en-US"/>
              </w:rPr>
            </w:pPr>
            <w:r w:rsidRPr="00BD77D8">
              <w:rPr>
                <w:rFonts w:ascii="Arial" w:eastAsia="Arial" w:hAnsi="Arial"/>
                <w:b/>
                <w:bCs/>
                <w:sz w:val="18"/>
                <w:szCs w:val="18"/>
                <w:lang w:eastAsia="en-US"/>
              </w:rPr>
              <w:t>Asset</w:t>
            </w:r>
          </w:p>
        </w:tc>
        <w:tc>
          <w:tcPr>
            <w:tcW w:w="2268" w:type="dxa"/>
          </w:tcPr>
          <w:p w14:paraId="26E4806C" w14:textId="4F5202AF" w:rsidR="00140059" w:rsidRPr="00BD77D8" w:rsidRDefault="00140059" w:rsidP="00B9311E">
            <w:pPr>
              <w:spacing w:after="0" w:line="180" w:lineRule="atLeast"/>
              <w:textAlignment w:val="baseline"/>
              <w:rPr>
                <w:rFonts w:ascii="Arial" w:eastAsia="Arial" w:hAnsi="Arial"/>
                <w:b/>
                <w:bCs/>
                <w:sz w:val="18"/>
                <w:szCs w:val="18"/>
                <w:lang w:eastAsia="en-US"/>
              </w:rPr>
            </w:pPr>
            <w:r w:rsidRPr="00BD77D8">
              <w:rPr>
                <w:rFonts w:ascii="Arial" w:eastAsia="Arial" w:hAnsi="Arial"/>
                <w:b/>
                <w:bCs/>
                <w:sz w:val="18"/>
                <w:szCs w:val="18"/>
                <w:lang w:eastAsia="en-US"/>
              </w:rPr>
              <w:t>Range of Useful Life</w:t>
            </w:r>
          </w:p>
        </w:tc>
        <w:tc>
          <w:tcPr>
            <w:tcW w:w="2551" w:type="dxa"/>
          </w:tcPr>
          <w:p w14:paraId="271F6F3A" w14:textId="00EA15FB" w:rsidR="00140059" w:rsidRPr="00BD77D8" w:rsidRDefault="00140059" w:rsidP="00B9311E">
            <w:pPr>
              <w:spacing w:after="0" w:line="180" w:lineRule="atLeast"/>
              <w:textAlignment w:val="baseline"/>
              <w:rPr>
                <w:rFonts w:ascii="Arial" w:eastAsia="Arial" w:hAnsi="Arial"/>
                <w:b/>
                <w:bCs/>
                <w:sz w:val="18"/>
                <w:szCs w:val="18"/>
                <w:lang w:eastAsia="en-US"/>
              </w:rPr>
            </w:pPr>
            <w:r w:rsidRPr="00BD77D8">
              <w:rPr>
                <w:rFonts w:ascii="Arial" w:eastAsia="Arial" w:hAnsi="Arial"/>
                <w:b/>
                <w:bCs/>
                <w:sz w:val="18"/>
                <w:szCs w:val="18"/>
                <w:lang w:eastAsia="en-US"/>
              </w:rPr>
              <w:t>Average Useful Life</w:t>
            </w:r>
          </w:p>
        </w:tc>
      </w:tr>
      <w:tr w:rsidR="00BD77D8" w:rsidRPr="00BD77D8" w14:paraId="2A51A4E0" w14:textId="77777777" w:rsidTr="00140059">
        <w:tc>
          <w:tcPr>
            <w:tcW w:w="3114" w:type="dxa"/>
          </w:tcPr>
          <w:p w14:paraId="5D127F83" w14:textId="02BC2BB5" w:rsidR="00140059" w:rsidRPr="00BD77D8" w:rsidRDefault="00140059" w:rsidP="00B9311E">
            <w:pPr>
              <w:spacing w:after="0" w:line="180" w:lineRule="atLeast"/>
              <w:textAlignment w:val="baseline"/>
              <w:rPr>
                <w:rFonts w:ascii="Arial" w:eastAsia="Arial" w:hAnsi="Arial"/>
                <w:b/>
                <w:bCs/>
                <w:sz w:val="18"/>
                <w:szCs w:val="18"/>
                <w:lang w:eastAsia="en-US"/>
              </w:rPr>
            </w:pPr>
            <w:r w:rsidRPr="00BD77D8">
              <w:rPr>
                <w:rFonts w:ascii="Arial" w:eastAsia="Arial" w:hAnsi="Arial"/>
                <w:sz w:val="18"/>
                <w:szCs w:val="18"/>
                <w:lang w:eastAsia="en-US"/>
              </w:rPr>
              <w:t>Buildings</w:t>
            </w:r>
          </w:p>
        </w:tc>
        <w:tc>
          <w:tcPr>
            <w:tcW w:w="2268" w:type="dxa"/>
          </w:tcPr>
          <w:p w14:paraId="29B2AB05" w14:textId="39DD834D" w:rsidR="00140059" w:rsidRPr="00BD77D8" w:rsidRDefault="00140059" w:rsidP="00B9311E">
            <w:pPr>
              <w:spacing w:after="0" w:line="180" w:lineRule="atLeast"/>
              <w:textAlignment w:val="baseline"/>
              <w:rPr>
                <w:rFonts w:ascii="Arial" w:eastAsia="Arial" w:hAnsi="Arial"/>
                <w:b/>
                <w:bCs/>
                <w:sz w:val="18"/>
                <w:szCs w:val="18"/>
                <w:lang w:eastAsia="en-US"/>
              </w:rPr>
            </w:pPr>
            <w:r w:rsidRPr="00BD77D8">
              <w:rPr>
                <w:rFonts w:ascii="Arial" w:eastAsia="Arial" w:hAnsi="Arial"/>
                <w:sz w:val="18"/>
                <w:szCs w:val="18"/>
                <w:lang w:eastAsia="en-US"/>
              </w:rPr>
              <w:t>23 – 97 years</w:t>
            </w:r>
            <w:r w:rsidRPr="00BD77D8">
              <w:rPr>
                <w:rFonts w:ascii="Arial" w:eastAsia="Arial" w:hAnsi="Arial"/>
                <w:sz w:val="18"/>
                <w:szCs w:val="18"/>
                <w:lang w:eastAsia="en-US"/>
              </w:rPr>
              <w:tab/>
            </w:r>
          </w:p>
        </w:tc>
        <w:tc>
          <w:tcPr>
            <w:tcW w:w="2551" w:type="dxa"/>
          </w:tcPr>
          <w:p w14:paraId="46579DE8" w14:textId="44664495" w:rsidR="00140059" w:rsidRPr="00BD77D8" w:rsidRDefault="00140059" w:rsidP="00B9311E">
            <w:pPr>
              <w:spacing w:after="0" w:line="180" w:lineRule="atLeast"/>
              <w:textAlignment w:val="baseline"/>
              <w:rPr>
                <w:rFonts w:ascii="Arial" w:eastAsia="Arial" w:hAnsi="Arial"/>
                <w:b/>
                <w:bCs/>
                <w:sz w:val="18"/>
                <w:szCs w:val="18"/>
                <w:lang w:eastAsia="en-US"/>
              </w:rPr>
            </w:pPr>
            <w:r w:rsidRPr="00BD77D8">
              <w:rPr>
                <w:rFonts w:ascii="Arial" w:eastAsia="Arial" w:hAnsi="Arial"/>
                <w:sz w:val="18"/>
                <w:szCs w:val="18"/>
                <w:lang w:eastAsia="en-US"/>
              </w:rPr>
              <w:t>58</w:t>
            </w:r>
          </w:p>
        </w:tc>
      </w:tr>
      <w:tr w:rsidR="00BD77D8" w:rsidRPr="00BD77D8" w14:paraId="1BC1FAF0" w14:textId="77777777" w:rsidTr="00140059">
        <w:tc>
          <w:tcPr>
            <w:tcW w:w="3114" w:type="dxa"/>
          </w:tcPr>
          <w:p w14:paraId="192EE5D1" w14:textId="4FAB40F4" w:rsidR="00140059" w:rsidRPr="00BD77D8" w:rsidRDefault="00140059" w:rsidP="00B9311E">
            <w:pPr>
              <w:spacing w:after="0" w:line="180" w:lineRule="atLeast"/>
              <w:textAlignment w:val="baseline"/>
              <w:rPr>
                <w:rFonts w:ascii="Arial" w:eastAsia="Arial" w:hAnsi="Arial"/>
                <w:b/>
                <w:bCs/>
                <w:sz w:val="18"/>
                <w:szCs w:val="18"/>
                <w:lang w:eastAsia="en-US"/>
              </w:rPr>
            </w:pPr>
            <w:r w:rsidRPr="00BD77D8">
              <w:rPr>
                <w:rFonts w:ascii="Arial" w:eastAsia="Arial" w:hAnsi="Arial"/>
                <w:sz w:val="18"/>
                <w:szCs w:val="18"/>
                <w:lang w:eastAsia="en-US"/>
              </w:rPr>
              <w:t>Plant and Equipment</w:t>
            </w:r>
          </w:p>
        </w:tc>
        <w:tc>
          <w:tcPr>
            <w:tcW w:w="2268" w:type="dxa"/>
          </w:tcPr>
          <w:p w14:paraId="37333E7F" w14:textId="4876FD32" w:rsidR="00140059" w:rsidRPr="00BD77D8" w:rsidRDefault="00140059" w:rsidP="00B9311E">
            <w:pPr>
              <w:spacing w:after="0" w:line="180" w:lineRule="atLeast"/>
              <w:textAlignment w:val="baseline"/>
              <w:rPr>
                <w:rFonts w:ascii="Arial" w:eastAsia="Arial" w:hAnsi="Arial"/>
                <w:b/>
                <w:bCs/>
                <w:sz w:val="18"/>
                <w:szCs w:val="18"/>
                <w:lang w:eastAsia="en-US"/>
              </w:rPr>
            </w:pPr>
            <w:r w:rsidRPr="00BD77D8">
              <w:rPr>
                <w:rFonts w:ascii="Arial" w:eastAsia="Arial" w:hAnsi="Arial"/>
                <w:sz w:val="18"/>
                <w:szCs w:val="18"/>
                <w:lang w:eastAsia="en-US"/>
              </w:rPr>
              <w:t>2 – 19 years</w:t>
            </w:r>
          </w:p>
        </w:tc>
        <w:tc>
          <w:tcPr>
            <w:tcW w:w="2551" w:type="dxa"/>
          </w:tcPr>
          <w:p w14:paraId="43F1511F" w14:textId="6E252924" w:rsidR="00140059" w:rsidRPr="00BD77D8" w:rsidRDefault="00140059" w:rsidP="00B9311E">
            <w:pPr>
              <w:spacing w:after="0" w:line="180" w:lineRule="atLeast"/>
              <w:textAlignment w:val="baseline"/>
              <w:rPr>
                <w:rFonts w:ascii="Arial" w:eastAsia="Arial" w:hAnsi="Arial"/>
                <w:b/>
                <w:bCs/>
                <w:sz w:val="18"/>
                <w:szCs w:val="18"/>
                <w:lang w:eastAsia="en-US"/>
              </w:rPr>
            </w:pPr>
            <w:r w:rsidRPr="00BD77D8">
              <w:rPr>
                <w:rFonts w:ascii="Arial" w:eastAsia="Arial" w:hAnsi="Arial"/>
                <w:sz w:val="18"/>
                <w:szCs w:val="18"/>
                <w:lang w:eastAsia="en-US"/>
              </w:rPr>
              <w:t>12</w:t>
            </w:r>
          </w:p>
        </w:tc>
      </w:tr>
    </w:tbl>
    <w:p w14:paraId="0FF3314D" w14:textId="77777777" w:rsidR="00B9311E" w:rsidRPr="00BD77D8" w:rsidRDefault="00B9311E" w:rsidP="00140059">
      <w:pPr>
        <w:spacing w:before="200" w:line="180" w:lineRule="atLeast"/>
        <w:textAlignment w:val="baseline"/>
        <w:rPr>
          <w:rFonts w:eastAsia="Arial"/>
          <w:b/>
          <w:bCs/>
          <w:spacing w:val="4"/>
          <w:sz w:val="18"/>
          <w:szCs w:val="18"/>
          <w:lang w:eastAsia="en-US"/>
        </w:rPr>
      </w:pPr>
      <w:r w:rsidRPr="00BD77D8">
        <w:rPr>
          <w:rFonts w:eastAsia="Arial"/>
          <w:b/>
          <w:bCs/>
          <w:spacing w:val="4"/>
          <w:sz w:val="18"/>
          <w:szCs w:val="18"/>
          <w:lang w:eastAsia="en-US"/>
        </w:rPr>
        <w:t>C4-6 Impairment</w:t>
      </w:r>
    </w:p>
    <w:p w14:paraId="2DFB99B9" w14:textId="77777777" w:rsidR="00B9311E" w:rsidRPr="00BD77D8" w:rsidRDefault="00B9311E" w:rsidP="00140059">
      <w:pPr>
        <w:spacing w:line="180" w:lineRule="atLeast"/>
        <w:textAlignment w:val="baseline"/>
        <w:rPr>
          <w:rFonts w:eastAsia="Arial"/>
          <w:b/>
          <w:bCs/>
          <w:sz w:val="18"/>
          <w:szCs w:val="18"/>
          <w:lang w:eastAsia="en-US"/>
        </w:rPr>
      </w:pPr>
      <w:r w:rsidRPr="00BD77D8">
        <w:rPr>
          <w:rFonts w:eastAsia="Arial"/>
          <w:b/>
          <w:bCs/>
          <w:sz w:val="18"/>
          <w:szCs w:val="18"/>
          <w:lang w:eastAsia="en-US"/>
        </w:rPr>
        <w:t>Accounting policy - Property, Plant and Equipment</w:t>
      </w:r>
    </w:p>
    <w:p w14:paraId="7FCDA9A6" w14:textId="77777777" w:rsidR="00B9311E" w:rsidRPr="00BD77D8" w:rsidRDefault="00B9311E" w:rsidP="00140059">
      <w:pPr>
        <w:spacing w:line="180" w:lineRule="atLeast"/>
        <w:textAlignment w:val="baseline"/>
        <w:rPr>
          <w:rFonts w:eastAsia="Arial"/>
          <w:bCs/>
          <w:sz w:val="18"/>
          <w:szCs w:val="18"/>
          <w:lang w:eastAsia="en-US"/>
        </w:rPr>
      </w:pPr>
      <w:r w:rsidRPr="00BD77D8">
        <w:rPr>
          <w:rFonts w:eastAsia="Arial"/>
          <w:sz w:val="18"/>
          <w:szCs w:val="18"/>
          <w:lang w:eastAsia="en-US"/>
        </w:rPr>
        <w:t>Indicators of Impairment and Determining Recoverable Amount</w:t>
      </w:r>
    </w:p>
    <w:p w14:paraId="5C5B9E3B" w14:textId="77777777" w:rsidR="00B9311E" w:rsidRPr="00BD77D8" w:rsidRDefault="00B9311E" w:rsidP="00140059">
      <w:pPr>
        <w:spacing w:line="180" w:lineRule="atLeast"/>
        <w:ind w:right="144"/>
        <w:textAlignment w:val="baseline"/>
        <w:rPr>
          <w:rFonts w:eastAsia="Arial"/>
          <w:b/>
          <w:spacing w:val="-1"/>
          <w:sz w:val="18"/>
          <w:szCs w:val="18"/>
          <w:lang w:eastAsia="en-US"/>
        </w:rPr>
      </w:pPr>
      <w:r w:rsidRPr="00BD77D8">
        <w:rPr>
          <w:rFonts w:eastAsia="Arial"/>
          <w:spacing w:val="-1"/>
          <w:sz w:val="18"/>
          <w:szCs w:val="18"/>
          <w:lang w:eastAsia="en-US"/>
        </w:rPr>
        <w:t xml:space="preserve">All property, plant and equipment assets are assessed for indicators of impairment on an annual basis or, where the asset is measured at fair value, for indicators of a change in fair value/service potential since the last valuation was completed. </w:t>
      </w:r>
    </w:p>
    <w:p w14:paraId="3609F0A0" w14:textId="77777777" w:rsidR="00B9311E" w:rsidRPr="00BD77D8" w:rsidRDefault="00B9311E" w:rsidP="00140059">
      <w:pPr>
        <w:spacing w:line="180" w:lineRule="atLeast"/>
        <w:ind w:right="144"/>
        <w:textAlignment w:val="baseline"/>
        <w:rPr>
          <w:rFonts w:eastAsia="Arial"/>
          <w:b/>
          <w:spacing w:val="-1"/>
          <w:sz w:val="18"/>
          <w:szCs w:val="18"/>
          <w:lang w:eastAsia="en-US"/>
        </w:rPr>
      </w:pPr>
      <w:r w:rsidRPr="00BD77D8">
        <w:rPr>
          <w:rFonts w:eastAsia="Arial"/>
          <w:spacing w:val="-1"/>
          <w:sz w:val="18"/>
          <w:szCs w:val="18"/>
          <w:lang w:eastAsia="en-US"/>
        </w:rPr>
        <w:t xml:space="preserve">Where indicators of a material change in fair value or service potential since the last valuation arise, the asset is revalued at the reporting date under AASB 13 </w:t>
      </w:r>
      <w:r w:rsidRPr="00BD77D8">
        <w:rPr>
          <w:rFonts w:eastAsia="Arial"/>
          <w:i/>
          <w:spacing w:val="-1"/>
          <w:sz w:val="18"/>
          <w:szCs w:val="18"/>
          <w:lang w:eastAsia="en-US"/>
        </w:rPr>
        <w:t xml:space="preserve">Fair Value Measurement. </w:t>
      </w:r>
      <w:r w:rsidRPr="00BD77D8">
        <w:rPr>
          <w:rFonts w:eastAsia="Arial"/>
          <w:spacing w:val="-1"/>
          <w:sz w:val="18"/>
          <w:szCs w:val="18"/>
          <w:lang w:eastAsia="en-US"/>
        </w:rPr>
        <w:t xml:space="preserve">If an indicator of possible impairment exists, the department determines the asset's recoverable amount under AASB 136 </w:t>
      </w:r>
      <w:r w:rsidRPr="00BD77D8">
        <w:rPr>
          <w:rFonts w:eastAsia="Arial"/>
          <w:i/>
          <w:spacing w:val="-1"/>
          <w:sz w:val="18"/>
          <w:szCs w:val="18"/>
          <w:lang w:eastAsia="en-US"/>
        </w:rPr>
        <w:t>Impairment of Assets</w:t>
      </w:r>
      <w:r w:rsidRPr="00BD77D8">
        <w:rPr>
          <w:rFonts w:eastAsia="Arial"/>
          <w:spacing w:val="-1"/>
          <w:sz w:val="18"/>
          <w:szCs w:val="18"/>
          <w:lang w:eastAsia="en-US"/>
        </w:rPr>
        <w:t>. Recoverable amount is equal to the higher of the fair value less costs of disposal.</w:t>
      </w:r>
    </w:p>
    <w:p w14:paraId="41E217EA" w14:textId="77777777" w:rsidR="00B9311E" w:rsidRPr="00BD77D8" w:rsidRDefault="00B9311E" w:rsidP="00140059">
      <w:pPr>
        <w:spacing w:line="180" w:lineRule="atLeast"/>
        <w:textAlignment w:val="baseline"/>
        <w:rPr>
          <w:rFonts w:eastAsia="Arial"/>
          <w:b/>
          <w:bCs/>
          <w:spacing w:val="2"/>
          <w:sz w:val="18"/>
          <w:szCs w:val="18"/>
          <w:lang w:eastAsia="en-US"/>
        </w:rPr>
      </w:pPr>
      <w:r w:rsidRPr="00BD77D8">
        <w:rPr>
          <w:rFonts w:eastAsia="Arial"/>
          <w:b/>
          <w:bCs/>
          <w:spacing w:val="2"/>
          <w:sz w:val="18"/>
          <w:szCs w:val="18"/>
          <w:lang w:eastAsia="en-US"/>
        </w:rPr>
        <w:t>C4-7 Fair Value Measurement</w:t>
      </w:r>
    </w:p>
    <w:p w14:paraId="64386560" w14:textId="77777777" w:rsidR="00B9311E" w:rsidRPr="00BD77D8" w:rsidRDefault="00B9311E" w:rsidP="00140059">
      <w:pPr>
        <w:spacing w:line="180" w:lineRule="atLeast"/>
        <w:textAlignment w:val="baseline"/>
        <w:rPr>
          <w:rFonts w:eastAsia="Arial"/>
          <w:b/>
          <w:bCs/>
          <w:sz w:val="18"/>
          <w:szCs w:val="18"/>
          <w:lang w:eastAsia="en-US"/>
        </w:rPr>
      </w:pPr>
      <w:r w:rsidRPr="00BD77D8">
        <w:rPr>
          <w:rFonts w:eastAsia="Arial"/>
          <w:b/>
          <w:bCs/>
          <w:sz w:val="18"/>
          <w:szCs w:val="18"/>
          <w:lang w:eastAsia="en-US"/>
        </w:rPr>
        <w:t>Fair Value Measurement Hierarchy</w:t>
      </w:r>
    </w:p>
    <w:p w14:paraId="316AC200" w14:textId="77777777" w:rsidR="00B9311E" w:rsidRPr="00BD77D8" w:rsidRDefault="00B9311E" w:rsidP="00140059">
      <w:pPr>
        <w:spacing w:line="180" w:lineRule="atLeast"/>
        <w:ind w:right="576"/>
        <w:textAlignment w:val="baseline"/>
        <w:rPr>
          <w:rFonts w:eastAsia="Arial"/>
          <w:b/>
          <w:sz w:val="18"/>
          <w:szCs w:val="18"/>
          <w:lang w:eastAsia="en-US"/>
        </w:rPr>
      </w:pPr>
      <w:r w:rsidRPr="00BD77D8">
        <w:rPr>
          <w:rFonts w:eastAsia="Arial"/>
          <w:sz w:val="18"/>
          <w:szCs w:val="18"/>
          <w:lang w:eastAsia="en-US"/>
        </w:rPr>
        <w:t>All assets of the department for which fair value is measured are categorised within the following fair value hierarchy:</w:t>
      </w:r>
    </w:p>
    <w:p w14:paraId="322B9B83" w14:textId="77777777" w:rsidR="00B9311E" w:rsidRPr="00BD77D8" w:rsidRDefault="00B9311E" w:rsidP="003954C5">
      <w:pPr>
        <w:numPr>
          <w:ilvl w:val="0"/>
          <w:numId w:val="74"/>
        </w:numPr>
        <w:spacing w:line="180" w:lineRule="atLeast"/>
        <w:ind w:left="720" w:right="576" w:hanging="720"/>
        <w:textAlignment w:val="baseline"/>
        <w:rPr>
          <w:rFonts w:eastAsia="Arial"/>
          <w:b/>
          <w:sz w:val="18"/>
          <w:szCs w:val="18"/>
          <w:lang w:eastAsia="en-US"/>
        </w:rPr>
      </w:pPr>
      <w:r w:rsidRPr="00BD77D8">
        <w:rPr>
          <w:rFonts w:eastAsia="Arial"/>
          <w:sz w:val="18"/>
          <w:szCs w:val="18"/>
          <w:lang w:eastAsia="en-US"/>
        </w:rPr>
        <w:t>level 1 - represents fair value measurements that reflect unadjusted quoted market prices in active markets for identical assets and liabilities;</w:t>
      </w:r>
    </w:p>
    <w:p w14:paraId="024AD5F9" w14:textId="77777777" w:rsidR="00B9311E" w:rsidRPr="00BD77D8" w:rsidRDefault="00B9311E" w:rsidP="003954C5">
      <w:pPr>
        <w:numPr>
          <w:ilvl w:val="0"/>
          <w:numId w:val="74"/>
        </w:numPr>
        <w:spacing w:line="180" w:lineRule="atLeast"/>
        <w:ind w:left="720" w:right="576" w:hanging="720"/>
        <w:textAlignment w:val="baseline"/>
        <w:rPr>
          <w:rFonts w:eastAsia="Arial"/>
          <w:b/>
          <w:sz w:val="18"/>
          <w:szCs w:val="18"/>
          <w:lang w:eastAsia="en-US"/>
        </w:rPr>
      </w:pPr>
      <w:r w:rsidRPr="00BD77D8">
        <w:rPr>
          <w:rFonts w:eastAsia="Arial"/>
          <w:sz w:val="18"/>
          <w:szCs w:val="18"/>
          <w:lang w:eastAsia="en-US"/>
        </w:rPr>
        <w:t>level 2 - represents fair value measurements that are substantially derived from inputs (other than quoted prices included within level 1) that are observable, either directly or indirectly; and</w:t>
      </w:r>
    </w:p>
    <w:p w14:paraId="6142C5D0" w14:textId="77777777" w:rsidR="00B9311E" w:rsidRPr="00BD77D8" w:rsidRDefault="00B9311E" w:rsidP="003954C5">
      <w:pPr>
        <w:numPr>
          <w:ilvl w:val="0"/>
          <w:numId w:val="74"/>
        </w:numPr>
        <w:spacing w:line="180" w:lineRule="atLeast"/>
        <w:ind w:left="720" w:right="288" w:hanging="720"/>
        <w:textAlignment w:val="baseline"/>
        <w:rPr>
          <w:rFonts w:eastAsia="Arial"/>
          <w:b/>
          <w:spacing w:val="-1"/>
          <w:sz w:val="18"/>
          <w:szCs w:val="18"/>
          <w:lang w:eastAsia="en-US"/>
        </w:rPr>
      </w:pPr>
      <w:r w:rsidRPr="00BD77D8">
        <w:rPr>
          <w:rFonts w:eastAsia="Arial"/>
          <w:spacing w:val="-1"/>
          <w:sz w:val="18"/>
          <w:szCs w:val="18"/>
          <w:lang w:eastAsia="en-US"/>
        </w:rPr>
        <w:t xml:space="preserve">level 3 - represents fair value measurements that are substantially derived from unobservable inputs. </w:t>
      </w:r>
    </w:p>
    <w:p w14:paraId="2AE872B6" w14:textId="77777777" w:rsidR="00B9311E" w:rsidRPr="00BD77D8" w:rsidRDefault="00B9311E" w:rsidP="00140059">
      <w:pPr>
        <w:tabs>
          <w:tab w:val="left" w:pos="720"/>
        </w:tabs>
        <w:spacing w:line="180" w:lineRule="atLeast"/>
        <w:ind w:right="288"/>
        <w:textAlignment w:val="baseline"/>
        <w:rPr>
          <w:rFonts w:eastAsia="Arial"/>
          <w:b/>
          <w:spacing w:val="-1"/>
          <w:sz w:val="18"/>
          <w:szCs w:val="18"/>
          <w:lang w:eastAsia="en-US"/>
        </w:rPr>
      </w:pPr>
      <w:r w:rsidRPr="00BD77D8">
        <w:rPr>
          <w:rFonts w:eastAsia="Arial"/>
          <w:spacing w:val="-1"/>
          <w:sz w:val="18"/>
          <w:szCs w:val="18"/>
          <w:lang w:eastAsia="en-US"/>
        </w:rPr>
        <w:t>None of the department’s valuations of assets or liabilities are eligible for categorisation into level 1.</w:t>
      </w:r>
    </w:p>
    <w:p w14:paraId="46A5DDB6" w14:textId="77777777" w:rsidR="00B9311E" w:rsidRPr="00BD77D8" w:rsidRDefault="00B9311E" w:rsidP="00140059">
      <w:pPr>
        <w:spacing w:line="206" w:lineRule="exact"/>
        <w:textAlignment w:val="baseline"/>
        <w:rPr>
          <w:rFonts w:eastAsia="Arial"/>
          <w:b/>
          <w:bCs/>
          <w:sz w:val="18"/>
          <w:szCs w:val="18"/>
          <w:lang w:eastAsia="en-US"/>
        </w:rPr>
      </w:pPr>
      <w:r w:rsidRPr="00BD77D8">
        <w:rPr>
          <w:rFonts w:eastAsia="Arial"/>
          <w:b/>
          <w:bCs/>
          <w:sz w:val="18"/>
          <w:szCs w:val="18"/>
          <w:lang w:eastAsia="en-US"/>
        </w:rPr>
        <w:t>Categorisation of Assets Measured at Fair Value</w:t>
      </w:r>
    </w:p>
    <w:tbl>
      <w:tblPr>
        <w:tblW w:w="0" w:type="auto"/>
        <w:tblCellMar>
          <w:left w:w="0" w:type="dxa"/>
          <w:right w:w="0" w:type="dxa"/>
        </w:tblCellMar>
        <w:tblLook w:val="04A0" w:firstRow="1" w:lastRow="0" w:firstColumn="1" w:lastColumn="0" w:noHBand="0" w:noVBand="1"/>
      </w:tblPr>
      <w:tblGrid>
        <w:gridCol w:w="1302"/>
        <w:gridCol w:w="280"/>
        <w:gridCol w:w="1454"/>
        <w:gridCol w:w="1455"/>
        <w:gridCol w:w="1510"/>
        <w:gridCol w:w="1522"/>
        <w:gridCol w:w="1399"/>
        <w:gridCol w:w="1399"/>
      </w:tblGrid>
      <w:tr w:rsidR="00BD77D8" w:rsidRPr="00BD77D8" w14:paraId="349AF094" w14:textId="77777777" w:rsidTr="00140059">
        <w:trPr>
          <w:trHeight w:val="271"/>
        </w:trPr>
        <w:tc>
          <w:tcPr>
            <w:tcW w:w="1303" w:type="dxa"/>
            <w:tcBorders>
              <w:top w:val="nil"/>
              <w:left w:val="nil"/>
              <w:bottom w:val="nil"/>
              <w:right w:val="nil"/>
            </w:tcBorders>
            <w:shd w:val="clear" w:color="auto" w:fill="auto"/>
            <w:noWrap/>
            <w:vAlign w:val="center"/>
            <w:hideMark/>
          </w:tcPr>
          <w:p w14:paraId="3E887C3E" w14:textId="77777777" w:rsidR="00B9311E" w:rsidRPr="00BD77D8" w:rsidRDefault="00B9311E" w:rsidP="00B9311E">
            <w:pPr>
              <w:spacing w:after="0" w:line="240" w:lineRule="auto"/>
              <w:rPr>
                <w:rFonts w:ascii="Times New Roman" w:hAnsi="Times New Roman" w:cs="Times New Roman"/>
                <w:sz w:val="24"/>
                <w:szCs w:val="24"/>
              </w:rPr>
            </w:pPr>
          </w:p>
        </w:tc>
        <w:tc>
          <w:tcPr>
            <w:tcW w:w="267" w:type="dxa"/>
            <w:tcBorders>
              <w:top w:val="nil"/>
              <w:left w:val="nil"/>
              <w:bottom w:val="nil"/>
              <w:right w:val="nil"/>
            </w:tcBorders>
            <w:shd w:val="clear" w:color="auto" w:fill="auto"/>
            <w:noWrap/>
            <w:vAlign w:val="center"/>
            <w:hideMark/>
          </w:tcPr>
          <w:p w14:paraId="151330F7" w14:textId="77777777" w:rsidR="00B9311E" w:rsidRPr="00BD77D8" w:rsidRDefault="00B9311E" w:rsidP="00B9311E">
            <w:pPr>
              <w:spacing w:after="0" w:line="240" w:lineRule="auto"/>
              <w:ind w:firstLineChars="1500" w:firstLine="3000"/>
              <w:rPr>
                <w:rFonts w:ascii="Times New Roman" w:hAnsi="Times New Roman" w:cs="Times New Roman"/>
                <w:sz w:val="20"/>
                <w:szCs w:val="20"/>
              </w:rPr>
            </w:pPr>
          </w:p>
        </w:tc>
        <w:tc>
          <w:tcPr>
            <w:tcW w:w="2913" w:type="dxa"/>
            <w:gridSpan w:val="2"/>
            <w:tcBorders>
              <w:top w:val="nil"/>
              <w:left w:val="nil"/>
              <w:bottom w:val="nil"/>
              <w:right w:val="nil"/>
            </w:tcBorders>
            <w:shd w:val="clear" w:color="auto" w:fill="auto"/>
            <w:noWrap/>
            <w:vAlign w:val="center"/>
            <w:hideMark/>
          </w:tcPr>
          <w:p w14:paraId="1C4A306D" w14:textId="77777777" w:rsidR="00B9311E" w:rsidRPr="00BD77D8" w:rsidRDefault="00B9311E" w:rsidP="00B9311E">
            <w:pPr>
              <w:spacing w:after="0" w:line="240" w:lineRule="auto"/>
              <w:jc w:val="center"/>
              <w:rPr>
                <w:b/>
                <w:bCs/>
                <w:sz w:val="18"/>
                <w:szCs w:val="18"/>
              </w:rPr>
            </w:pPr>
            <w:r w:rsidRPr="00BD77D8">
              <w:rPr>
                <w:b/>
                <w:bCs/>
                <w:sz w:val="18"/>
                <w:szCs w:val="18"/>
              </w:rPr>
              <w:t xml:space="preserve"> Level 2 </w:t>
            </w:r>
          </w:p>
        </w:tc>
        <w:tc>
          <w:tcPr>
            <w:tcW w:w="3038" w:type="dxa"/>
            <w:gridSpan w:val="2"/>
            <w:tcBorders>
              <w:top w:val="nil"/>
              <w:left w:val="nil"/>
              <w:bottom w:val="nil"/>
              <w:right w:val="nil"/>
            </w:tcBorders>
            <w:shd w:val="clear" w:color="auto" w:fill="auto"/>
            <w:noWrap/>
            <w:vAlign w:val="center"/>
            <w:hideMark/>
          </w:tcPr>
          <w:p w14:paraId="65307E04" w14:textId="77777777" w:rsidR="00B9311E" w:rsidRPr="00BD77D8" w:rsidRDefault="00B9311E" w:rsidP="00B9311E">
            <w:pPr>
              <w:spacing w:after="0" w:line="240" w:lineRule="auto"/>
              <w:jc w:val="center"/>
              <w:rPr>
                <w:b/>
                <w:bCs/>
                <w:sz w:val="18"/>
                <w:szCs w:val="18"/>
              </w:rPr>
            </w:pPr>
            <w:r w:rsidRPr="00BD77D8">
              <w:rPr>
                <w:b/>
                <w:bCs/>
                <w:sz w:val="18"/>
                <w:szCs w:val="18"/>
              </w:rPr>
              <w:t xml:space="preserve"> Level 3 </w:t>
            </w:r>
          </w:p>
        </w:tc>
        <w:tc>
          <w:tcPr>
            <w:tcW w:w="2800" w:type="dxa"/>
            <w:gridSpan w:val="2"/>
            <w:tcBorders>
              <w:top w:val="nil"/>
              <w:left w:val="nil"/>
              <w:bottom w:val="nil"/>
              <w:right w:val="nil"/>
            </w:tcBorders>
            <w:shd w:val="clear" w:color="auto" w:fill="auto"/>
            <w:noWrap/>
            <w:vAlign w:val="center"/>
            <w:hideMark/>
          </w:tcPr>
          <w:p w14:paraId="105F570B" w14:textId="77777777" w:rsidR="00B9311E" w:rsidRPr="00BD77D8" w:rsidRDefault="00B9311E" w:rsidP="00B9311E">
            <w:pPr>
              <w:spacing w:after="0" w:line="240" w:lineRule="auto"/>
              <w:jc w:val="center"/>
              <w:rPr>
                <w:b/>
                <w:bCs/>
                <w:sz w:val="18"/>
                <w:szCs w:val="18"/>
              </w:rPr>
            </w:pPr>
            <w:r w:rsidRPr="00BD77D8">
              <w:rPr>
                <w:b/>
                <w:bCs/>
                <w:sz w:val="18"/>
                <w:szCs w:val="18"/>
              </w:rPr>
              <w:t xml:space="preserve"> Total Carrying Amount </w:t>
            </w:r>
          </w:p>
        </w:tc>
      </w:tr>
      <w:tr w:rsidR="00BD77D8" w:rsidRPr="00BD77D8" w14:paraId="69DDDA67" w14:textId="77777777" w:rsidTr="00140059">
        <w:trPr>
          <w:trHeight w:val="303"/>
        </w:trPr>
        <w:tc>
          <w:tcPr>
            <w:tcW w:w="1303" w:type="dxa"/>
            <w:tcBorders>
              <w:top w:val="nil"/>
              <w:left w:val="nil"/>
              <w:bottom w:val="nil"/>
              <w:right w:val="nil"/>
            </w:tcBorders>
            <w:shd w:val="clear" w:color="auto" w:fill="auto"/>
            <w:noWrap/>
            <w:vAlign w:val="center"/>
            <w:hideMark/>
          </w:tcPr>
          <w:p w14:paraId="370C1E5B" w14:textId="77777777" w:rsidR="00B9311E" w:rsidRPr="00BD77D8" w:rsidRDefault="00B9311E" w:rsidP="00B9311E">
            <w:pPr>
              <w:spacing w:after="0" w:line="240" w:lineRule="auto"/>
              <w:jc w:val="center"/>
              <w:rPr>
                <w:sz w:val="18"/>
                <w:szCs w:val="18"/>
              </w:rPr>
            </w:pPr>
          </w:p>
        </w:tc>
        <w:tc>
          <w:tcPr>
            <w:tcW w:w="267" w:type="dxa"/>
            <w:tcBorders>
              <w:top w:val="nil"/>
              <w:left w:val="nil"/>
              <w:bottom w:val="nil"/>
              <w:right w:val="nil"/>
            </w:tcBorders>
            <w:shd w:val="clear" w:color="auto" w:fill="auto"/>
            <w:noWrap/>
            <w:vAlign w:val="center"/>
            <w:hideMark/>
          </w:tcPr>
          <w:p w14:paraId="66F55290" w14:textId="77777777" w:rsidR="00B9311E" w:rsidRPr="00BD77D8" w:rsidRDefault="00B9311E" w:rsidP="00B9311E">
            <w:pPr>
              <w:spacing w:after="0" w:line="240" w:lineRule="auto"/>
              <w:ind w:firstLineChars="1500" w:firstLine="3000"/>
              <w:rPr>
                <w:rFonts w:ascii="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6C6D3F6B"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457" w:type="dxa"/>
            <w:tcBorders>
              <w:top w:val="nil"/>
              <w:left w:val="nil"/>
              <w:bottom w:val="nil"/>
              <w:right w:val="nil"/>
            </w:tcBorders>
            <w:shd w:val="clear" w:color="auto" w:fill="auto"/>
            <w:noWrap/>
            <w:vAlign w:val="bottom"/>
            <w:hideMark/>
          </w:tcPr>
          <w:p w14:paraId="3626D54C" w14:textId="77777777" w:rsidR="00B9311E" w:rsidRPr="00BD77D8" w:rsidRDefault="00B9311E" w:rsidP="00B9311E">
            <w:pPr>
              <w:spacing w:after="0" w:line="240" w:lineRule="auto"/>
              <w:jc w:val="right"/>
              <w:rPr>
                <w:b/>
                <w:bCs/>
                <w:sz w:val="18"/>
                <w:szCs w:val="18"/>
              </w:rPr>
            </w:pPr>
            <w:r w:rsidRPr="00BD77D8">
              <w:rPr>
                <w:b/>
                <w:bCs/>
                <w:sz w:val="18"/>
                <w:szCs w:val="18"/>
              </w:rPr>
              <w:t>2021</w:t>
            </w:r>
          </w:p>
        </w:tc>
        <w:tc>
          <w:tcPr>
            <w:tcW w:w="1513" w:type="dxa"/>
            <w:tcBorders>
              <w:top w:val="nil"/>
              <w:left w:val="nil"/>
              <w:bottom w:val="nil"/>
              <w:right w:val="nil"/>
            </w:tcBorders>
            <w:shd w:val="clear" w:color="auto" w:fill="auto"/>
            <w:noWrap/>
            <w:vAlign w:val="bottom"/>
            <w:hideMark/>
          </w:tcPr>
          <w:p w14:paraId="0AD18DF8"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525" w:type="dxa"/>
            <w:tcBorders>
              <w:top w:val="nil"/>
              <w:left w:val="nil"/>
              <w:bottom w:val="nil"/>
              <w:right w:val="nil"/>
            </w:tcBorders>
            <w:shd w:val="clear" w:color="auto" w:fill="auto"/>
            <w:noWrap/>
            <w:vAlign w:val="bottom"/>
            <w:hideMark/>
          </w:tcPr>
          <w:p w14:paraId="24400FE7" w14:textId="77777777" w:rsidR="00B9311E" w:rsidRPr="00BD77D8" w:rsidRDefault="00B9311E" w:rsidP="00B9311E">
            <w:pPr>
              <w:spacing w:after="0" w:line="240" w:lineRule="auto"/>
              <w:jc w:val="right"/>
              <w:rPr>
                <w:b/>
                <w:bCs/>
                <w:sz w:val="18"/>
                <w:szCs w:val="18"/>
              </w:rPr>
            </w:pPr>
            <w:r w:rsidRPr="00BD77D8">
              <w:rPr>
                <w:b/>
                <w:bCs/>
                <w:sz w:val="18"/>
                <w:szCs w:val="18"/>
              </w:rPr>
              <w:t>2021</w:t>
            </w:r>
          </w:p>
        </w:tc>
        <w:tc>
          <w:tcPr>
            <w:tcW w:w="1400" w:type="dxa"/>
            <w:tcBorders>
              <w:top w:val="nil"/>
              <w:left w:val="nil"/>
              <w:bottom w:val="nil"/>
              <w:right w:val="nil"/>
            </w:tcBorders>
            <w:shd w:val="clear" w:color="auto" w:fill="auto"/>
            <w:noWrap/>
            <w:vAlign w:val="bottom"/>
            <w:hideMark/>
          </w:tcPr>
          <w:p w14:paraId="48AEDC38"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400" w:type="dxa"/>
            <w:tcBorders>
              <w:top w:val="nil"/>
              <w:left w:val="nil"/>
              <w:bottom w:val="nil"/>
              <w:right w:val="nil"/>
            </w:tcBorders>
            <w:shd w:val="clear" w:color="auto" w:fill="auto"/>
            <w:noWrap/>
            <w:vAlign w:val="bottom"/>
            <w:hideMark/>
          </w:tcPr>
          <w:p w14:paraId="77433F3C"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5046FCAF" w14:textId="77777777" w:rsidTr="00140059">
        <w:trPr>
          <w:trHeight w:val="303"/>
        </w:trPr>
        <w:tc>
          <w:tcPr>
            <w:tcW w:w="1303" w:type="dxa"/>
            <w:tcBorders>
              <w:top w:val="nil"/>
              <w:left w:val="nil"/>
              <w:bottom w:val="nil"/>
              <w:right w:val="nil"/>
            </w:tcBorders>
            <w:shd w:val="clear" w:color="auto" w:fill="auto"/>
            <w:noWrap/>
            <w:vAlign w:val="center"/>
            <w:hideMark/>
          </w:tcPr>
          <w:p w14:paraId="7F109A20" w14:textId="77777777" w:rsidR="00B9311E" w:rsidRPr="00BD77D8" w:rsidRDefault="00B9311E" w:rsidP="00B9311E">
            <w:pPr>
              <w:spacing w:after="0" w:line="240" w:lineRule="auto"/>
              <w:jc w:val="right"/>
              <w:rPr>
                <w:sz w:val="18"/>
                <w:szCs w:val="18"/>
              </w:rPr>
            </w:pPr>
          </w:p>
        </w:tc>
        <w:tc>
          <w:tcPr>
            <w:tcW w:w="267" w:type="dxa"/>
            <w:tcBorders>
              <w:top w:val="nil"/>
              <w:left w:val="nil"/>
              <w:bottom w:val="nil"/>
              <w:right w:val="nil"/>
            </w:tcBorders>
            <w:shd w:val="clear" w:color="auto" w:fill="auto"/>
            <w:noWrap/>
            <w:vAlign w:val="center"/>
            <w:hideMark/>
          </w:tcPr>
          <w:p w14:paraId="3AF5AF5E" w14:textId="77777777" w:rsidR="00B9311E" w:rsidRPr="00BD77D8" w:rsidRDefault="00B9311E" w:rsidP="00B9311E">
            <w:pPr>
              <w:spacing w:after="0" w:line="240" w:lineRule="auto"/>
              <w:ind w:firstLineChars="1500" w:firstLine="3000"/>
              <w:rPr>
                <w:rFonts w:ascii="Times New Roman" w:hAnsi="Times New Roman" w:cs="Times New Roman"/>
                <w:sz w:val="20"/>
                <w:szCs w:val="20"/>
              </w:rPr>
            </w:pPr>
          </w:p>
        </w:tc>
        <w:tc>
          <w:tcPr>
            <w:tcW w:w="1456" w:type="dxa"/>
            <w:tcBorders>
              <w:top w:val="nil"/>
              <w:left w:val="nil"/>
              <w:bottom w:val="single" w:sz="4" w:space="0" w:color="auto"/>
              <w:right w:val="nil"/>
            </w:tcBorders>
            <w:shd w:val="clear" w:color="auto" w:fill="auto"/>
            <w:vAlign w:val="center"/>
            <w:hideMark/>
          </w:tcPr>
          <w:p w14:paraId="7E5578CB"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457" w:type="dxa"/>
            <w:tcBorders>
              <w:top w:val="nil"/>
              <w:left w:val="nil"/>
              <w:bottom w:val="single" w:sz="4" w:space="0" w:color="auto"/>
              <w:right w:val="nil"/>
            </w:tcBorders>
            <w:shd w:val="clear" w:color="auto" w:fill="auto"/>
            <w:vAlign w:val="center"/>
            <w:hideMark/>
          </w:tcPr>
          <w:p w14:paraId="3008072C"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513" w:type="dxa"/>
            <w:tcBorders>
              <w:top w:val="nil"/>
              <w:left w:val="nil"/>
              <w:bottom w:val="single" w:sz="4" w:space="0" w:color="auto"/>
              <w:right w:val="nil"/>
            </w:tcBorders>
            <w:shd w:val="clear" w:color="auto" w:fill="auto"/>
            <w:vAlign w:val="center"/>
            <w:hideMark/>
          </w:tcPr>
          <w:p w14:paraId="3F07ED8A"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525" w:type="dxa"/>
            <w:tcBorders>
              <w:top w:val="nil"/>
              <w:left w:val="nil"/>
              <w:bottom w:val="single" w:sz="4" w:space="0" w:color="auto"/>
              <w:right w:val="nil"/>
            </w:tcBorders>
            <w:shd w:val="clear" w:color="auto" w:fill="auto"/>
            <w:vAlign w:val="center"/>
            <w:hideMark/>
          </w:tcPr>
          <w:p w14:paraId="2E3096B5"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400" w:type="dxa"/>
            <w:tcBorders>
              <w:top w:val="nil"/>
              <w:left w:val="nil"/>
              <w:bottom w:val="single" w:sz="4" w:space="0" w:color="auto"/>
              <w:right w:val="nil"/>
            </w:tcBorders>
            <w:shd w:val="clear" w:color="auto" w:fill="auto"/>
            <w:vAlign w:val="center"/>
            <w:hideMark/>
          </w:tcPr>
          <w:p w14:paraId="191273D9"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400" w:type="dxa"/>
            <w:tcBorders>
              <w:top w:val="nil"/>
              <w:left w:val="nil"/>
              <w:bottom w:val="single" w:sz="4" w:space="0" w:color="auto"/>
              <w:right w:val="nil"/>
            </w:tcBorders>
            <w:shd w:val="clear" w:color="auto" w:fill="auto"/>
            <w:vAlign w:val="center"/>
            <w:hideMark/>
          </w:tcPr>
          <w:p w14:paraId="73F31A5B"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03536842" w14:textId="77777777" w:rsidTr="00140059">
        <w:trPr>
          <w:trHeight w:val="303"/>
        </w:trPr>
        <w:tc>
          <w:tcPr>
            <w:tcW w:w="1303" w:type="dxa"/>
            <w:tcBorders>
              <w:top w:val="nil"/>
              <w:left w:val="nil"/>
              <w:bottom w:val="nil"/>
              <w:right w:val="nil"/>
            </w:tcBorders>
            <w:shd w:val="clear" w:color="auto" w:fill="auto"/>
            <w:noWrap/>
            <w:vAlign w:val="center"/>
            <w:hideMark/>
          </w:tcPr>
          <w:p w14:paraId="4E58A781" w14:textId="77777777" w:rsidR="00B9311E" w:rsidRPr="00BD77D8" w:rsidRDefault="00B9311E" w:rsidP="00B9311E">
            <w:pPr>
              <w:spacing w:after="0" w:line="240" w:lineRule="auto"/>
              <w:rPr>
                <w:sz w:val="18"/>
                <w:szCs w:val="18"/>
              </w:rPr>
            </w:pPr>
            <w:r w:rsidRPr="00BD77D8">
              <w:rPr>
                <w:sz w:val="18"/>
                <w:szCs w:val="18"/>
              </w:rPr>
              <w:t xml:space="preserve"> Land * </w:t>
            </w:r>
          </w:p>
        </w:tc>
        <w:tc>
          <w:tcPr>
            <w:tcW w:w="267" w:type="dxa"/>
            <w:tcBorders>
              <w:top w:val="nil"/>
              <w:left w:val="nil"/>
              <w:bottom w:val="nil"/>
              <w:right w:val="nil"/>
            </w:tcBorders>
            <w:shd w:val="clear" w:color="auto" w:fill="auto"/>
            <w:noWrap/>
            <w:vAlign w:val="center"/>
            <w:hideMark/>
          </w:tcPr>
          <w:p w14:paraId="3A1EE937" w14:textId="77777777" w:rsidR="00B9311E" w:rsidRPr="00BD77D8" w:rsidRDefault="00B9311E" w:rsidP="00B9311E">
            <w:pPr>
              <w:spacing w:after="0" w:line="240" w:lineRule="auto"/>
              <w:rPr>
                <w:sz w:val="18"/>
                <w:szCs w:val="18"/>
              </w:rPr>
            </w:pPr>
          </w:p>
        </w:tc>
        <w:tc>
          <w:tcPr>
            <w:tcW w:w="1456" w:type="dxa"/>
            <w:tcBorders>
              <w:top w:val="single" w:sz="4" w:space="0" w:color="auto"/>
              <w:left w:val="nil"/>
              <w:bottom w:val="nil"/>
              <w:right w:val="nil"/>
            </w:tcBorders>
            <w:shd w:val="clear" w:color="auto" w:fill="auto"/>
            <w:noWrap/>
            <w:vAlign w:val="bottom"/>
            <w:hideMark/>
          </w:tcPr>
          <w:p w14:paraId="4EE5A54B" w14:textId="77777777" w:rsidR="00B9311E" w:rsidRPr="00BD77D8" w:rsidRDefault="00B9311E" w:rsidP="00B9311E">
            <w:pPr>
              <w:spacing w:after="0" w:line="240" w:lineRule="auto"/>
              <w:jc w:val="right"/>
              <w:rPr>
                <w:b/>
                <w:bCs/>
                <w:sz w:val="18"/>
                <w:szCs w:val="18"/>
              </w:rPr>
            </w:pPr>
            <w:r w:rsidRPr="00BD77D8">
              <w:rPr>
                <w:b/>
                <w:bCs/>
                <w:sz w:val="18"/>
                <w:szCs w:val="18"/>
              </w:rPr>
              <w:t xml:space="preserve">         55,964 </w:t>
            </w:r>
          </w:p>
        </w:tc>
        <w:tc>
          <w:tcPr>
            <w:tcW w:w="1457" w:type="dxa"/>
            <w:tcBorders>
              <w:top w:val="single" w:sz="4" w:space="0" w:color="auto"/>
              <w:left w:val="nil"/>
              <w:bottom w:val="nil"/>
              <w:right w:val="nil"/>
            </w:tcBorders>
            <w:shd w:val="clear" w:color="auto" w:fill="auto"/>
            <w:noWrap/>
            <w:vAlign w:val="bottom"/>
            <w:hideMark/>
          </w:tcPr>
          <w:p w14:paraId="5B02FE91" w14:textId="77777777" w:rsidR="00B9311E" w:rsidRPr="00BD77D8" w:rsidRDefault="00B9311E" w:rsidP="00B9311E">
            <w:pPr>
              <w:spacing w:after="0" w:line="240" w:lineRule="auto"/>
              <w:jc w:val="right"/>
              <w:rPr>
                <w:sz w:val="18"/>
                <w:szCs w:val="18"/>
              </w:rPr>
            </w:pPr>
            <w:r w:rsidRPr="00BD77D8">
              <w:rPr>
                <w:sz w:val="18"/>
                <w:szCs w:val="18"/>
              </w:rPr>
              <w:t xml:space="preserve">         50,663 </w:t>
            </w:r>
          </w:p>
        </w:tc>
        <w:tc>
          <w:tcPr>
            <w:tcW w:w="1513" w:type="dxa"/>
            <w:tcBorders>
              <w:top w:val="single" w:sz="4" w:space="0" w:color="auto"/>
              <w:left w:val="nil"/>
              <w:bottom w:val="nil"/>
              <w:right w:val="nil"/>
            </w:tcBorders>
            <w:shd w:val="clear" w:color="auto" w:fill="auto"/>
            <w:noWrap/>
            <w:vAlign w:val="bottom"/>
            <w:hideMark/>
          </w:tcPr>
          <w:p w14:paraId="1CECF617"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525" w:type="dxa"/>
            <w:tcBorders>
              <w:top w:val="single" w:sz="4" w:space="0" w:color="auto"/>
              <w:left w:val="nil"/>
              <w:bottom w:val="nil"/>
              <w:right w:val="nil"/>
            </w:tcBorders>
            <w:shd w:val="clear" w:color="auto" w:fill="auto"/>
            <w:noWrap/>
            <w:vAlign w:val="bottom"/>
            <w:hideMark/>
          </w:tcPr>
          <w:p w14:paraId="49A99C08"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400" w:type="dxa"/>
            <w:tcBorders>
              <w:top w:val="single" w:sz="4" w:space="0" w:color="auto"/>
              <w:left w:val="nil"/>
              <w:bottom w:val="nil"/>
              <w:right w:val="nil"/>
            </w:tcBorders>
            <w:shd w:val="clear" w:color="auto" w:fill="auto"/>
            <w:noWrap/>
            <w:vAlign w:val="bottom"/>
            <w:hideMark/>
          </w:tcPr>
          <w:p w14:paraId="0AD3CA48" w14:textId="77777777" w:rsidR="00B9311E" w:rsidRPr="00BD77D8" w:rsidRDefault="00B9311E" w:rsidP="00B9311E">
            <w:pPr>
              <w:spacing w:after="0" w:line="240" w:lineRule="auto"/>
              <w:jc w:val="right"/>
              <w:rPr>
                <w:b/>
                <w:bCs/>
                <w:sz w:val="18"/>
                <w:szCs w:val="18"/>
              </w:rPr>
            </w:pPr>
            <w:r w:rsidRPr="00BD77D8">
              <w:rPr>
                <w:b/>
                <w:bCs/>
                <w:sz w:val="18"/>
                <w:szCs w:val="18"/>
              </w:rPr>
              <w:t xml:space="preserve">         55,964 </w:t>
            </w:r>
          </w:p>
        </w:tc>
        <w:tc>
          <w:tcPr>
            <w:tcW w:w="1400" w:type="dxa"/>
            <w:tcBorders>
              <w:top w:val="single" w:sz="4" w:space="0" w:color="auto"/>
              <w:left w:val="nil"/>
              <w:bottom w:val="nil"/>
              <w:right w:val="nil"/>
            </w:tcBorders>
            <w:shd w:val="clear" w:color="auto" w:fill="auto"/>
            <w:noWrap/>
            <w:vAlign w:val="bottom"/>
            <w:hideMark/>
          </w:tcPr>
          <w:p w14:paraId="7A03EACB" w14:textId="77777777" w:rsidR="00B9311E" w:rsidRPr="00BD77D8" w:rsidRDefault="00B9311E" w:rsidP="00B9311E">
            <w:pPr>
              <w:spacing w:after="0" w:line="240" w:lineRule="auto"/>
              <w:jc w:val="right"/>
              <w:rPr>
                <w:b/>
                <w:bCs/>
                <w:sz w:val="18"/>
                <w:szCs w:val="18"/>
              </w:rPr>
            </w:pPr>
            <w:r w:rsidRPr="00BD77D8">
              <w:rPr>
                <w:b/>
                <w:bCs/>
                <w:sz w:val="18"/>
                <w:szCs w:val="18"/>
              </w:rPr>
              <w:t xml:space="preserve">         50,663 </w:t>
            </w:r>
          </w:p>
        </w:tc>
      </w:tr>
      <w:tr w:rsidR="00BD77D8" w:rsidRPr="00BD77D8" w14:paraId="23B1F7B6" w14:textId="77777777" w:rsidTr="00140059">
        <w:trPr>
          <w:trHeight w:val="303"/>
        </w:trPr>
        <w:tc>
          <w:tcPr>
            <w:tcW w:w="1303" w:type="dxa"/>
            <w:tcBorders>
              <w:top w:val="nil"/>
              <w:left w:val="nil"/>
              <w:bottom w:val="nil"/>
              <w:right w:val="nil"/>
            </w:tcBorders>
            <w:shd w:val="clear" w:color="auto" w:fill="auto"/>
            <w:noWrap/>
            <w:vAlign w:val="center"/>
            <w:hideMark/>
          </w:tcPr>
          <w:p w14:paraId="31D35EDB" w14:textId="77777777" w:rsidR="00B9311E" w:rsidRPr="00BD77D8" w:rsidRDefault="00B9311E" w:rsidP="00B9311E">
            <w:pPr>
              <w:spacing w:after="0" w:line="240" w:lineRule="auto"/>
              <w:rPr>
                <w:sz w:val="18"/>
                <w:szCs w:val="18"/>
              </w:rPr>
            </w:pPr>
            <w:r w:rsidRPr="00BD77D8">
              <w:rPr>
                <w:sz w:val="18"/>
                <w:szCs w:val="18"/>
              </w:rPr>
              <w:t xml:space="preserve"> Buildings ^ </w:t>
            </w:r>
          </w:p>
        </w:tc>
        <w:tc>
          <w:tcPr>
            <w:tcW w:w="267" w:type="dxa"/>
            <w:tcBorders>
              <w:top w:val="nil"/>
              <w:left w:val="nil"/>
              <w:bottom w:val="nil"/>
              <w:right w:val="nil"/>
            </w:tcBorders>
            <w:shd w:val="clear" w:color="auto" w:fill="auto"/>
            <w:noWrap/>
            <w:vAlign w:val="center"/>
            <w:hideMark/>
          </w:tcPr>
          <w:p w14:paraId="14EAB7DA" w14:textId="77777777" w:rsidR="00B9311E" w:rsidRPr="00BD77D8" w:rsidRDefault="00B9311E" w:rsidP="00B9311E">
            <w:pPr>
              <w:spacing w:after="0" w:line="240" w:lineRule="auto"/>
              <w:rPr>
                <w:sz w:val="18"/>
                <w:szCs w:val="18"/>
              </w:rPr>
            </w:pPr>
          </w:p>
        </w:tc>
        <w:tc>
          <w:tcPr>
            <w:tcW w:w="1456" w:type="dxa"/>
            <w:tcBorders>
              <w:top w:val="nil"/>
              <w:left w:val="nil"/>
              <w:bottom w:val="single" w:sz="4" w:space="0" w:color="auto"/>
              <w:right w:val="nil"/>
            </w:tcBorders>
            <w:shd w:val="clear" w:color="auto" w:fill="auto"/>
            <w:noWrap/>
            <w:vAlign w:val="bottom"/>
            <w:hideMark/>
          </w:tcPr>
          <w:p w14:paraId="0B9BEAD5" w14:textId="77777777" w:rsidR="00B9311E" w:rsidRPr="00BD77D8" w:rsidRDefault="00B9311E" w:rsidP="00B9311E">
            <w:pPr>
              <w:spacing w:after="0" w:line="240" w:lineRule="auto"/>
              <w:jc w:val="right"/>
              <w:rPr>
                <w:b/>
                <w:bCs/>
                <w:sz w:val="18"/>
                <w:szCs w:val="18"/>
              </w:rPr>
            </w:pPr>
            <w:r w:rsidRPr="00BD77D8">
              <w:rPr>
                <w:b/>
                <w:bCs/>
                <w:sz w:val="18"/>
                <w:szCs w:val="18"/>
              </w:rPr>
              <w:t xml:space="preserve">            9,052 </w:t>
            </w:r>
          </w:p>
        </w:tc>
        <w:tc>
          <w:tcPr>
            <w:tcW w:w="1457" w:type="dxa"/>
            <w:tcBorders>
              <w:top w:val="nil"/>
              <w:left w:val="nil"/>
              <w:bottom w:val="single" w:sz="4" w:space="0" w:color="auto"/>
              <w:right w:val="nil"/>
            </w:tcBorders>
            <w:shd w:val="clear" w:color="auto" w:fill="auto"/>
            <w:noWrap/>
            <w:vAlign w:val="bottom"/>
            <w:hideMark/>
          </w:tcPr>
          <w:p w14:paraId="778CAF8A" w14:textId="77777777" w:rsidR="00B9311E" w:rsidRPr="00BD77D8" w:rsidRDefault="00B9311E" w:rsidP="00B9311E">
            <w:pPr>
              <w:spacing w:after="0" w:line="240" w:lineRule="auto"/>
              <w:jc w:val="right"/>
              <w:rPr>
                <w:sz w:val="18"/>
                <w:szCs w:val="18"/>
              </w:rPr>
            </w:pPr>
            <w:r w:rsidRPr="00BD77D8">
              <w:rPr>
                <w:sz w:val="18"/>
                <w:szCs w:val="18"/>
              </w:rPr>
              <w:t xml:space="preserve">            8,728 </w:t>
            </w:r>
          </w:p>
        </w:tc>
        <w:tc>
          <w:tcPr>
            <w:tcW w:w="1513" w:type="dxa"/>
            <w:tcBorders>
              <w:top w:val="nil"/>
              <w:left w:val="nil"/>
              <w:bottom w:val="single" w:sz="4" w:space="0" w:color="auto"/>
              <w:right w:val="nil"/>
            </w:tcBorders>
            <w:shd w:val="clear" w:color="auto" w:fill="auto"/>
            <w:noWrap/>
            <w:vAlign w:val="bottom"/>
            <w:hideMark/>
          </w:tcPr>
          <w:p w14:paraId="6B3729E1" w14:textId="77777777" w:rsidR="00B9311E" w:rsidRPr="00BD77D8" w:rsidRDefault="00B9311E" w:rsidP="00B9311E">
            <w:pPr>
              <w:spacing w:after="0" w:line="240" w:lineRule="auto"/>
              <w:jc w:val="right"/>
              <w:rPr>
                <w:b/>
                <w:bCs/>
                <w:sz w:val="18"/>
                <w:szCs w:val="18"/>
              </w:rPr>
            </w:pPr>
            <w:r w:rsidRPr="00BD77D8">
              <w:rPr>
                <w:b/>
                <w:bCs/>
                <w:sz w:val="18"/>
                <w:szCs w:val="18"/>
              </w:rPr>
              <w:t xml:space="preserve">       137,334 </w:t>
            </w:r>
          </w:p>
        </w:tc>
        <w:tc>
          <w:tcPr>
            <w:tcW w:w="1525" w:type="dxa"/>
            <w:tcBorders>
              <w:top w:val="nil"/>
              <w:left w:val="nil"/>
              <w:bottom w:val="single" w:sz="4" w:space="0" w:color="auto"/>
              <w:right w:val="nil"/>
            </w:tcBorders>
            <w:shd w:val="clear" w:color="auto" w:fill="auto"/>
            <w:noWrap/>
            <w:vAlign w:val="bottom"/>
            <w:hideMark/>
          </w:tcPr>
          <w:p w14:paraId="3E4E9A8B" w14:textId="77777777" w:rsidR="00B9311E" w:rsidRPr="00BD77D8" w:rsidRDefault="00B9311E" w:rsidP="00B9311E">
            <w:pPr>
              <w:spacing w:after="0" w:line="240" w:lineRule="auto"/>
              <w:jc w:val="right"/>
              <w:rPr>
                <w:sz w:val="18"/>
                <w:szCs w:val="18"/>
              </w:rPr>
            </w:pPr>
            <w:r w:rsidRPr="00BD77D8">
              <w:rPr>
                <w:sz w:val="18"/>
                <w:szCs w:val="18"/>
              </w:rPr>
              <w:t xml:space="preserve">       119,490 </w:t>
            </w:r>
          </w:p>
        </w:tc>
        <w:tc>
          <w:tcPr>
            <w:tcW w:w="1400" w:type="dxa"/>
            <w:tcBorders>
              <w:top w:val="nil"/>
              <w:left w:val="nil"/>
              <w:bottom w:val="single" w:sz="4" w:space="0" w:color="auto"/>
              <w:right w:val="nil"/>
            </w:tcBorders>
            <w:shd w:val="clear" w:color="auto" w:fill="auto"/>
            <w:noWrap/>
            <w:vAlign w:val="bottom"/>
            <w:hideMark/>
          </w:tcPr>
          <w:p w14:paraId="688B9F6F" w14:textId="77777777" w:rsidR="00B9311E" w:rsidRPr="00BD77D8" w:rsidRDefault="00B9311E" w:rsidP="00B9311E">
            <w:pPr>
              <w:spacing w:after="0" w:line="240" w:lineRule="auto"/>
              <w:jc w:val="right"/>
              <w:rPr>
                <w:b/>
                <w:bCs/>
                <w:sz w:val="18"/>
                <w:szCs w:val="18"/>
              </w:rPr>
            </w:pPr>
            <w:r w:rsidRPr="00BD77D8">
              <w:rPr>
                <w:b/>
                <w:bCs/>
                <w:sz w:val="18"/>
                <w:szCs w:val="18"/>
              </w:rPr>
              <w:t xml:space="preserve">       146,386 </w:t>
            </w:r>
          </w:p>
        </w:tc>
        <w:tc>
          <w:tcPr>
            <w:tcW w:w="1400" w:type="dxa"/>
            <w:tcBorders>
              <w:top w:val="nil"/>
              <w:left w:val="nil"/>
              <w:bottom w:val="single" w:sz="4" w:space="0" w:color="auto"/>
              <w:right w:val="nil"/>
            </w:tcBorders>
            <w:shd w:val="clear" w:color="auto" w:fill="auto"/>
            <w:noWrap/>
            <w:vAlign w:val="bottom"/>
            <w:hideMark/>
          </w:tcPr>
          <w:p w14:paraId="4F705677" w14:textId="77777777" w:rsidR="00B9311E" w:rsidRPr="00BD77D8" w:rsidRDefault="00B9311E" w:rsidP="00B9311E">
            <w:pPr>
              <w:spacing w:after="0" w:line="240" w:lineRule="auto"/>
              <w:jc w:val="right"/>
              <w:rPr>
                <w:b/>
                <w:bCs/>
                <w:sz w:val="18"/>
                <w:szCs w:val="18"/>
              </w:rPr>
            </w:pPr>
            <w:r w:rsidRPr="00BD77D8">
              <w:rPr>
                <w:b/>
                <w:bCs/>
                <w:sz w:val="18"/>
                <w:szCs w:val="18"/>
              </w:rPr>
              <w:t xml:space="preserve">       128,218 </w:t>
            </w:r>
          </w:p>
        </w:tc>
      </w:tr>
    </w:tbl>
    <w:p w14:paraId="1E0AB67C" w14:textId="77777777" w:rsidR="00B9311E" w:rsidRPr="00BD77D8" w:rsidRDefault="00B9311E" w:rsidP="00140059">
      <w:pPr>
        <w:spacing w:before="240" w:after="0" w:line="240" w:lineRule="auto"/>
        <w:rPr>
          <w:rFonts w:eastAsia="PMingLiU"/>
          <w:b/>
          <w:sz w:val="16"/>
          <w:szCs w:val="20"/>
          <w:lang w:val="en-US" w:eastAsia="en-US"/>
        </w:rPr>
      </w:pPr>
      <w:r w:rsidRPr="00BD77D8">
        <w:rPr>
          <w:rFonts w:eastAsia="PMingLiU"/>
          <w:sz w:val="16"/>
          <w:szCs w:val="20"/>
          <w:lang w:val="en-US" w:eastAsia="en-US"/>
        </w:rPr>
        <w:t xml:space="preserve">* Level 2 Land assets primarily reflect land under buildings supporting disability services. </w:t>
      </w:r>
    </w:p>
    <w:p w14:paraId="1C0769D2" w14:textId="77777777" w:rsidR="00B9311E" w:rsidRPr="00BD77D8" w:rsidRDefault="00B9311E" w:rsidP="00B9311E">
      <w:pPr>
        <w:spacing w:after="0" w:line="240" w:lineRule="auto"/>
        <w:rPr>
          <w:rFonts w:eastAsia="PMingLiU"/>
          <w:b/>
          <w:sz w:val="16"/>
          <w:szCs w:val="20"/>
          <w:lang w:val="en-US" w:eastAsia="en-US"/>
        </w:rPr>
      </w:pPr>
      <w:r w:rsidRPr="00BD77D8">
        <w:rPr>
          <w:rFonts w:eastAsia="PMingLiU"/>
          <w:sz w:val="16"/>
          <w:szCs w:val="20"/>
          <w:lang w:val="en-US" w:eastAsia="en-US"/>
        </w:rPr>
        <w:t xml:space="preserve">^ Level 2 Building assets primarily reflect houses to support disability services that are assessed as having a market value within the general real estate market due to their limited specific design features compared to more special purpose facilities (which are assessed as Level 3 buildings). </w:t>
      </w:r>
    </w:p>
    <w:p w14:paraId="63736EA9" w14:textId="77777777" w:rsidR="00B9311E" w:rsidRPr="00BD77D8" w:rsidRDefault="00B9311E" w:rsidP="00B9311E">
      <w:pPr>
        <w:spacing w:after="0" w:line="240" w:lineRule="auto"/>
        <w:rPr>
          <w:rFonts w:eastAsia="PMingLiU"/>
          <w:b/>
          <w:sz w:val="16"/>
          <w:szCs w:val="20"/>
          <w:lang w:val="en-US" w:eastAsia="en-US"/>
        </w:rPr>
      </w:pPr>
      <w:r w:rsidRPr="00BD77D8">
        <w:rPr>
          <w:rFonts w:eastAsia="PMingLiU"/>
          <w:sz w:val="16"/>
          <w:szCs w:val="20"/>
          <w:lang w:val="en-US" w:eastAsia="en-US"/>
        </w:rPr>
        <w:t>* Level 3 The department is the trustee of various reserve lands which are valued at a nominal value of $1 per parcel as land is held in trust for the local community – refer Note C4-7.</w:t>
      </w:r>
    </w:p>
    <w:p w14:paraId="5E692D46" w14:textId="77777777" w:rsidR="00B9311E" w:rsidRPr="00BD77D8" w:rsidRDefault="00B9311E" w:rsidP="00B9311E">
      <w:pPr>
        <w:spacing w:after="0" w:line="240" w:lineRule="auto"/>
        <w:rPr>
          <w:rFonts w:eastAsia="PMingLiU"/>
          <w:b/>
          <w:sz w:val="16"/>
          <w:szCs w:val="20"/>
          <w:lang w:val="en-US" w:eastAsia="en-US"/>
        </w:rPr>
      </w:pPr>
      <w:r w:rsidRPr="00BD77D8">
        <w:rPr>
          <w:rFonts w:eastAsia="PMingLiU"/>
          <w:sz w:val="16"/>
          <w:szCs w:val="20"/>
          <w:lang w:val="en-US" w:eastAsia="en-US"/>
        </w:rPr>
        <w:t xml:space="preserve">^ Level 3 Buildings include special purpose designed houses and facilities to support disability services, and special purpose buildings to support Retail Stores operations in remote discrete communities </w:t>
      </w:r>
    </w:p>
    <w:p w14:paraId="725B5753" w14:textId="74DC92DA" w:rsidR="0040288C" w:rsidRPr="00BD77D8" w:rsidRDefault="0040288C" w:rsidP="00C3515C">
      <w:pPr>
        <w:spacing w:before="840" w:after="0" w:line="199" w:lineRule="exact"/>
        <w:textAlignment w:val="baseline"/>
        <w:rPr>
          <w:rFonts w:eastAsia="Arial"/>
          <w:bCs/>
          <w:sz w:val="18"/>
          <w:szCs w:val="18"/>
          <w:lang w:eastAsia="en-US"/>
        </w:rPr>
      </w:pP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t>Page 25 of 45</w:t>
      </w:r>
    </w:p>
    <w:p w14:paraId="6646B03C" w14:textId="77777777" w:rsidR="00C3515C" w:rsidRPr="00BD77D8" w:rsidRDefault="00C3515C">
      <w:pPr>
        <w:spacing w:after="0" w:line="240" w:lineRule="auto"/>
        <w:rPr>
          <w:rFonts w:eastAsia="Arial"/>
          <w:b/>
          <w:bCs/>
          <w:sz w:val="18"/>
          <w:szCs w:val="18"/>
          <w:lang w:eastAsia="en-US"/>
        </w:rPr>
      </w:pPr>
      <w:r w:rsidRPr="00BD77D8">
        <w:rPr>
          <w:rFonts w:eastAsia="Arial"/>
          <w:b/>
          <w:bCs/>
          <w:sz w:val="18"/>
          <w:szCs w:val="18"/>
          <w:lang w:eastAsia="en-US"/>
        </w:rPr>
        <w:br w:type="page"/>
      </w:r>
    </w:p>
    <w:p w14:paraId="0EA41907" w14:textId="3F9F888F"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4860D611"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460130AD"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36B54945"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250301F3" w14:textId="77777777" w:rsidR="00B9311E" w:rsidRPr="00BD77D8" w:rsidRDefault="00B9311E" w:rsidP="00E47A6E">
      <w:pPr>
        <w:spacing w:before="240" w:line="180" w:lineRule="atLeast"/>
        <w:textAlignment w:val="baseline"/>
        <w:rPr>
          <w:rFonts w:eastAsia="Arial"/>
          <w:b/>
          <w:bCs/>
          <w:sz w:val="22"/>
          <w:szCs w:val="22"/>
          <w:lang w:eastAsia="en-US"/>
        </w:rPr>
      </w:pPr>
      <w:r w:rsidRPr="00BD77D8">
        <w:rPr>
          <w:rFonts w:eastAsia="Arial"/>
          <w:b/>
          <w:bCs/>
          <w:sz w:val="22"/>
          <w:szCs w:val="22"/>
          <w:lang w:eastAsia="en-US"/>
        </w:rPr>
        <w:t>C4 Property, Plant and Equipment (continued)</w:t>
      </w:r>
    </w:p>
    <w:p w14:paraId="4D1767E5" w14:textId="77777777" w:rsidR="00B9311E" w:rsidRPr="00BD77D8" w:rsidRDefault="00B9311E" w:rsidP="00B9311E">
      <w:pPr>
        <w:spacing w:after="0" w:line="180" w:lineRule="atLeast"/>
        <w:textAlignment w:val="baseline"/>
        <w:rPr>
          <w:rFonts w:eastAsia="Arial"/>
          <w:b/>
          <w:bCs/>
          <w:sz w:val="18"/>
          <w:szCs w:val="18"/>
          <w:lang w:eastAsia="en-US"/>
        </w:rPr>
      </w:pPr>
      <w:r w:rsidRPr="00BD77D8">
        <w:rPr>
          <w:rFonts w:eastAsia="Arial"/>
          <w:b/>
          <w:bCs/>
          <w:sz w:val="18"/>
          <w:szCs w:val="18"/>
          <w:lang w:eastAsia="en-US"/>
        </w:rPr>
        <w:t xml:space="preserve">C4-7 Fair Value Measurement (continued) </w:t>
      </w:r>
    </w:p>
    <w:tbl>
      <w:tblPr>
        <w:tblW w:w="10145" w:type="dxa"/>
        <w:tblCellMar>
          <w:left w:w="0" w:type="dxa"/>
          <w:right w:w="0" w:type="dxa"/>
        </w:tblCellMar>
        <w:tblLook w:val="04A0" w:firstRow="1" w:lastRow="0" w:firstColumn="1" w:lastColumn="0" w:noHBand="0" w:noVBand="1"/>
      </w:tblPr>
      <w:tblGrid>
        <w:gridCol w:w="5845"/>
        <w:gridCol w:w="1066"/>
        <w:gridCol w:w="1078"/>
        <w:gridCol w:w="1078"/>
        <w:gridCol w:w="1078"/>
      </w:tblGrid>
      <w:tr w:rsidR="00BD77D8" w:rsidRPr="00BD77D8" w14:paraId="2CA1972D" w14:textId="77777777" w:rsidTr="003057FB">
        <w:trPr>
          <w:trHeight w:val="366"/>
        </w:trPr>
        <w:tc>
          <w:tcPr>
            <w:tcW w:w="0" w:type="auto"/>
            <w:tcBorders>
              <w:top w:val="nil"/>
              <w:left w:val="nil"/>
              <w:bottom w:val="nil"/>
              <w:right w:val="nil"/>
            </w:tcBorders>
            <w:shd w:val="clear" w:color="auto" w:fill="auto"/>
            <w:noWrap/>
            <w:vAlign w:val="center"/>
            <w:hideMark/>
          </w:tcPr>
          <w:p w14:paraId="15F9A6D1" w14:textId="77777777" w:rsidR="00B9311E" w:rsidRPr="00BD77D8" w:rsidRDefault="00B9311E" w:rsidP="00B9311E">
            <w:pPr>
              <w:spacing w:after="0" w:line="240"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auto"/>
            <w:noWrap/>
            <w:vAlign w:val="center"/>
            <w:hideMark/>
          </w:tcPr>
          <w:p w14:paraId="2581659C" w14:textId="77777777" w:rsidR="00B9311E" w:rsidRPr="00BD77D8" w:rsidRDefault="00B9311E" w:rsidP="00B9311E">
            <w:pPr>
              <w:spacing w:after="0" w:line="240" w:lineRule="auto"/>
              <w:jc w:val="center"/>
              <w:rPr>
                <w:b/>
                <w:bCs/>
                <w:sz w:val="18"/>
                <w:szCs w:val="18"/>
              </w:rPr>
            </w:pPr>
            <w:r w:rsidRPr="00BD77D8">
              <w:rPr>
                <w:b/>
                <w:bCs/>
                <w:sz w:val="18"/>
                <w:szCs w:val="18"/>
              </w:rPr>
              <w:t xml:space="preserve"> Land </w:t>
            </w:r>
          </w:p>
        </w:tc>
        <w:tc>
          <w:tcPr>
            <w:tcW w:w="0" w:type="auto"/>
            <w:gridSpan w:val="2"/>
            <w:tcBorders>
              <w:top w:val="nil"/>
              <w:left w:val="nil"/>
              <w:bottom w:val="nil"/>
              <w:right w:val="nil"/>
            </w:tcBorders>
            <w:shd w:val="clear" w:color="auto" w:fill="auto"/>
            <w:noWrap/>
            <w:vAlign w:val="center"/>
            <w:hideMark/>
          </w:tcPr>
          <w:p w14:paraId="7023E8A9" w14:textId="77777777" w:rsidR="00B9311E" w:rsidRPr="00BD77D8" w:rsidRDefault="00B9311E" w:rsidP="00B9311E">
            <w:pPr>
              <w:spacing w:after="0" w:line="240" w:lineRule="auto"/>
              <w:jc w:val="center"/>
              <w:rPr>
                <w:b/>
                <w:bCs/>
                <w:sz w:val="18"/>
                <w:szCs w:val="18"/>
              </w:rPr>
            </w:pPr>
            <w:r w:rsidRPr="00BD77D8">
              <w:rPr>
                <w:b/>
                <w:bCs/>
                <w:sz w:val="18"/>
                <w:szCs w:val="18"/>
              </w:rPr>
              <w:t xml:space="preserve"> Buildings </w:t>
            </w:r>
          </w:p>
        </w:tc>
      </w:tr>
      <w:tr w:rsidR="00BD77D8" w:rsidRPr="00BD77D8" w14:paraId="3ABC4113" w14:textId="77777777" w:rsidTr="003057FB">
        <w:trPr>
          <w:trHeight w:val="366"/>
        </w:trPr>
        <w:tc>
          <w:tcPr>
            <w:tcW w:w="0" w:type="auto"/>
            <w:tcBorders>
              <w:top w:val="nil"/>
              <w:left w:val="nil"/>
              <w:bottom w:val="nil"/>
              <w:right w:val="nil"/>
            </w:tcBorders>
            <w:shd w:val="clear" w:color="auto" w:fill="auto"/>
            <w:noWrap/>
            <w:vAlign w:val="center"/>
            <w:hideMark/>
          </w:tcPr>
          <w:p w14:paraId="4E3175E2" w14:textId="77777777" w:rsidR="00B9311E" w:rsidRPr="00BD77D8" w:rsidRDefault="00B9311E" w:rsidP="00B9311E">
            <w:pPr>
              <w:spacing w:after="0" w:line="240" w:lineRule="auto"/>
              <w:rPr>
                <w:b/>
                <w:bCs/>
                <w:sz w:val="18"/>
                <w:szCs w:val="18"/>
              </w:rPr>
            </w:pPr>
            <w:r w:rsidRPr="00BD77D8">
              <w:rPr>
                <w:b/>
                <w:bCs/>
                <w:sz w:val="18"/>
                <w:szCs w:val="18"/>
              </w:rPr>
              <w:t xml:space="preserve"> Level 3 Fair Value Measurement - Reconciliation </w:t>
            </w:r>
          </w:p>
        </w:tc>
        <w:tc>
          <w:tcPr>
            <w:tcW w:w="0" w:type="auto"/>
            <w:tcBorders>
              <w:top w:val="nil"/>
              <w:left w:val="nil"/>
              <w:bottom w:val="nil"/>
              <w:right w:val="nil"/>
            </w:tcBorders>
            <w:shd w:val="clear" w:color="auto" w:fill="auto"/>
            <w:noWrap/>
            <w:vAlign w:val="bottom"/>
            <w:hideMark/>
          </w:tcPr>
          <w:p w14:paraId="5A844574"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0" w:type="auto"/>
            <w:tcBorders>
              <w:top w:val="nil"/>
              <w:left w:val="nil"/>
              <w:bottom w:val="nil"/>
              <w:right w:val="nil"/>
            </w:tcBorders>
            <w:shd w:val="clear" w:color="auto" w:fill="auto"/>
            <w:noWrap/>
            <w:vAlign w:val="bottom"/>
            <w:hideMark/>
          </w:tcPr>
          <w:p w14:paraId="1F6951A1" w14:textId="77777777" w:rsidR="00B9311E" w:rsidRPr="00BD77D8" w:rsidRDefault="00B9311E" w:rsidP="00B9311E">
            <w:pPr>
              <w:spacing w:after="0" w:line="240" w:lineRule="auto"/>
              <w:jc w:val="right"/>
              <w:rPr>
                <w:b/>
                <w:bCs/>
                <w:sz w:val="18"/>
                <w:szCs w:val="18"/>
              </w:rPr>
            </w:pPr>
            <w:r w:rsidRPr="00BD77D8">
              <w:rPr>
                <w:b/>
                <w:bCs/>
                <w:sz w:val="18"/>
                <w:szCs w:val="18"/>
              </w:rPr>
              <w:t>2021</w:t>
            </w:r>
          </w:p>
        </w:tc>
        <w:tc>
          <w:tcPr>
            <w:tcW w:w="0" w:type="auto"/>
            <w:tcBorders>
              <w:top w:val="nil"/>
              <w:left w:val="nil"/>
              <w:bottom w:val="nil"/>
              <w:right w:val="nil"/>
            </w:tcBorders>
            <w:shd w:val="clear" w:color="auto" w:fill="auto"/>
            <w:noWrap/>
            <w:vAlign w:val="bottom"/>
            <w:hideMark/>
          </w:tcPr>
          <w:p w14:paraId="266D42D7"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0" w:type="auto"/>
            <w:tcBorders>
              <w:top w:val="nil"/>
              <w:left w:val="nil"/>
              <w:bottom w:val="nil"/>
              <w:right w:val="nil"/>
            </w:tcBorders>
            <w:shd w:val="clear" w:color="auto" w:fill="auto"/>
            <w:noWrap/>
            <w:vAlign w:val="bottom"/>
            <w:hideMark/>
          </w:tcPr>
          <w:p w14:paraId="48A9F22B"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278278B6" w14:textId="77777777" w:rsidTr="003057FB">
        <w:trPr>
          <w:trHeight w:val="366"/>
        </w:trPr>
        <w:tc>
          <w:tcPr>
            <w:tcW w:w="0" w:type="auto"/>
            <w:tcBorders>
              <w:top w:val="nil"/>
              <w:left w:val="nil"/>
              <w:bottom w:val="nil"/>
              <w:right w:val="nil"/>
            </w:tcBorders>
            <w:shd w:val="clear" w:color="000000" w:fill="FFFFFF"/>
            <w:noWrap/>
            <w:vAlign w:val="bottom"/>
            <w:hideMark/>
          </w:tcPr>
          <w:p w14:paraId="63194D7E" w14:textId="77777777" w:rsidR="00B9311E" w:rsidRPr="00BD77D8" w:rsidRDefault="00B9311E" w:rsidP="00B9311E">
            <w:pPr>
              <w:spacing w:after="0" w:line="240" w:lineRule="auto"/>
              <w:rPr>
                <w:b/>
                <w:bCs/>
                <w:sz w:val="18"/>
                <w:szCs w:val="18"/>
              </w:rPr>
            </w:pPr>
            <w:r w:rsidRPr="00BD77D8">
              <w:rPr>
                <w:b/>
                <w:bCs/>
                <w:sz w:val="18"/>
                <w:szCs w:val="18"/>
              </w:rPr>
              <w:t> </w:t>
            </w:r>
          </w:p>
        </w:tc>
        <w:tc>
          <w:tcPr>
            <w:tcW w:w="0" w:type="auto"/>
            <w:tcBorders>
              <w:top w:val="nil"/>
              <w:left w:val="nil"/>
              <w:bottom w:val="single" w:sz="4" w:space="0" w:color="auto"/>
              <w:right w:val="nil"/>
            </w:tcBorders>
            <w:shd w:val="clear" w:color="auto" w:fill="auto"/>
            <w:vAlign w:val="center"/>
            <w:hideMark/>
          </w:tcPr>
          <w:p w14:paraId="5CBEC193"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vAlign w:val="center"/>
            <w:hideMark/>
          </w:tcPr>
          <w:p w14:paraId="1D150656"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vAlign w:val="center"/>
            <w:hideMark/>
          </w:tcPr>
          <w:p w14:paraId="4AA0D43A"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vAlign w:val="center"/>
            <w:hideMark/>
          </w:tcPr>
          <w:p w14:paraId="16FA9DBF"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62378C5E" w14:textId="77777777" w:rsidTr="003057FB">
        <w:trPr>
          <w:trHeight w:val="366"/>
        </w:trPr>
        <w:tc>
          <w:tcPr>
            <w:tcW w:w="0" w:type="auto"/>
            <w:tcBorders>
              <w:top w:val="nil"/>
              <w:left w:val="nil"/>
              <w:bottom w:val="nil"/>
              <w:right w:val="nil"/>
            </w:tcBorders>
            <w:shd w:val="clear" w:color="auto" w:fill="auto"/>
            <w:noWrap/>
            <w:vAlign w:val="center"/>
            <w:hideMark/>
          </w:tcPr>
          <w:p w14:paraId="535DAD2A" w14:textId="77777777" w:rsidR="00B9311E" w:rsidRPr="00BD77D8" w:rsidRDefault="00B9311E" w:rsidP="00B9311E">
            <w:pPr>
              <w:spacing w:after="0" w:line="240" w:lineRule="auto"/>
              <w:rPr>
                <w:b/>
                <w:bCs/>
                <w:sz w:val="18"/>
                <w:szCs w:val="18"/>
              </w:rPr>
            </w:pPr>
            <w:r w:rsidRPr="00BD77D8">
              <w:rPr>
                <w:b/>
                <w:bCs/>
                <w:sz w:val="18"/>
                <w:szCs w:val="18"/>
              </w:rPr>
              <w:t xml:space="preserve"> Carrying amount at 1 July 2021 </w:t>
            </w:r>
          </w:p>
        </w:tc>
        <w:tc>
          <w:tcPr>
            <w:tcW w:w="0" w:type="auto"/>
            <w:tcBorders>
              <w:top w:val="nil"/>
              <w:left w:val="nil"/>
              <w:bottom w:val="nil"/>
              <w:right w:val="nil"/>
            </w:tcBorders>
            <w:shd w:val="clear" w:color="auto" w:fill="auto"/>
            <w:vAlign w:val="bottom"/>
            <w:hideMark/>
          </w:tcPr>
          <w:p w14:paraId="4BC9164C"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0" w:type="auto"/>
            <w:tcBorders>
              <w:top w:val="nil"/>
              <w:left w:val="nil"/>
              <w:bottom w:val="nil"/>
              <w:right w:val="nil"/>
            </w:tcBorders>
            <w:shd w:val="clear" w:color="auto" w:fill="auto"/>
            <w:vAlign w:val="bottom"/>
            <w:hideMark/>
          </w:tcPr>
          <w:p w14:paraId="7C694CFA" w14:textId="77777777" w:rsidR="00B9311E" w:rsidRPr="00BD77D8" w:rsidRDefault="00B9311E" w:rsidP="00B9311E">
            <w:pPr>
              <w:spacing w:after="0" w:line="240" w:lineRule="auto"/>
              <w:jc w:val="right"/>
              <w:rPr>
                <w:b/>
                <w:bCs/>
                <w:sz w:val="18"/>
                <w:szCs w:val="18"/>
              </w:rPr>
            </w:pPr>
            <w:r w:rsidRPr="00BD77D8">
              <w:rPr>
                <w:b/>
                <w:bCs/>
                <w:sz w:val="18"/>
                <w:szCs w:val="18"/>
              </w:rPr>
              <w:t xml:space="preserve">            170 </w:t>
            </w:r>
          </w:p>
        </w:tc>
        <w:tc>
          <w:tcPr>
            <w:tcW w:w="0" w:type="auto"/>
            <w:tcBorders>
              <w:top w:val="nil"/>
              <w:left w:val="nil"/>
              <w:bottom w:val="nil"/>
              <w:right w:val="nil"/>
            </w:tcBorders>
            <w:shd w:val="clear" w:color="auto" w:fill="auto"/>
            <w:noWrap/>
            <w:vAlign w:val="bottom"/>
            <w:hideMark/>
          </w:tcPr>
          <w:p w14:paraId="6EBB1E2F" w14:textId="77777777" w:rsidR="00B9311E" w:rsidRPr="00BD77D8" w:rsidRDefault="00B9311E" w:rsidP="00B9311E">
            <w:pPr>
              <w:spacing w:after="0" w:line="240" w:lineRule="auto"/>
              <w:jc w:val="right"/>
              <w:rPr>
                <w:b/>
                <w:bCs/>
                <w:sz w:val="18"/>
                <w:szCs w:val="18"/>
              </w:rPr>
            </w:pPr>
            <w:r w:rsidRPr="00BD77D8">
              <w:rPr>
                <w:b/>
                <w:bCs/>
                <w:sz w:val="18"/>
                <w:szCs w:val="18"/>
              </w:rPr>
              <w:t xml:space="preserve">    119,490 </w:t>
            </w:r>
          </w:p>
        </w:tc>
        <w:tc>
          <w:tcPr>
            <w:tcW w:w="0" w:type="auto"/>
            <w:tcBorders>
              <w:top w:val="nil"/>
              <w:left w:val="nil"/>
              <w:bottom w:val="nil"/>
              <w:right w:val="nil"/>
            </w:tcBorders>
            <w:shd w:val="clear" w:color="auto" w:fill="auto"/>
            <w:vAlign w:val="bottom"/>
            <w:hideMark/>
          </w:tcPr>
          <w:p w14:paraId="1B81EB96" w14:textId="77777777" w:rsidR="00B9311E" w:rsidRPr="00BD77D8" w:rsidRDefault="00B9311E" w:rsidP="00B9311E">
            <w:pPr>
              <w:spacing w:after="0" w:line="240" w:lineRule="auto"/>
              <w:jc w:val="right"/>
              <w:rPr>
                <w:b/>
                <w:bCs/>
                <w:sz w:val="18"/>
                <w:szCs w:val="18"/>
              </w:rPr>
            </w:pPr>
            <w:r w:rsidRPr="00BD77D8">
              <w:rPr>
                <w:b/>
                <w:bCs/>
                <w:sz w:val="18"/>
                <w:szCs w:val="18"/>
              </w:rPr>
              <w:t xml:space="preserve">    181,610 </w:t>
            </w:r>
          </w:p>
        </w:tc>
      </w:tr>
      <w:tr w:rsidR="00BD77D8" w:rsidRPr="00BD77D8" w14:paraId="69FB4B3A" w14:textId="77777777" w:rsidTr="003057FB">
        <w:trPr>
          <w:trHeight w:val="366"/>
        </w:trPr>
        <w:tc>
          <w:tcPr>
            <w:tcW w:w="0" w:type="auto"/>
            <w:tcBorders>
              <w:top w:val="nil"/>
              <w:left w:val="nil"/>
              <w:bottom w:val="nil"/>
              <w:right w:val="nil"/>
            </w:tcBorders>
            <w:shd w:val="clear" w:color="auto" w:fill="auto"/>
            <w:noWrap/>
            <w:vAlign w:val="center"/>
            <w:hideMark/>
          </w:tcPr>
          <w:p w14:paraId="0810D8CE" w14:textId="77777777" w:rsidR="00B9311E" w:rsidRPr="00BD77D8" w:rsidRDefault="00B9311E" w:rsidP="00B9311E">
            <w:pPr>
              <w:spacing w:after="0" w:line="240" w:lineRule="auto"/>
              <w:rPr>
                <w:sz w:val="18"/>
                <w:szCs w:val="18"/>
              </w:rPr>
            </w:pPr>
            <w:r w:rsidRPr="00BD77D8">
              <w:rPr>
                <w:sz w:val="18"/>
                <w:szCs w:val="18"/>
              </w:rPr>
              <w:t xml:space="preserve"> Acquisitions </w:t>
            </w:r>
          </w:p>
        </w:tc>
        <w:tc>
          <w:tcPr>
            <w:tcW w:w="0" w:type="auto"/>
            <w:tcBorders>
              <w:top w:val="nil"/>
              <w:left w:val="nil"/>
              <w:bottom w:val="nil"/>
              <w:right w:val="nil"/>
            </w:tcBorders>
            <w:shd w:val="clear" w:color="auto" w:fill="auto"/>
            <w:vAlign w:val="bottom"/>
            <w:hideMark/>
          </w:tcPr>
          <w:p w14:paraId="095A0479"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vAlign w:val="bottom"/>
            <w:hideMark/>
          </w:tcPr>
          <w:p w14:paraId="5D6A3AD2"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bottom"/>
            <w:hideMark/>
          </w:tcPr>
          <w:p w14:paraId="4F5F7237"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vAlign w:val="bottom"/>
            <w:hideMark/>
          </w:tcPr>
          <w:p w14:paraId="1BAD7F59" w14:textId="77777777" w:rsidR="00B9311E" w:rsidRPr="00BD77D8" w:rsidRDefault="00B9311E" w:rsidP="00B9311E">
            <w:pPr>
              <w:spacing w:after="0" w:line="240" w:lineRule="auto"/>
              <w:jc w:val="right"/>
              <w:rPr>
                <w:sz w:val="18"/>
                <w:szCs w:val="18"/>
              </w:rPr>
            </w:pPr>
            <w:r w:rsidRPr="00BD77D8">
              <w:rPr>
                <w:sz w:val="18"/>
                <w:szCs w:val="18"/>
              </w:rPr>
              <w:t xml:space="preserve">            119 </w:t>
            </w:r>
          </w:p>
        </w:tc>
      </w:tr>
      <w:tr w:rsidR="00BD77D8" w:rsidRPr="00BD77D8" w14:paraId="083662AD" w14:textId="77777777" w:rsidTr="003057FB">
        <w:trPr>
          <w:trHeight w:val="366"/>
        </w:trPr>
        <w:tc>
          <w:tcPr>
            <w:tcW w:w="0" w:type="auto"/>
            <w:tcBorders>
              <w:top w:val="nil"/>
              <w:left w:val="nil"/>
              <w:bottom w:val="nil"/>
              <w:right w:val="nil"/>
            </w:tcBorders>
            <w:shd w:val="clear" w:color="auto" w:fill="auto"/>
            <w:noWrap/>
            <w:vAlign w:val="center"/>
            <w:hideMark/>
          </w:tcPr>
          <w:p w14:paraId="6881DE5D" w14:textId="77777777" w:rsidR="00B9311E" w:rsidRPr="00BD77D8" w:rsidRDefault="00B9311E" w:rsidP="00B9311E">
            <w:pPr>
              <w:spacing w:after="0" w:line="240" w:lineRule="auto"/>
              <w:rPr>
                <w:sz w:val="18"/>
                <w:szCs w:val="18"/>
              </w:rPr>
            </w:pPr>
            <w:r w:rsidRPr="00BD77D8">
              <w:rPr>
                <w:sz w:val="18"/>
                <w:szCs w:val="18"/>
              </w:rPr>
              <w:t xml:space="preserve"> Disposals </w:t>
            </w:r>
          </w:p>
        </w:tc>
        <w:tc>
          <w:tcPr>
            <w:tcW w:w="0" w:type="auto"/>
            <w:tcBorders>
              <w:top w:val="nil"/>
              <w:left w:val="nil"/>
              <w:bottom w:val="nil"/>
              <w:right w:val="nil"/>
            </w:tcBorders>
            <w:shd w:val="clear" w:color="auto" w:fill="auto"/>
            <w:vAlign w:val="bottom"/>
            <w:hideMark/>
          </w:tcPr>
          <w:p w14:paraId="593C7E02"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vAlign w:val="bottom"/>
            <w:hideMark/>
          </w:tcPr>
          <w:p w14:paraId="00BB05F8"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bottom"/>
            <w:hideMark/>
          </w:tcPr>
          <w:p w14:paraId="21E0BC82" w14:textId="77777777" w:rsidR="00B9311E" w:rsidRPr="00BD77D8" w:rsidRDefault="00B9311E" w:rsidP="00B9311E">
            <w:pPr>
              <w:spacing w:after="0" w:line="240" w:lineRule="auto"/>
              <w:jc w:val="right"/>
              <w:rPr>
                <w:sz w:val="18"/>
                <w:szCs w:val="18"/>
              </w:rPr>
            </w:pPr>
            <w:r w:rsidRPr="00BD77D8">
              <w:rPr>
                <w:sz w:val="18"/>
                <w:szCs w:val="18"/>
              </w:rPr>
              <w:t xml:space="preserve">          (814)</w:t>
            </w:r>
          </w:p>
        </w:tc>
        <w:tc>
          <w:tcPr>
            <w:tcW w:w="0" w:type="auto"/>
            <w:tcBorders>
              <w:top w:val="nil"/>
              <w:left w:val="nil"/>
              <w:bottom w:val="nil"/>
              <w:right w:val="nil"/>
            </w:tcBorders>
            <w:shd w:val="clear" w:color="auto" w:fill="auto"/>
            <w:vAlign w:val="bottom"/>
            <w:hideMark/>
          </w:tcPr>
          <w:p w14:paraId="45AC90A8" w14:textId="77777777" w:rsidR="00B9311E" w:rsidRPr="00BD77D8" w:rsidRDefault="00B9311E" w:rsidP="00B9311E">
            <w:pPr>
              <w:spacing w:after="0" w:line="240" w:lineRule="auto"/>
              <w:jc w:val="right"/>
              <w:rPr>
                <w:sz w:val="18"/>
                <w:szCs w:val="18"/>
              </w:rPr>
            </w:pPr>
            <w:r w:rsidRPr="00BD77D8">
              <w:rPr>
                <w:sz w:val="18"/>
                <w:szCs w:val="18"/>
              </w:rPr>
              <w:t xml:space="preserve">       (2,928)</w:t>
            </w:r>
          </w:p>
        </w:tc>
      </w:tr>
      <w:tr w:rsidR="00BD77D8" w:rsidRPr="00BD77D8" w14:paraId="530BEDAC" w14:textId="77777777" w:rsidTr="003057FB">
        <w:trPr>
          <w:trHeight w:val="327"/>
        </w:trPr>
        <w:tc>
          <w:tcPr>
            <w:tcW w:w="0" w:type="auto"/>
            <w:tcBorders>
              <w:top w:val="nil"/>
              <w:left w:val="nil"/>
              <w:bottom w:val="nil"/>
              <w:right w:val="nil"/>
            </w:tcBorders>
            <w:shd w:val="clear" w:color="auto" w:fill="auto"/>
            <w:noWrap/>
            <w:vAlign w:val="center"/>
            <w:hideMark/>
          </w:tcPr>
          <w:p w14:paraId="2974365B" w14:textId="77777777" w:rsidR="00B9311E" w:rsidRPr="00BD77D8" w:rsidRDefault="00B9311E" w:rsidP="00B9311E">
            <w:pPr>
              <w:spacing w:after="0" w:line="240" w:lineRule="auto"/>
              <w:rPr>
                <w:sz w:val="18"/>
                <w:szCs w:val="18"/>
              </w:rPr>
            </w:pPr>
            <w:r w:rsidRPr="00BD77D8">
              <w:rPr>
                <w:sz w:val="18"/>
                <w:szCs w:val="18"/>
              </w:rPr>
              <w:t xml:space="preserve"> Transfers in from other Queensland Government entities </w:t>
            </w:r>
            <w:proofErr w:type="spellStart"/>
            <w:r w:rsidRPr="00BD77D8">
              <w:rPr>
                <w:sz w:val="18"/>
                <w:szCs w:val="18"/>
              </w:rPr>
              <w:t>MoG</w:t>
            </w:r>
            <w:proofErr w:type="spellEnd"/>
            <w:r w:rsidRPr="00BD77D8">
              <w:rPr>
                <w:sz w:val="18"/>
                <w:szCs w:val="18"/>
              </w:rPr>
              <w:t xml:space="preserve"> </w:t>
            </w:r>
          </w:p>
        </w:tc>
        <w:tc>
          <w:tcPr>
            <w:tcW w:w="0" w:type="auto"/>
            <w:tcBorders>
              <w:top w:val="nil"/>
              <w:left w:val="nil"/>
              <w:bottom w:val="nil"/>
              <w:right w:val="nil"/>
            </w:tcBorders>
            <w:shd w:val="clear" w:color="auto" w:fill="auto"/>
            <w:vAlign w:val="bottom"/>
            <w:hideMark/>
          </w:tcPr>
          <w:p w14:paraId="6A55FAAD"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vAlign w:val="bottom"/>
            <w:hideMark/>
          </w:tcPr>
          <w:p w14:paraId="7F7EB2D5"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bottom"/>
            <w:hideMark/>
          </w:tcPr>
          <w:p w14:paraId="3A9F9C7A"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vAlign w:val="bottom"/>
            <w:hideMark/>
          </w:tcPr>
          <w:p w14:paraId="1842BAFB" w14:textId="77777777" w:rsidR="00B9311E" w:rsidRPr="00BD77D8" w:rsidRDefault="00B9311E" w:rsidP="00B9311E">
            <w:pPr>
              <w:spacing w:after="0" w:line="240" w:lineRule="auto"/>
              <w:jc w:val="right"/>
              <w:rPr>
                <w:sz w:val="18"/>
                <w:szCs w:val="18"/>
              </w:rPr>
            </w:pPr>
            <w:r w:rsidRPr="00BD77D8">
              <w:rPr>
                <w:sz w:val="18"/>
                <w:szCs w:val="18"/>
              </w:rPr>
              <w:t xml:space="preserve">      12,082 </w:t>
            </w:r>
          </w:p>
        </w:tc>
      </w:tr>
      <w:tr w:rsidR="00BD77D8" w:rsidRPr="00BD77D8" w14:paraId="0ADCD175" w14:textId="77777777" w:rsidTr="003057FB">
        <w:trPr>
          <w:trHeight w:val="366"/>
        </w:trPr>
        <w:tc>
          <w:tcPr>
            <w:tcW w:w="0" w:type="auto"/>
            <w:tcBorders>
              <w:top w:val="nil"/>
              <w:left w:val="nil"/>
              <w:bottom w:val="nil"/>
              <w:right w:val="nil"/>
            </w:tcBorders>
            <w:shd w:val="clear" w:color="auto" w:fill="auto"/>
            <w:noWrap/>
            <w:vAlign w:val="center"/>
            <w:hideMark/>
          </w:tcPr>
          <w:p w14:paraId="0BA9CC0F" w14:textId="77777777" w:rsidR="00B9311E" w:rsidRPr="00BD77D8" w:rsidRDefault="00B9311E" w:rsidP="00B9311E">
            <w:pPr>
              <w:spacing w:after="0" w:line="240" w:lineRule="auto"/>
              <w:rPr>
                <w:sz w:val="18"/>
                <w:szCs w:val="18"/>
              </w:rPr>
            </w:pPr>
            <w:r w:rsidRPr="00BD77D8">
              <w:rPr>
                <w:sz w:val="18"/>
                <w:szCs w:val="18"/>
              </w:rPr>
              <w:t xml:space="preserve"> Transfers out to other Queensland Government entities </w:t>
            </w:r>
            <w:proofErr w:type="spellStart"/>
            <w:r w:rsidRPr="00BD77D8">
              <w:rPr>
                <w:sz w:val="18"/>
                <w:szCs w:val="18"/>
              </w:rPr>
              <w:t>MoG</w:t>
            </w:r>
            <w:proofErr w:type="spellEnd"/>
            <w:r w:rsidRPr="00BD77D8">
              <w:rPr>
                <w:sz w:val="18"/>
                <w:szCs w:val="18"/>
              </w:rPr>
              <w:t xml:space="preserve"> </w:t>
            </w:r>
          </w:p>
        </w:tc>
        <w:tc>
          <w:tcPr>
            <w:tcW w:w="0" w:type="auto"/>
            <w:tcBorders>
              <w:top w:val="nil"/>
              <w:left w:val="nil"/>
              <w:bottom w:val="nil"/>
              <w:right w:val="nil"/>
            </w:tcBorders>
            <w:shd w:val="clear" w:color="auto" w:fill="auto"/>
            <w:vAlign w:val="bottom"/>
            <w:hideMark/>
          </w:tcPr>
          <w:p w14:paraId="0C06167F"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vAlign w:val="bottom"/>
            <w:hideMark/>
          </w:tcPr>
          <w:p w14:paraId="6099BEB5" w14:textId="77777777" w:rsidR="00B9311E" w:rsidRPr="00BD77D8" w:rsidRDefault="00B9311E" w:rsidP="00B9311E">
            <w:pPr>
              <w:spacing w:after="0" w:line="240" w:lineRule="auto"/>
              <w:jc w:val="right"/>
              <w:rPr>
                <w:sz w:val="18"/>
                <w:szCs w:val="18"/>
              </w:rPr>
            </w:pPr>
            <w:r w:rsidRPr="00BD77D8">
              <w:rPr>
                <w:sz w:val="18"/>
                <w:szCs w:val="18"/>
              </w:rPr>
              <w:t xml:space="preserve">          (170)</w:t>
            </w:r>
          </w:p>
        </w:tc>
        <w:tc>
          <w:tcPr>
            <w:tcW w:w="0" w:type="auto"/>
            <w:tcBorders>
              <w:top w:val="nil"/>
              <w:left w:val="nil"/>
              <w:bottom w:val="nil"/>
              <w:right w:val="nil"/>
            </w:tcBorders>
            <w:shd w:val="clear" w:color="auto" w:fill="auto"/>
            <w:noWrap/>
            <w:vAlign w:val="bottom"/>
            <w:hideMark/>
          </w:tcPr>
          <w:p w14:paraId="053604EB"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vAlign w:val="bottom"/>
            <w:hideMark/>
          </w:tcPr>
          <w:p w14:paraId="046752B6" w14:textId="77777777" w:rsidR="00B9311E" w:rsidRPr="00BD77D8" w:rsidRDefault="00B9311E" w:rsidP="00B9311E">
            <w:pPr>
              <w:spacing w:after="0" w:line="240" w:lineRule="auto"/>
              <w:jc w:val="right"/>
              <w:rPr>
                <w:sz w:val="18"/>
                <w:szCs w:val="18"/>
              </w:rPr>
            </w:pPr>
            <w:r w:rsidRPr="00BD77D8">
              <w:rPr>
                <w:sz w:val="18"/>
                <w:szCs w:val="18"/>
              </w:rPr>
              <w:t xml:space="preserve">    (75,733)</w:t>
            </w:r>
          </w:p>
        </w:tc>
      </w:tr>
      <w:tr w:rsidR="00BD77D8" w:rsidRPr="00BD77D8" w14:paraId="388AE88E" w14:textId="77777777" w:rsidTr="003057FB">
        <w:trPr>
          <w:trHeight w:val="366"/>
        </w:trPr>
        <w:tc>
          <w:tcPr>
            <w:tcW w:w="0" w:type="auto"/>
            <w:tcBorders>
              <w:top w:val="nil"/>
              <w:left w:val="nil"/>
              <w:bottom w:val="nil"/>
              <w:right w:val="nil"/>
            </w:tcBorders>
            <w:shd w:val="clear" w:color="auto" w:fill="auto"/>
            <w:noWrap/>
            <w:vAlign w:val="center"/>
            <w:hideMark/>
          </w:tcPr>
          <w:p w14:paraId="545C37F7" w14:textId="77777777" w:rsidR="00B9311E" w:rsidRPr="00BD77D8" w:rsidRDefault="00B9311E" w:rsidP="00B9311E">
            <w:pPr>
              <w:spacing w:after="0" w:line="240" w:lineRule="auto"/>
              <w:rPr>
                <w:sz w:val="18"/>
                <w:szCs w:val="18"/>
              </w:rPr>
            </w:pPr>
            <w:r w:rsidRPr="00BD77D8">
              <w:rPr>
                <w:sz w:val="18"/>
                <w:szCs w:val="18"/>
              </w:rPr>
              <w:t xml:space="preserve"> Transfers between asset classes </w:t>
            </w:r>
          </w:p>
        </w:tc>
        <w:tc>
          <w:tcPr>
            <w:tcW w:w="0" w:type="auto"/>
            <w:tcBorders>
              <w:top w:val="nil"/>
              <w:left w:val="nil"/>
              <w:bottom w:val="nil"/>
              <w:right w:val="nil"/>
            </w:tcBorders>
            <w:shd w:val="clear" w:color="auto" w:fill="auto"/>
            <w:vAlign w:val="bottom"/>
            <w:hideMark/>
          </w:tcPr>
          <w:p w14:paraId="70DBDCFD"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vAlign w:val="bottom"/>
            <w:hideMark/>
          </w:tcPr>
          <w:p w14:paraId="3DB9C315"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bottom"/>
            <w:hideMark/>
          </w:tcPr>
          <w:p w14:paraId="1A7DC922" w14:textId="77777777" w:rsidR="00B9311E" w:rsidRPr="00BD77D8" w:rsidRDefault="00B9311E" w:rsidP="00B9311E">
            <w:pPr>
              <w:spacing w:after="0" w:line="240" w:lineRule="auto"/>
              <w:jc w:val="right"/>
              <w:rPr>
                <w:sz w:val="18"/>
                <w:szCs w:val="18"/>
              </w:rPr>
            </w:pPr>
            <w:r w:rsidRPr="00BD77D8">
              <w:rPr>
                <w:sz w:val="18"/>
                <w:szCs w:val="18"/>
              </w:rPr>
              <w:t xml:space="preserve">        1,193 </w:t>
            </w:r>
          </w:p>
        </w:tc>
        <w:tc>
          <w:tcPr>
            <w:tcW w:w="0" w:type="auto"/>
            <w:tcBorders>
              <w:top w:val="nil"/>
              <w:left w:val="nil"/>
              <w:bottom w:val="nil"/>
              <w:right w:val="nil"/>
            </w:tcBorders>
            <w:shd w:val="clear" w:color="auto" w:fill="auto"/>
            <w:vAlign w:val="bottom"/>
            <w:hideMark/>
          </w:tcPr>
          <w:p w14:paraId="6699E249" w14:textId="77777777" w:rsidR="00B9311E" w:rsidRPr="00BD77D8" w:rsidRDefault="00B9311E" w:rsidP="00B9311E">
            <w:pPr>
              <w:spacing w:after="0" w:line="240" w:lineRule="auto"/>
              <w:jc w:val="right"/>
              <w:rPr>
                <w:sz w:val="18"/>
                <w:szCs w:val="18"/>
              </w:rPr>
            </w:pPr>
            <w:r w:rsidRPr="00BD77D8">
              <w:rPr>
                <w:sz w:val="18"/>
                <w:szCs w:val="18"/>
              </w:rPr>
              <w:t xml:space="preserve">        7,637 </w:t>
            </w:r>
          </w:p>
        </w:tc>
      </w:tr>
      <w:tr w:rsidR="00BD77D8" w:rsidRPr="00BD77D8" w14:paraId="6B441E07" w14:textId="77777777" w:rsidTr="003057FB">
        <w:trPr>
          <w:trHeight w:val="366"/>
        </w:trPr>
        <w:tc>
          <w:tcPr>
            <w:tcW w:w="0" w:type="auto"/>
            <w:tcBorders>
              <w:top w:val="nil"/>
              <w:left w:val="nil"/>
              <w:bottom w:val="nil"/>
              <w:right w:val="nil"/>
            </w:tcBorders>
            <w:shd w:val="clear" w:color="auto" w:fill="auto"/>
            <w:noWrap/>
            <w:vAlign w:val="center"/>
            <w:hideMark/>
          </w:tcPr>
          <w:p w14:paraId="440867DA" w14:textId="77777777" w:rsidR="00B9311E" w:rsidRPr="00BD77D8" w:rsidRDefault="00B9311E" w:rsidP="00B9311E">
            <w:pPr>
              <w:spacing w:after="0" w:line="240" w:lineRule="auto"/>
              <w:rPr>
                <w:sz w:val="18"/>
                <w:szCs w:val="18"/>
              </w:rPr>
            </w:pPr>
            <w:r w:rsidRPr="00BD77D8">
              <w:rPr>
                <w:sz w:val="18"/>
                <w:szCs w:val="18"/>
              </w:rPr>
              <w:t xml:space="preserve"> Net revaluation increments in operating surplus </w:t>
            </w:r>
          </w:p>
        </w:tc>
        <w:tc>
          <w:tcPr>
            <w:tcW w:w="0" w:type="auto"/>
            <w:tcBorders>
              <w:top w:val="nil"/>
              <w:left w:val="nil"/>
              <w:bottom w:val="nil"/>
              <w:right w:val="nil"/>
            </w:tcBorders>
            <w:shd w:val="clear" w:color="auto" w:fill="auto"/>
            <w:vAlign w:val="bottom"/>
            <w:hideMark/>
          </w:tcPr>
          <w:p w14:paraId="1184EEFD"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vAlign w:val="bottom"/>
            <w:hideMark/>
          </w:tcPr>
          <w:p w14:paraId="33D11CC1"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bottom"/>
            <w:hideMark/>
          </w:tcPr>
          <w:p w14:paraId="7848DE78" w14:textId="77777777" w:rsidR="00B9311E" w:rsidRPr="00BD77D8" w:rsidRDefault="00B9311E" w:rsidP="00B9311E">
            <w:pPr>
              <w:spacing w:after="0" w:line="240" w:lineRule="auto"/>
              <w:jc w:val="right"/>
              <w:rPr>
                <w:sz w:val="18"/>
                <w:szCs w:val="18"/>
              </w:rPr>
            </w:pPr>
            <w:r w:rsidRPr="00BD77D8">
              <w:rPr>
                <w:sz w:val="18"/>
                <w:szCs w:val="18"/>
              </w:rPr>
              <w:t xml:space="preserve">      20,512 </w:t>
            </w:r>
          </w:p>
        </w:tc>
        <w:tc>
          <w:tcPr>
            <w:tcW w:w="0" w:type="auto"/>
            <w:tcBorders>
              <w:top w:val="nil"/>
              <w:left w:val="nil"/>
              <w:bottom w:val="nil"/>
              <w:right w:val="nil"/>
            </w:tcBorders>
            <w:shd w:val="clear" w:color="auto" w:fill="auto"/>
            <w:vAlign w:val="bottom"/>
            <w:hideMark/>
          </w:tcPr>
          <w:p w14:paraId="1E8B90F1" w14:textId="77777777" w:rsidR="00B9311E" w:rsidRPr="00BD77D8" w:rsidRDefault="00B9311E" w:rsidP="00B9311E">
            <w:pPr>
              <w:spacing w:after="0" w:line="240" w:lineRule="auto"/>
              <w:jc w:val="right"/>
              <w:rPr>
                <w:sz w:val="18"/>
                <w:szCs w:val="18"/>
              </w:rPr>
            </w:pPr>
            <w:r w:rsidRPr="00BD77D8">
              <w:rPr>
                <w:sz w:val="18"/>
                <w:szCs w:val="18"/>
              </w:rPr>
              <w:t xml:space="preserve">            714 </w:t>
            </w:r>
          </w:p>
        </w:tc>
      </w:tr>
      <w:tr w:rsidR="00BD77D8" w:rsidRPr="00BD77D8" w14:paraId="0EF69A7E" w14:textId="77777777" w:rsidTr="003057FB">
        <w:trPr>
          <w:trHeight w:val="366"/>
        </w:trPr>
        <w:tc>
          <w:tcPr>
            <w:tcW w:w="0" w:type="auto"/>
            <w:tcBorders>
              <w:top w:val="nil"/>
              <w:left w:val="nil"/>
              <w:bottom w:val="nil"/>
              <w:right w:val="nil"/>
            </w:tcBorders>
            <w:shd w:val="clear" w:color="auto" w:fill="auto"/>
            <w:noWrap/>
            <w:vAlign w:val="center"/>
            <w:hideMark/>
          </w:tcPr>
          <w:p w14:paraId="2F40E064" w14:textId="77777777" w:rsidR="00B9311E" w:rsidRPr="00BD77D8" w:rsidRDefault="00B9311E" w:rsidP="00B9311E">
            <w:pPr>
              <w:spacing w:after="0" w:line="240" w:lineRule="auto"/>
              <w:rPr>
                <w:sz w:val="18"/>
                <w:szCs w:val="18"/>
              </w:rPr>
            </w:pPr>
            <w:r w:rsidRPr="00BD77D8">
              <w:rPr>
                <w:sz w:val="18"/>
                <w:szCs w:val="18"/>
              </w:rPr>
              <w:t xml:space="preserve"> Depreciation </w:t>
            </w:r>
          </w:p>
        </w:tc>
        <w:tc>
          <w:tcPr>
            <w:tcW w:w="0" w:type="auto"/>
            <w:tcBorders>
              <w:top w:val="nil"/>
              <w:left w:val="nil"/>
              <w:bottom w:val="nil"/>
              <w:right w:val="nil"/>
            </w:tcBorders>
            <w:shd w:val="clear" w:color="auto" w:fill="auto"/>
            <w:noWrap/>
            <w:vAlign w:val="bottom"/>
            <w:hideMark/>
          </w:tcPr>
          <w:p w14:paraId="66ED1AE4"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vAlign w:val="bottom"/>
            <w:hideMark/>
          </w:tcPr>
          <w:p w14:paraId="312D905E"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bottom"/>
            <w:hideMark/>
          </w:tcPr>
          <w:p w14:paraId="3C08436F" w14:textId="77777777" w:rsidR="00B9311E" w:rsidRPr="00BD77D8" w:rsidRDefault="00B9311E" w:rsidP="00B9311E">
            <w:pPr>
              <w:spacing w:after="0" w:line="240" w:lineRule="auto"/>
              <w:jc w:val="right"/>
              <w:rPr>
                <w:sz w:val="18"/>
                <w:szCs w:val="18"/>
              </w:rPr>
            </w:pPr>
            <w:r w:rsidRPr="00BD77D8">
              <w:rPr>
                <w:sz w:val="18"/>
                <w:szCs w:val="18"/>
              </w:rPr>
              <w:t xml:space="preserve">       (3,047)</w:t>
            </w:r>
          </w:p>
        </w:tc>
        <w:tc>
          <w:tcPr>
            <w:tcW w:w="0" w:type="auto"/>
            <w:tcBorders>
              <w:top w:val="nil"/>
              <w:left w:val="nil"/>
              <w:bottom w:val="nil"/>
              <w:right w:val="nil"/>
            </w:tcBorders>
            <w:shd w:val="clear" w:color="auto" w:fill="auto"/>
            <w:vAlign w:val="bottom"/>
            <w:hideMark/>
          </w:tcPr>
          <w:p w14:paraId="240FD8A3" w14:textId="77777777" w:rsidR="00B9311E" w:rsidRPr="00BD77D8" w:rsidRDefault="00B9311E" w:rsidP="00B9311E">
            <w:pPr>
              <w:spacing w:after="0" w:line="240" w:lineRule="auto"/>
              <w:jc w:val="right"/>
              <w:rPr>
                <w:sz w:val="18"/>
                <w:szCs w:val="18"/>
              </w:rPr>
            </w:pPr>
            <w:r w:rsidRPr="00BD77D8">
              <w:rPr>
                <w:sz w:val="18"/>
                <w:szCs w:val="18"/>
              </w:rPr>
              <w:t xml:space="preserve">       (4,011)</w:t>
            </w:r>
          </w:p>
        </w:tc>
      </w:tr>
      <w:tr w:rsidR="00BD77D8" w:rsidRPr="00BD77D8" w14:paraId="67DEC53C" w14:textId="77777777" w:rsidTr="003057FB">
        <w:trPr>
          <w:trHeight w:val="366"/>
        </w:trPr>
        <w:tc>
          <w:tcPr>
            <w:tcW w:w="0" w:type="auto"/>
            <w:tcBorders>
              <w:top w:val="nil"/>
              <w:left w:val="nil"/>
              <w:bottom w:val="nil"/>
              <w:right w:val="nil"/>
            </w:tcBorders>
            <w:shd w:val="clear" w:color="auto" w:fill="auto"/>
            <w:noWrap/>
            <w:vAlign w:val="center"/>
            <w:hideMark/>
          </w:tcPr>
          <w:p w14:paraId="25918CDF" w14:textId="77777777" w:rsidR="00B9311E" w:rsidRPr="00BD77D8" w:rsidRDefault="00B9311E" w:rsidP="00B9311E">
            <w:pPr>
              <w:spacing w:after="0" w:line="240" w:lineRule="auto"/>
              <w:rPr>
                <w:b/>
                <w:bCs/>
                <w:sz w:val="18"/>
                <w:szCs w:val="18"/>
              </w:rPr>
            </w:pPr>
            <w:r w:rsidRPr="00BD77D8">
              <w:rPr>
                <w:b/>
                <w:bCs/>
                <w:sz w:val="18"/>
                <w:szCs w:val="18"/>
              </w:rPr>
              <w:t xml:space="preserve"> Carrying amount at 30 June 2022 </w:t>
            </w:r>
          </w:p>
        </w:tc>
        <w:tc>
          <w:tcPr>
            <w:tcW w:w="0" w:type="auto"/>
            <w:tcBorders>
              <w:top w:val="single" w:sz="4" w:space="0" w:color="auto"/>
              <w:left w:val="nil"/>
              <w:bottom w:val="single" w:sz="4" w:space="0" w:color="auto"/>
              <w:right w:val="nil"/>
            </w:tcBorders>
            <w:shd w:val="clear" w:color="auto" w:fill="auto"/>
            <w:noWrap/>
            <w:vAlign w:val="bottom"/>
            <w:hideMark/>
          </w:tcPr>
          <w:p w14:paraId="5BD60A39"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0" w:type="auto"/>
            <w:tcBorders>
              <w:top w:val="single" w:sz="4" w:space="0" w:color="auto"/>
              <w:left w:val="nil"/>
              <w:bottom w:val="single" w:sz="4" w:space="0" w:color="auto"/>
              <w:right w:val="nil"/>
            </w:tcBorders>
            <w:shd w:val="clear" w:color="auto" w:fill="auto"/>
            <w:noWrap/>
            <w:vAlign w:val="bottom"/>
            <w:hideMark/>
          </w:tcPr>
          <w:p w14:paraId="3D5303ED"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0" w:type="auto"/>
            <w:tcBorders>
              <w:top w:val="single" w:sz="4" w:space="0" w:color="auto"/>
              <w:left w:val="nil"/>
              <w:bottom w:val="single" w:sz="4" w:space="0" w:color="auto"/>
              <w:right w:val="nil"/>
            </w:tcBorders>
            <w:shd w:val="clear" w:color="auto" w:fill="auto"/>
            <w:noWrap/>
            <w:vAlign w:val="bottom"/>
            <w:hideMark/>
          </w:tcPr>
          <w:p w14:paraId="34CA5F0F" w14:textId="77777777" w:rsidR="00B9311E" w:rsidRPr="00BD77D8" w:rsidRDefault="00B9311E" w:rsidP="00B9311E">
            <w:pPr>
              <w:spacing w:after="0" w:line="240" w:lineRule="auto"/>
              <w:jc w:val="right"/>
              <w:rPr>
                <w:b/>
                <w:bCs/>
                <w:sz w:val="18"/>
                <w:szCs w:val="18"/>
              </w:rPr>
            </w:pPr>
            <w:r w:rsidRPr="00BD77D8">
              <w:rPr>
                <w:b/>
                <w:bCs/>
                <w:sz w:val="18"/>
                <w:szCs w:val="18"/>
              </w:rPr>
              <w:t xml:space="preserve">    137,334 </w:t>
            </w:r>
          </w:p>
        </w:tc>
        <w:tc>
          <w:tcPr>
            <w:tcW w:w="0" w:type="auto"/>
            <w:tcBorders>
              <w:top w:val="single" w:sz="4" w:space="0" w:color="auto"/>
              <w:left w:val="nil"/>
              <w:bottom w:val="single" w:sz="4" w:space="0" w:color="auto"/>
              <w:right w:val="nil"/>
            </w:tcBorders>
            <w:shd w:val="clear" w:color="auto" w:fill="auto"/>
            <w:noWrap/>
            <w:vAlign w:val="bottom"/>
            <w:hideMark/>
          </w:tcPr>
          <w:p w14:paraId="52AD929F" w14:textId="77777777" w:rsidR="00B9311E" w:rsidRPr="00BD77D8" w:rsidRDefault="00B9311E" w:rsidP="00B9311E">
            <w:pPr>
              <w:spacing w:after="0" w:line="240" w:lineRule="auto"/>
              <w:jc w:val="right"/>
              <w:rPr>
                <w:b/>
                <w:bCs/>
                <w:sz w:val="18"/>
                <w:szCs w:val="18"/>
              </w:rPr>
            </w:pPr>
            <w:r w:rsidRPr="00BD77D8">
              <w:rPr>
                <w:b/>
                <w:bCs/>
                <w:sz w:val="18"/>
                <w:szCs w:val="18"/>
              </w:rPr>
              <w:t xml:space="preserve">    119,490 </w:t>
            </w:r>
          </w:p>
        </w:tc>
      </w:tr>
    </w:tbl>
    <w:p w14:paraId="3534AEE4" w14:textId="77777777" w:rsidR="00B9311E" w:rsidRPr="00BD77D8" w:rsidRDefault="00B9311E" w:rsidP="00140059">
      <w:pPr>
        <w:spacing w:before="200" w:line="180" w:lineRule="atLeast"/>
        <w:textAlignment w:val="baseline"/>
        <w:rPr>
          <w:rFonts w:eastAsia="Arial"/>
          <w:b/>
          <w:i/>
          <w:sz w:val="18"/>
          <w:szCs w:val="18"/>
          <w:u w:val="single"/>
          <w:lang w:eastAsia="en-US"/>
        </w:rPr>
      </w:pPr>
      <w:r w:rsidRPr="00BD77D8">
        <w:rPr>
          <w:rFonts w:eastAsia="Arial"/>
          <w:i/>
          <w:sz w:val="18"/>
          <w:szCs w:val="18"/>
          <w:u w:val="single"/>
          <w:lang w:eastAsia="en-US"/>
        </w:rPr>
        <w:t>Basis for Fair Values of Assets</w:t>
      </w:r>
    </w:p>
    <w:p w14:paraId="6FA04694" w14:textId="77777777" w:rsidR="00B9311E" w:rsidRPr="00BD77D8" w:rsidRDefault="00B9311E" w:rsidP="00140059">
      <w:pPr>
        <w:spacing w:line="180" w:lineRule="atLeast"/>
        <w:textAlignment w:val="baseline"/>
        <w:rPr>
          <w:rFonts w:eastAsia="Arial"/>
          <w:b/>
          <w:sz w:val="18"/>
          <w:szCs w:val="18"/>
          <w:lang w:eastAsia="en-US"/>
        </w:rPr>
      </w:pPr>
      <w:r w:rsidRPr="00BD77D8">
        <w:rPr>
          <w:rFonts w:eastAsia="Arial"/>
          <w:sz w:val="18"/>
          <w:szCs w:val="18"/>
          <w:lang w:eastAsia="en-US"/>
        </w:rPr>
        <w:t xml:space="preserve">APV undertook specific appraisals of land and building assets supporting the Aboriginal and Torres Strait Islander Partnerships Service Area and undertook a desktop revaluation of land and building assets supporting the Disability Services and Seniors Services Service Areas. </w:t>
      </w:r>
    </w:p>
    <w:p w14:paraId="6182B265" w14:textId="77777777" w:rsidR="00B9311E" w:rsidRPr="00BD77D8" w:rsidRDefault="00B9311E" w:rsidP="00140059">
      <w:pPr>
        <w:spacing w:line="180" w:lineRule="atLeast"/>
        <w:textAlignment w:val="baseline"/>
        <w:rPr>
          <w:rFonts w:eastAsia="Arial"/>
          <w:b/>
          <w:sz w:val="18"/>
          <w:szCs w:val="18"/>
          <w:lang w:eastAsia="en-US"/>
        </w:rPr>
      </w:pPr>
      <w:r w:rsidRPr="00BD77D8">
        <w:rPr>
          <w:rFonts w:eastAsia="Arial"/>
          <w:sz w:val="18"/>
          <w:szCs w:val="18"/>
          <w:lang w:eastAsia="en-US"/>
        </w:rPr>
        <w:t xml:space="preserve">The valuation approach for the department's land assets is a market-based assessment where a commercial market exists. Inputs for this assessment include publicly available data on recently sold properties which are of a similar type. This comparison is adjusted to take into consideration the characteristics of the land, such as size, zoning, topography and configuration etc. </w:t>
      </w:r>
    </w:p>
    <w:p w14:paraId="789E6B59" w14:textId="77777777" w:rsidR="00B9311E" w:rsidRPr="00BD77D8" w:rsidRDefault="00B9311E" w:rsidP="00140059">
      <w:pPr>
        <w:spacing w:line="180" w:lineRule="atLeast"/>
        <w:textAlignment w:val="baseline"/>
        <w:rPr>
          <w:rFonts w:eastAsia="Arial"/>
          <w:b/>
          <w:sz w:val="18"/>
          <w:szCs w:val="18"/>
          <w:lang w:eastAsia="en-US"/>
        </w:rPr>
      </w:pPr>
      <w:r w:rsidRPr="00BD77D8">
        <w:rPr>
          <w:rFonts w:eastAsia="Arial"/>
          <w:sz w:val="18"/>
          <w:szCs w:val="18"/>
          <w:lang w:eastAsia="en-US"/>
        </w:rPr>
        <w:t>The department's general-purpose buildings (level 2 category) also reflect a market-based assessment as their valuation approach. This included residential properties where the relevant inputs were able to be observed from current market evidence. The residential properties fair value has been derived from sales prices of comparable properties after adjusting for differences in key attributes such as property size.</w:t>
      </w:r>
    </w:p>
    <w:p w14:paraId="5A871E23" w14:textId="77777777" w:rsidR="00B9311E" w:rsidRPr="00BD77D8" w:rsidRDefault="00B9311E" w:rsidP="00140059">
      <w:pPr>
        <w:spacing w:line="180" w:lineRule="atLeast"/>
        <w:textAlignment w:val="baseline"/>
        <w:rPr>
          <w:rFonts w:eastAsia="Arial"/>
          <w:b/>
          <w:sz w:val="18"/>
          <w:szCs w:val="18"/>
          <w:lang w:eastAsia="en-US"/>
        </w:rPr>
      </w:pPr>
      <w:r w:rsidRPr="00BD77D8">
        <w:rPr>
          <w:rFonts w:eastAsia="Arial"/>
          <w:sz w:val="18"/>
          <w:szCs w:val="18"/>
          <w:lang w:eastAsia="en-US"/>
        </w:rPr>
        <w:t>The department's special purpose buildings (level 3 category) as well as buildings where due to external circumstances there was no evidence to support a market-based approach, are valued using current replacement cost as their valuation approach. Under this approach the cost to replace the asset is calculated and then adjusted to take account of any obsolescence. Key inputs used in this approach include the condition of the building assets, legal and commercial obsolescence. Current replacement cost is estimated based on data from construction guides including Rawlinson’s Construction Guide and the Cordell Construction Cost Index, data from the Australian Bureau of Statistics, and APV Valuers internal research.</w:t>
      </w:r>
    </w:p>
    <w:p w14:paraId="5889D35C" w14:textId="77777777" w:rsidR="00B9311E" w:rsidRPr="00BD77D8" w:rsidRDefault="00B9311E" w:rsidP="00B9311E">
      <w:pPr>
        <w:spacing w:after="0" w:line="180" w:lineRule="atLeast"/>
        <w:textAlignment w:val="baseline"/>
        <w:rPr>
          <w:rFonts w:eastAsia="Arial"/>
          <w:b/>
          <w:sz w:val="18"/>
          <w:szCs w:val="18"/>
          <w:lang w:eastAsia="en-US"/>
        </w:rPr>
      </w:pPr>
      <w:r w:rsidRPr="00BD77D8">
        <w:rPr>
          <w:rFonts w:eastAsia="Arial"/>
          <w:sz w:val="18"/>
          <w:szCs w:val="18"/>
          <w:lang w:eastAsia="en-US"/>
        </w:rPr>
        <w:t>The department is the trustee of various reserve lands which are valued at a nominal value of $1 per parcel as land is held in trust for the local community - Deed of Grant in Trust (DOGIT) Land.  The department controls buildings on those reserve lands, including Retail Stores and other buildings (refer Note C4-8). As there is no active market for departmentally owned buildings on DOGIT land, the current replacement cost approach is used.</w:t>
      </w:r>
    </w:p>
    <w:p w14:paraId="67A493AC" w14:textId="73FF7AF9" w:rsidR="0040288C" w:rsidRPr="00BD77D8" w:rsidRDefault="0040288C" w:rsidP="00C3515C">
      <w:pPr>
        <w:spacing w:before="1800" w:after="0" w:line="199" w:lineRule="exact"/>
        <w:textAlignment w:val="baseline"/>
        <w:rPr>
          <w:rFonts w:eastAsia="Arial"/>
          <w:bCs/>
          <w:sz w:val="18"/>
          <w:szCs w:val="18"/>
          <w:lang w:eastAsia="en-US"/>
        </w:rPr>
      </w:pP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t>Page 26 of 45</w:t>
      </w:r>
    </w:p>
    <w:p w14:paraId="4A3B14E9" w14:textId="77777777" w:rsidR="00B9311E" w:rsidRPr="00BD77D8" w:rsidRDefault="00B9311E" w:rsidP="00B9311E">
      <w:pPr>
        <w:spacing w:after="0" w:line="240" w:lineRule="auto"/>
        <w:rPr>
          <w:rFonts w:eastAsia="Arial"/>
          <w:bCs/>
          <w:sz w:val="18"/>
          <w:szCs w:val="18"/>
          <w:lang w:eastAsia="en-US"/>
        </w:rPr>
      </w:pPr>
      <w:r w:rsidRPr="00BD77D8">
        <w:rPr>
          <w:rFonts w:eastAsia="Arial"/>
          <w:sz w:val="18"/>
          <w:szCs w:val="18"/>
          <w:lang w:eastAsia="en-US"/>
        </w:rPr>
        <w:br w:type="page"/>
      </w:r>
    </w:p>
    <w:p w14:paraId="579E0C27"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65452861"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292B06E1"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72B39FF4" w14:textId="77777777" w:rsidR="00B9311E" w:rsidRPr="00BD77D8" w:rsidRDefault="00B9311E" w:rsidP="00B9311E">
      <w:pPr>
        <w:pBdr>
          <w:bottom w:val="single" w:sz="4" w:space="1" w:color="auto"/>
        </w:pBdr>
        <w:spacing w:after="0" w:line="250" w:lineRule="exact"/>
        <w:textAlignment w:val="baseline"/>
        <w:rPr>
          <w:rFonts w:eastAsia="Arial"/>
          <w:b/>
          <w:sz w:val="18"/>
          <w:szCs w:val="18"/>
          <w:lang w:eastAsia="en-US"/>
        </w:rPr>
      </w:pPr>
    </w:p>
    <w:p w14:paraId="24BFAE38" w14:textId="77777777" w:rsidR="00B9311E" w:rsidRPr="00BD77D8" w:rsidRDefault="00B9311E" w:rsidP="00E47A6E">
      <w:pPr>
        <w:spacing w:before="240" w:line="180" w:lineRule="atLeast"/>
        <w:textAlignment w:val="baseline"/>
        <w:rPr>
          <w:rFonts w:eastAsia="Arial"/>
          <w:b/>
          <w:bCs/>
          <w:sz w:val="22"/>
          <w:szCs w:val="22"/>
          <w:lang w:eastAsia="en-US"/>
        </w:rPr>
      </w:pPr>
      <w:r w:rsidRPr="00BD77D8">
        <w:rPr>
          <w:rFonts w:eastAsia="Arial"/>
          <w:b/>
          <w:bCs/>
          <w:sz w:val="22"/>
          <w:szCs w:val="22"/>
          <w:lang w:eastAsia="en-US"/>
        </w:rPr>
        <w:t>C4 Property, Plant and Equipment (continued)</w:t>
      </w:r>
    </w:p>
    <w:p w14:paraId="46881CAE" w14:textId="77777777" w:rsidR="00B9311E" w:rsidRPr="00BD77D8" w:rsidRDefault="00B9311E" w:rsidP="00140059">
      <w:pPr>
        <w:spacing w:line="180" w:lineRule="atLeast"/>
        <w:textAlignment w:val="baseline"/>
        <w:rPr>
          <w:rFonts w:eastAsia="Arial"/>
          <w:b/>
          <w:bCs/>
          <w:spacing w:val="1"/>
          <w:sz w:val="18"/>
          <w:szCs w:val="18"/>
          <w:lang w:eastAsia="en-US"/>
        </w:rPr>
      </w:pPr>
      <w:r w:rsidRPr="00BD77D8">
        <w:rPr>
          <w:rFonts w:eastAsia="Arial"/>
          <w:b/>
          <w:bCs/>
          <w:spacing w:val="1"/>
          <w:sz w:val="18"/>
          <w:szCs w:val="18"/>
          <w:lang w:eastAsia="en-US"/>
        </w:rPr>
        <w:t>C4-8 Retail Stores and Community Facilities Divestment Program</w:t>
      </w:r>
    </w:p>
    <w:p w14:paraId="02048CBA" w14:textId="77777777" w:rsidR="00B9311E" w:rsidRPr="00BD77D8" w:rsidRDefault="00B9311E" w:rsidP="00140059">
      <w:pPr>
        <w:spacing w:line="180" w:lineRule="atLeast"/>
        <w:ind w:right="72"/>
        <w:textAlignment w:val="baseline"/>
        <w:rPr>
          <w:rFonts w:eastAsia="Arial"/>
          <w:b/>
          <w:sz w:val="18"/>
          <w:szCs w:val="18"/>
          <w:lang w:eastAsia="en-US"/>
        </w:rPr>
      </w:pPr>
      <w:r w:rsidRPr="00BD77D8">
        <w:rPr>
          <w:rFonts w:eastAsia="Arial"/>
          <w:sz w:val="18"/>
          <w:szCs w:val="18"/>
          <w:lang w:eastAsia="en-US"/>
        </w:rPr>
        <w:t>The department is the trustee of various reserve lands located within discrete indigenous communities, urban communities and islands in the Torres Strait, some of which have community facilities attached used by the local communities. The department is assessing options to transfer these assets to Traditional Owners or local councils, and there is no certainty as to likely outcomes over the foreseeable future. Until agreement is reached with the Traditional Owners and relevant local councils for these prospective transfers, the department will continue to control these assets.</w:t>
      </w:r>
    </w:p>
    <w:p w14:paraId="607294BA" w14:textId="77777777" w:rsidR="00B9311E" w:rsidRPr="00BD77D8" w:rsidRDefault="00B9311E" w:rsidP="00140059">
      <w:pPr>
        <w:spacing w:line="180" w:lineRule="atLeast"/>
        <w:textAlignment w:val="baseline"/>
        <w:rPr>
          <w:rFonts w:eastAsia="Arial"/>
          <w:b/>
          <w:sz w:val="18"/>
          <w:szCs w:val="18"/>
          <w:lang w:eastAsia="en-US"/>
        </w:rPr>
      </w:pPr>
      <w:r w:rsidRPr="00BD77D8">
        <w:rPr>
          <w:rFonts w:eastAsia="Arial"/>
          <w:sz w:val="18"/>
          <w:szCs w:val="18"/>
          <w:lang w:eastAsia="en-US"/>
        </w:rPr>
        <w:t>These assets include:</w:t>
      </w:r>
    </w:p>
    <w:p w14:paraId="42F36B28" w14:textId="77777777" w:rsidR="00B9311E" w:rsidRPr="00BD77D8" w:rsidRDefault="00B9311E" w:rsidP="003954C5">
      <w:pPr>
        <w:numPr>
          <w:ilvl w:val="0"/>
          <w:numId w:val="74"/>
        </w:numPr>
        <w:spacing w:line="180" w:lineRule="atLeast"/>
        <w:ind w:left="720" w:hanging="720"/>
        <w:textAlignment w:val="baseline"/>
        <w:rPr>
          <w:rFonts w:eastAsia="Arial"/>
          <w:b/>
          <w:sz w:val="18"/>
          <w:szCs w:val="18"/>
          <w:lang w:eastAsia="en-US"/>
        </w:rPr>
      </w:pPr>
      <w:r w:rsidRPr="00BD77D8">
        <w:rPr>
          <w:rFonts w:eastAsia="Arial"/>
          <w:sz w:val="18"/>
          <w:szCs w:val="18"/>
          <w:lang w:eastAsia="en-US"/>
        </w:rPr>
        <w:t xml:space="preserve">Mona </w:t>
      </w:r>
      <w:proofErr w:type="spellStart"/>
      <w:r w:rsidRPr="00BD77D8">
        <w:rPr>
          <w:rFonts w:eastAsia="Arial"/>
          <w:sz w:val="18"/>
          <w:szCs w:val="18"/>
          <w:lang w:eastAsia="en-US"/>
        </w:rPr>
        <w:t>Mona</w:t>
      </w:r>
      <w:proofErr w:type="spellEnd"/>
      <w:r w:rsidRPr="00BD77D8">
        <w:rPr>
          <w:rFonts w:eastAsia="Arial"/>
          <w:sz w:val="18"/>
          <w:szCs w:val="18"/>
          <w:lang w:eastAsia="en-US"/>
        </w:rPr>
        <w:t xml:space="preserve"> (land held in trust and a meeting shed) - value $0.892M</w:t>
      </w:r>
    </w:p>
    <w:p w14:paraId="58C2AD73" w14:textId="77777777" w:rsidR="00B9311E" w:rsidRPr="00BD77D8" w:rsidRDefault="00B9311E" w:rsidP="003954C5">
      <w:pPr>
        <w:numPr>
          <w:ilvl w:val="0"/>
          <w:numId w:val="74"/>
        </w:numPr>
        <w:spacing w:line="180" w:lineRule="atLeast"/>
        <w:ind w:left="720" w:hanging="720"/>
        <w:textAlignment w:val="baseline"/>
        <w:rPr>
          <w:rFonts w:eastAsia="Arial"/>
          <w:b/>
          <w:sz w:val="18"/>
          <w:szCs w:val="18"/>
          <w:lang w:eastAsia="en-US"/>
        </w:rPr>
      </w:pPr>
      <w:r w:rsidRPr="00BD77D8">
        <w:rPr>
          <w:rFonts w:eastAsia="Arial"/>
          <w:sz w:val="18"/>
          <w:szCs w:val="18"/>
          <w:lang w:eastAsia="en-US"/>
        </w:rPr>
        <w:t>Residential dwellings and land held in trust, Irvinebank - value $0.245M</w:t>
      </w:r>
    </w:p>
    <w:p w14:paraId="6CD3B1C3" w14:textId="77777777" w:rsidR="00B9311E" w:rsidRPr="00BD77D8" w:rsidRDefault="00B9311E" w:rsidP="003954C5">
      <w:pPr>
        <w:numPr>
          <w:ilvl w:val="0"/>
          <w:numId w:val="74"/>
        </w:numPr>
        <w:spacing w:line="180" w:lineRule="atLeast"/>
        <w:ind w:left="720" w:right="72" w:hanging="720"/>
        <w:textAlignment w:val="baseline"/>
        <w:rPr>
          <w:rFonts w:eastAsia="Arial"/>
          <w:bCs/>
          <w:sz w:val="18"/>
          <w:szCs w:val="18"/>
          <w:lang w:eastAsia="en-US"/>
        </w:rPr>
      </w:pPr>
      <w:r w:rsidRPr="00BD77D8">
        <w:rPr>
          <w:rFonts w:eastAsia="Arial"/>
          <w:sz w:val="18"/>
          <w:szCs w:val="18"/>
          <w:lang w:eastAsia="en-US"/>
        </w:rPr>
        <w:t>A number of reserves in remote locations in the Torres Strait and on the mainland. The majority of these reserves are valued at $1 in accordance with The Land Act 1994 which enables unallocated state land held in trust for the local community to be valued at a nominal amount.</w:t>
      </w:r>
    </w:p>
    <w:p w14:paraId="06CCDC32" w14:textId="77777777" w:rsidR="00B9311E" w:rsidRPr="00BD77D8" w:rsidRDefault="00B9311E" w:rsidP="00140059">
      <w:pPr>
        <w:tabs>
          <w:tab w:val="left" w:pos="7485"/>
        </w:tabs>
        <w:spacing w:line="180" w:lineRule="atLeast"/>
        <w:textAlignment w:val="baseline"/>
        <w:rPr>
          <w:rFonts w:eastAsia="Arial"/>
          <w:b/>
          <w:bCs/>
          <w:sz w:val="18"/>
          <w:szCs w:val="18"/>
          <w:lang w:eastAsia="en-US"/>
        </w:rPr>
      </w:pPr>
      <w:r w:rsidRPr="00BD77D8">
        <w:rPr>
          <w:rFonts w:eastAsia="Arial"/>
          <w:sz w:val="18"/>
          <w:szCs w:val="18"/>
          <w:lang w:eastAsia="en-US"/>
        </w:rPr>
        <w:t xml:space="preserve">The department transferred </w:t>
      </w:r>
      <w:proofErr w:type="spellStart"/>
      <w:r w:rsidRPr="00BD77D8">
        <w:rPr>
          <w:rFonts w:eastAsia="Arial"/>
          <w:sz w:val="18"/>
          <w:szCs w:val="18"/>
          <w:lang w:eastAsia="en-US"/>
        </w:rPr>
        <w:t>Olandi</w:t>
      </w:r>
      <w:proofErr w:type="spellEnd"/>
      <w:r w:rsidRPr="00BD77D8">
        <w:rPr>
          <w:rFonts w:eastAsia="Arial"/>
          <w:sz w:val="18"/>
          <w:szCs w:val="18"/>
          <w:lang w:eastAsia="en-US"/>
        </w:rPr>
        <w:t xml:space="preserve"> Hall (land net book value of $0.495 million and a building net book value of $1.109 million) to the Torres Shire Council during 2021-22. The transaction has been recognised as a reduction in Controlled Equity and recognition of the asset transfer as an Administered Grant ($1.604 million). Refer to the Statement of Changes in Equity and Note G1-6 for further information.</w:t>
      </w:r>
    </w:p>
    <w:p w14:paraId="29A71285" w14:textId="77777777" w:rsidR="00B9311E" w:rsidRPr="00BD77D8" w:rsidRDefault="00B9311E" w:rsidP="00140059">
      <w:pPr>
        <w:spacing w:line="180" w:lineRule="atLeast"/>
        <w:ind w:right="288"/>
        <w:textAlignment w:val="baseline"/>
        <w:rPr>
          <w:rFonts w:eastAsia="Arial"/>
          <w:b/>
          <w:bCs/>
          <w:sz w:val="18"/>
          <w:szCs w:val="18"/>
          <w:lang w:eastAsia="en-US"/>
        </w:rPr>
      </w:pPr>
      <w:r w:rsidRPr="00BD77D8">
        <w:rPr>
          <w:rFonts w:eastAsia="Arial"/>
          <w:sz w:val="18"/>
          <w:szCs w:val="18"/>
          <w:lang w:eastAsia="en-US"/>
        </w:rPr>
        <w:t>The department currently controls a number of Retail Stores and associated housing assets in remote communities. These assets are valued at $10.302M. Community Enterprise Queensland currently operates the Retail Stores on behalf of the department under memorandum of understanding arrangements whereby Community Enterprise Queensland reimburses the department's depreciation expenses. The department also controls the Lockhart River Multi-Tenant Service Centre $1.997M.</w:t>
      </w:r>
    </w:p>
    <w:p w14:paraId="1B0C244E" w14:textId="4D9CB5E9" w:rsidR="00B9311E" w:rsidRPr="00BD77D8" w:rsidRDefault="00B9311E" w:rsidP="009D387F">
      <w:pPr>
        <w:rPr>
          <w:rFonts w:eastAsia="PMingLiU"/>
          <w:b/>
          <w:bCs/>
          <w:sz w:val="18"/>
          <w:szCs w:val="22"/>
          <w:lang w:eastAsia="en-US"/>
        </w:rPr>
      </w:pPr>
      <w:bookmarkStart w:id="160" w:name="_Toc111494812"/>
      <w:bookmarkStart w:id="161" w:name="_Toc111540684"/>
      <w:bookmarkStart w:id="162" w:name="_Toc111559247"/>
      <w:bookmarkStart w:id="163" w:name="_Toc113196519"/>
      <w:bookmarkStart w:id="164" w:name="_Toc113196867"/>
      <w:bookmarkStart w:id="165" w:name="_Toc113261997"/>
      <w:bookmarkStart w:id="166" w:name="_Toc113349151"/>
      <w:bookmarkStart w:id="167" w:name="_Toc113358076"/>
      <w:bookmarkStart w:id="168" w:name="_Hlk100236797"/>
      <w:r w:rsidRPr="00BD77D8">
        <w:rPr>
          <w:rFonts w:eastAsia="Arial"/>
          <w:b/>
          <w:bCs/>
          <w:sz w:val="22"/>
          <w:szCs w:val="22"/>
          <w:lang w:eastAsia="en-US"/>
        </w:rPr>
        <w:t>C5 Intangibles</w:t>
      </w:r>
      <w:bookmarkEnd w:id="160"/>
      <w:bookmarkEnd w:id="161"/>
      <w:bookmarkEnd w:id="162"/>
      <w:bookmarkEnd w:id="163"/>
      <w:bookmarkEnd w:id="164"/>
      <w:bookmarkEnd w:id="165"/>
      <w:bookmarkEnd w:id="166"/>
      <w:bookmarkEnd w:id="167"/>
    </w:p>
    <w:p w14:paraId="3BD98620" w14:textId="77777777" w:rsidR="00B9311E" w:rsidRPr="00BD77D8" w:rsidRDefault="00B9311E" w:rsidP="00140059">
      <w:pPr>
        <w:spacing w:after="240" w:line="240" w:lineRule="auto"/>
        <w:rPr>
          <w:rFonts w:eastAsia="PMingLiU"/>
          <w:b/>
          <w:bCs/>
          <w:sz w:val="18"/>
          <w:szCs w:val="22"/>
          <w:lang w:eastAsia="en-US"/>
        </w:rPr>
      </w:pPr>
      <w:r w:rsidRPr="00BD77D8">
        <w:rPr>
          <w:rFonts w:eastAsia="PMingLiU"/>
          <w:b/>
          <w:bCs/>
          <w:sz w:val="18"/>
          <w:szCs w:val="22"/>
          <w:lang w:eastAsia="en-US"/>
        </w:rPr>
        <w:t>C5-1 Closing Balances and Reconciliations of Carrying Amount</w:t>
      </w:r>
    </w:p>
    <w:tbl>
      <w:tblPr>
        <w:tblW w:w="10321" w:type="dxa"/>
        <w:tblCellMar>
          <w:left w:w="0" w:type="dxa"/>
          <w:right w:w="0" w:type="dxa"/>
        </w:tblCellMar>
        <w:tblLook w:val="04A0" w:firstRow="1" w:lastRow="0" w:firstColumn="1" w:lastColumn="0" w:noHBand="0" w:noVBand="1"/>
      </w:tblPr>
      <w:tblGrid>
        <w:gridCol w:w="8218"/>
        <w:gridCol w:w="872"/>
        <w:gridCol w:w="1231"/>
      </w:tblGrid>
      <w:tr w:rsidR="00BD77D8" w:rsidRPr="00BD77D8" w14:paraId="3D588BB3" w14:textId="77777777" w:rsidTr="00140059">
        <w:trPr>
          <w:trHeight w:val="266"/>
        </w:trPr>
        <w:tc>
          <w:tcPr>
            <w:tcW w:w="8240" w:type="dxa"/>
            <w:tcBorders>
              <w:top w:val="nil"/>
              <w:left w:val="nil"/>
              <w:bottom w:val="nil"/>
              <w:right w:val="nil"/>
            </w:tcBorders>
            <w:shd w:val="clear" w:color="auto" w:fill="auto"/>
            <w:noWrap/>
            <w:vAlign w:val="center"/>
            <w:hideMark/>
          </w:tcPr>
          <w:p w14:paraId="1BC1304E" w14:textId="77777777" w:rsidR="00B9311E" w:rsidRPr="00BD77D8" w:rsidRDefault="00B9311E" w:rsidP="00B9311E">
            <w:pPr>
              <w:spacing w:after="0" w:line="240" w:lineRule="auto"/>
              <w:rPr>
                <w:rFonts w:ascii="Times New Roman" w:hAnsi="Times New Roman" w:cs="Times New Roman"/>
                <w:sz w:val="24"/>
                <w:szCs w:val="24"/>
              </w:rPr>
            </w:pPr>
          </w:p>
        </w:tc>
        <w:tc>
          <w:tcPr>
            <w:tcW w:w="860" w:type="dxa"/>
            <w:tcBorders>
              <w:top w:val="nil"/>
              <w:left w:val="nil"/>
              <w:bottom w:val="nil"/>
              <w:right w:val="nil"/>
            </w:tcBorders>
            <w:shd w:val="clear" w:color="auto" w:fill="auto"/>
            <w:noWrap/>
            <w:vAlign w:val="bottom"/>
            <w:hideMark/>
          </w:tcPr>
          <w:p w14:paraId="5D66E964"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221" w:type="dxa"/>
            <w:tcBorders>
              <w:top w:val="nil"/>
              <w:left w:val="nil"/>
              <w:bottom w:val="nil"/>
              <w:right w:val="nil"/>
            </w:tcBorders>
            <w:shd w:val="clear" w:color="auto" w:fill="auto"/>
            <w:noWrap/>
            <w:vAlign w:val="bottom"/>
            <w:hideMark/>
          </w:tcPr>
          <w:p w14:paraId="50147EFD"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195EE40B" w14:textId="77777777" w:rsidTr="00140059">
        <w:trPr>
          <w:trHeight w:val="266"/>
        </w:trPr>
        <w:tc>
          <w:tcPr>
            <w:tcW w:w="8240" w:type="dxa"/>
            <w:tcBorders>
              <w:top w:val="nil"/>
              <w:left w:val="nil"/>
              <w:bottom w:val="nil"/>
              <w:right w:val="nil"/>
            </w:tcBorders>
            <w:shd w:val="clear" w:color="auto" w:fill="auto"/>
            <w:noWrap/>
            <w:vAlign w:val="center"/>
            <w:hideMark/>
          </w:tcPr>
          <w:p w14:paraId="08F41910" w14:textId="77777777" w:rsidR="00B9311E" w:rsidRPr="00BD77D8" w:rsidRDefault="00B9311E" w:rsidP="00B9311E">
            <w:pPr>
              <w:spacing w:after="0" w:line="240" w:lineRule="auto"/>
              <w:jc w:val="right"/>
              <w:rPr>
                <w:sz w:val="18"/>
                <w:szCs w:val="18"/>
              </w:rPr>
            </w:pPr>
          </w:p>
        </w:tc>
        <w:tc>
          <w:tcPr>
            <w:tcW w:w="860" w:type="dxa"/>
            <w:tcBorders>
              <w:top w:val="nil"/>
              <w:left w:val="nil"/>
              <w:bottom w:val="single" w:sz="4" w:space="0" w:color="auto"/>
              <w:right w:val="nil"/>
            </w:tcBorders>
            <w:shd w:val="clear" w:color="auto" w:fill="auto"/>
            <w:vAlign w:val="center"/>
            <w:hideMark/>
          </w:tcPr>
          <w:p w14:paraId="177235C9"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221" w:type="dxa"/>
            <w:tcBorders>
              <w:top w:val="nil"/>
              <w:left w:val="nil"/>
              <w:bottom w:val="single" w:sz="4" w:space="0" w:color="auto"/>
              <w:right w:val="nil"/>
            </w:tcBorders>
            <w:shd w:val="clear" w:color="auto" w:fill="auto"/>
            <w:vAlign w:val="center"/>
            <w:hideMark/>
          </w:tcPr>
          <w:p w14:paraId="138611A0"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5422BCEB" w14:textId="77777777" w:rsidTr="00140059">
        <w:trPr>
          <w:trHeight w:val="266"/>
        </w:trPr>
        <w:tc>
          <w:tcPr>
            <w:tcW w:w="8240" w:type="dxa"/>
            <w:tcBorders>
              <w:top w:val="nil"/>
              <w:left w:val="nil"/>
              <w:bottom w:val="nil"/>
              <w:right w:val="nil"/>
            </w:tcBorders>
            <w:shd w:val="clear" w:color="auto" w:fill="auto"/>
            <w:vAlign w:val="center"/>
            <w:hideMark/>
          </w:tcPr>
          <w:p w14:paraId="685F4752" w14:textId="77777777" w:rsidR="00B9311E" w:rsidRPr="00BD77D8" w:rsidRDefault="00B9311E" w:rsidP="00B9311E">
            <w:pPr>
              <w:spacing w:after="0" w:line="240" w:lineRule="auto"/>
              <w:rPr>
                <w:b/>
                <w:bCs/>
                <w:sz w:val="18"/>
                <w:szCs w:val="18"/>
              </w:rPr>
            </w:pPr>
            <w:r w:rsidRPr="00BD77D8">
              <w:rPr>
                <w:b/>
                <w:bCs/>
                <w:sz w:val="18"/>
                <w:szCs w:val="18"/>
              </w:rPr>
              <w:t xml:space="preserve"> Intangible Assets Reconciliation at 30 June 2022 </w:t>
            </w:r>
          </w:p>
        </w:tc>
        <w:tc>
          <w:tcPr>
            <w:tcW w:w="860" w:type="dxa"/>
            <w:tcBorders>
              <w:top w:val="nil"/>
              <w:left w:val="nil"/>
              <w:bottom w:val="nil"/>
              <w:right w:val="nil"/>
            </w:tcBorders>
            <w:shd w:val="clear" w:color="auto" w:fill="auto"/>
            <w:vAlign w:val="center"/>
            <w:hideMark/>
          </w:tcPr>
          <w:p w14:paraId="2A400003" w14:textId="77777777" w:rsidR="00B9311E" w:rsidRPr="00BD77D8" w:rsidRDefault="00B9311E" w:rsidP="00B9311E">
            <w:pPr>
              <w:spacing w:after="0" w:line="240" w:lineRule="auto"/>
              <w:rPr>
                <w:b/>
                <w:bCs/>
                <w:sz w:val="18"/>
                <w:szCs w:val="18"/>
              </w:rPr>
            </w:pPr>
          </w:p>
        </w:tc>
        <w:tc>
          <w:tcPr>
            <w:tcW w:w="1221" w:type="dxa"/>
            <w:tcBorders>
              <w:top w:val="nil"/>
              <w:left w:val="nil"/>
              <w:bottom w:val="nil"/>
              <w:right w:val="nil"/>
            </w:tcBorders>
            <w:shd w:val="clear" w:color="auto" w:fill="auto"/>
            <w:noWrap/>
            <w:vAlign w:val="bottom"/>
            <w:hideMark/>
          </w:tcPr>
          <w:p w14:paraId="744D4A27"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11B39A02" w14:textId="77777777" w:rsidTr="00140059">
        <w:trPr>
          <w:trHeight w:val="266"/>
        </w:trPr>
        <w:tc>
          <w:tcPr>
            <w:tcW w:w="8240" w:type="dxa"/>
            <w:tcBorders>
              <w:top w:val="nil"/>
              <w:left w:val="nil"/>
              <w:bottom w:val="nil"/>
              <w:right w:val="nil"/>
            </w:tcBorders>
            <w:shd w:val="clear" w:color="auto" w:fill="auto"/>
            <w:vAlign w:val="center"/>
            <w:hideMark/>
          </w:tcPr>
          <w:p w14:paraId="53B65BDC" w14:textId="77777777" w:rsidR="00B9311E" w:rsidRPr="00BD77D8" w:rsidRDefault="00B9311E" w:rsidP="00B9311E">
            <w:pPr>
              <w:spacing w:after="0" w:line="240" w:lineRule="auto"/>
              <w:rPr>
                <w:sz w:val="18"/>
                <w:szCs w:val="18"/>
              </w:rPr>
            </w:pPr>
            <w:r w:rsidRPr="00BD77D8">
              <w:rPr>
                <w:sz w:val="18"/>
                <w:szCs w:val="18"/>
              </w:rPr>
              <w:t xml:space="preserve"> Internally Generated </w:t>
            </w:r>
          </w:p>
        </w:tc>
        <w:tc>
          <w:tcPr>
            <w:tcW w:w="860" w:type="dxa"/>
            <w:tcBorders>
              <w:top w:val="nil"/>
              <w:left w:val="nil"/>
              <w:bottom w:val="nil"/>
              <w:right w:val="nil"/>
            </w:tcBorders>
            <w:shd w:val="clear" w:color="auto" w:fill="auto"/>
            <w:noWrap/>
            <w:vAlign w:val="bottom"/>
            <w:hideMark/>
          </w:tcPr>
          <w:p w14:paraId="15EEF49F" w14:textId="77777777" w:rsidR="00B9311E" w:rsidRPr="00BD77D8" w:rsidRDefault="00B9311E" w:rsidP="00B9311E">
            <w:pPr>
              <w:spacing w:after="0" w:line="240" w:lineRule="auto"/>
              <w:rPr>
                <w:sz w:val="18"/>
                <w:szCs w:val="18"/>
              </w:rPr>
            </w:pPr>
          </w:p>
        </w:tc>
        <w:tc>
          <w:tcPr>
            <w:tcW w:w="1221" w:type="dxa"/>
            <w:tcBorders>
              <w:top w:val="nil"/>
              <w:left w:val="nil"/>
              <w:bottom w:val="nil"/>
              <w:right w:val="nil"/>
            </w:tcBorders>
            <w:shd w:val="clear" w:color="auto" w:fill="auto"/>
            <w:noWrap/>
            <w:vAlign w:val="bottom"/>
            <w:hideMark/>
          </w:tcPr>
          <w:p w14:paraId="0B2B283E" w14:textId="77777777" w:rsidR="00B9311E" w:rsidRPr="00BD77D8" w:rsidRDefault="00B9311E" w:rsidP="00B9311E">
            <w:pPr>
              <w:spacing w:after="0" w:line="240" w:lineRule="auto"/>
              <w:rPr>
                <w:rFonts w:ascii="Times New Roman" w:hAnsi="Times New Roman" w:cs="Times New Roman"/>
                <w:sz w:val="20"/>
                <w:szCs w:val="20"/>
              </w:rPr>
            </w:pPr>
          </w:p>
        </w:tc>
      </w:tr>
      <w:tr w:rsidR="00BD77D8" w:rsidRPr="00BD77D8" w14:paraId="788F5437" w14:textId="77777777" w:rsidTr="00140059">
        <w:trPr>
          <w:trHeight w:val="266"/>
        </w:trPr>
        <w:tc>
          <w:tcPr>
            <w:tcW w:w="8240" w:type="dxa"/>
            <w:tcBorders>
              <w:top w:val="nil"/>
              <w:left w:val="nil"/>
              <w:bottom w:val="nil"/>
              <w:right w:val="nil"/>
            </w:tcBorders>
            <w:shd w:val="clear" w:color="auto" w:fill="auto"/>
            <w:vAlign w:val="center"/>
            <w:hideMark/>
          </w:tcPr>
          <w:p w14:paraId="3227FD25" w14:textId="77777777" w:rsidR="00B9311E" w:rsidRPr="00BD77D8" w:rsidRDefault="00B9311E" w:rsidP="00B9311E">
            <w:pPr>
              <w:spacing w:after="0" w:line="240" w:lineRule="auto"/>
              <w:rPr>
                <w:sz w:val="18"/>
                <w:szCs w:val="18"/>
              </w:rPr>
            </w:pPr>
            <w:r w:rsidRPr="00BD77D8">
              <w:rPr>
                <w:sz w:val="18"/>
                <w:szCs w:val="18"/>
              </w:rPr>
              <w:t xml:space="preserve"> Software - internally generated (at cost) </w:t>
            </w:r>
          </w:p>
        </w:tc>
        <w:tc>
          <w:tcPr>
            <w:tcW w:w="860" w:type="dxa"/>
            <w:tcBorders>
              <w:top w:val="nil"/>
              <w:left w:val="nil"/>
              <w:bottom w:val="nil"/>
              <w:right w:val="nil"/>
            </w:tcBorders>
            <w:shd w:val="clear" w:color="auto" w:fill="auto"/>
            <w:vAlign w:val="center"/>
            <w:hideMark/>
          </w:tcPr>
          <w:p w14:paraId="432733AE" w14:textId="77777777" w:rsidR="00B9311E" w:rsidRPr="00BD77D8" w:rsidRDefault="00B9311E" w:rsidP="00B9311E">
            <w:pPr>
              <w:spacing w:after="0" w:line="240" w:lineRule="auto"/>
              <w:jc w:val="right"/>
              <w:rPr>
                <w:sz w:val="18"/>
                <w:szCs w:val="18"/>
              </w:rPr>
            </w:pPr>
            <w:r w:rsidRPr="00BD77D8">
              <w:rPr>
                <w:sz w:val="18"/>
                <w:szCs w:val="18"/>
              </w:rPr>
              <w:t xml:space="preserve">         871 </w:t>
            </w:r>
          </w:p>
        </w:tc>
        <w:tc>
          <w:tcPr>
            <w:tcW w:w="1221" w:type="dxa"/>
            <w:tcBorders>
              <w:top w:val="nil"/>
              <w:left w:val="nil"/>
              <w:bottom w:val="nil"/>
              <w:right w:val="nil"/>
            </w:tcBorders>
            <w:shd w:val="clear" w:color="auto" w:fill="auto"/>
            <w:vAlign w:val="center"/>
            <w:hideMark/>
          </w:tcPr>
          <w:p w14:paraId="51F67FBD" w14:textId="77777777" w:rsidR="00B9311E" w:rsidRPr="00BD77D8" w:rsidRDefault="00B9311E" w:rsidP="00B9311E">
            <w:pPr>
              <w:spacing w:after="0" w:line="240" w:lineRule="auto"/>
              <w:jc w:val="right"/>
              <w:rPr>
                <w:sz w:val="18"/>
                <w:szCs w:val="18"/>
              </w:rPr>
            </w:pPr>
            <w:r w:rsidRPr="00BD77D8">
              <w:rPr>
                <w:sz w:val="18"/>
                <w:szCs w:val="18"/>
              </w:rPr>
              <w:t xml:space="preserve">       1,215 </w:t>
            </w:r>
          </w:p>
        </w:tc>
      </w:tr>
      <w:tr w:rsidR="00BD77D8" w:rsidRPr="00BD77D8" w14:paraId="762C2055" w14:textId="77777777" w:rsidTr="00140059">
        <w:trPr>
          <w:trHeight w:val="266"/>
        </w:trPr>
        <w:tc>
          <w:tcPr>
            <w:tcW w:w="8240" w:type="dxa"/>
            <w:tcBorders>
              <w:top w:val="nil"/>
              <w:left w:val="nil"/>
              <w:bottom w:val="nil"/>
              <w:right w:val="nil"/>
            </w:tcBorders>
            <w:shd w:val="clear" w:color="auto" w:fill="auto"/>
            <w:vAlign w:val="center"/>
            <w:hideMark/>
          </w:tcPr>
          <w:p w14:paraId="2D9ECB07" w14:textId="77777777" w:rsidR="00B9311E" w:rsidRPr="00BD77D8" w:rsidRDefault="00B9311E" w:rsidP="00B9311E">
            <w:pPr>
              <w:spacing w:after="0" w:line="240" w:lineRule="auto"/>
              <w:rPr>
                <w:sz w:val="18"/>
                <w:szCs w:val="18"/>
              </w:rPr>
            </w:pPr>
            <w:r w:rsidRPr="00BD77D8">
              <w:rPr>
                <w:sz w:val="18"/>
                <w:szCs w:val="18"/>
              </w:rPr>
              <w:t xml:space="preserve"> Less accumulated amortisation </w:t>
            </w:r>
          </w:p>
        </w:tc>
        <w:tc>
          <w:tcPr>
            <w:tcW w:w="860" w:type="dxa"/>
            <w:tcBorders>
              <w:top w:val="nil"/>
              <w:left w:val="nil"/>
              <w:bottom w:val="nil"/>
              <w:right w:val="nil"/>
            </w:tcBorders>
            <w:shd w:val="clear" w:color="auto" w:fill="auto"/>
            <w:vAlign w:val="center"/>
            <w:hideMark/>
          </w:tcPr>
          <w:p w14:paraId="3FDF8790" w14:textId="77777777" w:rsidR="00B9311E" w:rsidRPr="00BD77D8" w:rsidRDefault="00B9311E" w:rsidP="00B9311E">
            <w:pPr>
              <w:spacing w:after="0" w:line="240" w:lineRule="auto"/>
              <w:jc w:val="right"/>
              <w:rPr>
                <w:sz w:val="18"/>
                <w:szCs w:val="18"/>
              </w:rPr>
            </w:pPr>
            <w:r w:rsidRPr="00BD77D8">
              <w:rPr>
                <w:sz w:val="18"/>
                <w:szCs w:val="18"/>
              </w:rPr>
              <w:t xml:space="preserve">        (433)</w:t>
            </w:r>
          </w:p>
        </w:tc>
        <w:tc>
          <w:tcPr>
            <w:tcW w:w="1221" w:type="dxa"/>
            <w:tcBorders>
              <w:top w:val="nil"/>
              <w:left w:val="nil"/>
              <w:bottom w:val="nil"/>
              <w:right w:val="nil"/>
            </w:tcBorders>
            <w:shd w:val="clear" w:color="auto" w:fill="auto"/>
            <w:vAlign w:val="center"/>
            <w:hideMark/>
          </w:tcPr>
          <w:p w14:paraId="7D6065BE" w14:textId="77777777" w:rsidR="00B9311E" w:rsidRPr="00BD77D8" w:rsidRDefault="00B9311E" w:rsidP="00B9311E">
            <w:pPr>
              <w:spacing w:after="0" w:line="240" w:lineRule="auto"/>
              <w:jc w:val="right"/>
              <w:rPr>
                <w:sz w:val="18"/>
                <w:szCs w:val="18"/>
              </w:rPr>
            </w:pPr>
            <w:r w:rsidRPr="00BD77D8">
              <w:rPr>
                <w:sz w:val="18"/>
                <w:szCs w:val="18"/>
              </w:rPr>
              <w:t xml:space="preserve">        (606)</w:t>
            </w:r>
          </w:p>
        </w:tc>
      </w:tr>
      <w:tr w:rsidR="00BD77D8" w:rsidRPr="00BD77D8" w14:paraId="3A43CB70" w14:textId="77777777" w:rsidTr="00140059">
        <w:trPr>
          <w:trHeight w:val="266"/>
        </w:trPr>
        <w:tc>
          <w:tcPr>
            <w:tcW w:w="8240" w:type="dxa"/>
            <w:tcBorders>
              <w:top w:val="nil"/>
              <w:left w:val="nil"/>
              <w:bottom w:val="nil"/>
              <w:right w:val="nil"/>
            </w:tcBorders>
            <w:shd w:val="clear" w:color="auto" w:fill="auto"/>
            <w:vAlign w:val="center"/>
            <w:hideMark/>
          </w:tcPr>
          <w:p w14:paraId="15E155E4"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860" w:type="dxa"/>
            <w:tcBorders>
              <w:top w:val="nil"/>
              <w:left w:val="nil"/>
              <w:bottom w:val="single" w:sz="4" w:space="0" w:color="auto"/>
              <w:right w:val="nil"/>
            </w:tcBorders>
            <w:shd w:val="clear" w:color="auto" w:fill="auto"/>
            <w:vAlign w:val="center"/>
            <w:hideMark/>
          </w:tcPr>
          <w:p w14:paraId="00A8CCCC" w14:textId="77777777" w:rsidR="00B9311E" w:rsidRPr="00BD77D8" w:rsidRDefault="00B9311E" w:rsidP="00B9311E">
            <w:pPr>
              <w:spacing w:after="0" w:line="240" w:lineRule="auto"/>
              <w:jc w:val="right"/>
              <w:rPr>
                <w:b/>
                <w:bCs/>
                <w:sz w:val="18"/>
                <w:szCs w:val="18"/>
              </w:rPr>
            </w:pPr>
            <w:r w:rsidRPr="00BD77D8">
              <w:rPr>
                <w:b/>
                <w:bCs/>
                <w:sz w:val="18"/>
                <w:szCs w:val="18"/>
              </w:rPr>
              <w:t xml:space="preserve">         438 </w:t>
            </w:r>
          </w:p>
        </w:tc>
        <w:tc>
          <w:tcPr>
            <w:tcW w:w="1221" w:type="dxa"/>
            <w:tcBorders>
              <w:top w:val="nil"/>
              <w:left w:val="nil"/>
              <w:bottom w:val="single" w:sz="4" w:space="0" w:color="auto"/>
              <w:right w:val="nil"/>
            </w:tcBorders>
            <w:shd w:val="clear" w:color="auto" w:fill="auto"/>
            <w:vAlign w:val="center"/>
            <w:hideMark/>
          </w:tcPr>
          <w:p w14:paraId="66C54DBA" w14:textId="77777777" w:rsidR="00B9311E" w:rsidRPr="00BD77D8" w:rsidRDefault="00B9311E" w:rsidP="00B9311E">
            <w:pPr>
              <w:spacing w:after="0" w:line="240" w:lineRule="auto"/>
              <w:jc w:val="right"/>
              <w:rPr>
                <w:b/>
                <w:bCs/>
                <w:sz w:val="18"/>
                <w:szCs w:val="18"/>
              </w:rPr>
            </w:pPr>
            <w:r w:rsidRPr="00BD77D8">
              <w:rPr>
                <w:b/>
                <w:bCs/>
                <w:sz w:val="18"/>
                <w:szCs w:val="18"/>
              </w:rPr>
              <w:t xml:space="preserve">          609 </w:t>
            </w:r>
          </w:p>
        </w:tc>
      </w:tr>
    </w:tbl>
    <w:p w14:paraId="0B12ACA6" w14:textId="3FD8492E" w:rsidR="00B9311E" w:rsidRPr="00BD77D8" w:rsidRDefault="0040288C" w:rsidP="00C3515C">
      <w:pPr>
        <w:spacing w:before="2520" w:after="0" w:line="240" w:lineRule="auto"/>
        <w:rPr>
          <w:rFonts w:eastAsia="Arial"/>
          <w:bCs/>
          <w:sz w:val="18"/>
          <w:szCs w:val="18"/>
          <w:lang w:eastAsia="en-US"/>
        </w:rPr>
      </w:pP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t>Page 27 of 45</w:t>
      </w:r>
      <w:r w:rsidR="00B9311E" w:rsidRPr="00BD77D8">
        <w:rPr>
          <w:rFonts w:eastAsia="Arial"/>
          <w:sz w:val="18"/>
          <w:szCs w:val="18"/>
          <w:lang w:eastAsia="en-US"/>
        </w:rPr>
        <w:br w:type="page"/>
      </w:r>
    </w:p>
    <w:p w14:paraId="667621B0"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5CF73E6B"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142274C7"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08E6AAF9"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05A7E7CE" w14:textId="77777777" w:rsidR="00B9311E" w:rsidRPr="00BD77D8" w:rsidRDefault="00B9311E" w:rsidP="00E47A6E">
      <w:pPr>
        <w:spacing w:before="240" w:line="199" w:lineRule="exact"/>
        <w:textAlignment w:val="baseline"/>
        <w:rPr>
          <w:rFonts w:eastAsia="Arial"/>
          <w:b/>
          <w:bCs/>
          <w:sz w:val="22"/>
          <w:szCs w:val="22"/>
          <w:lang w:eastAsia="en-US"/>
        </w:rPr>
      </w:pPr>
      <w:r w:rsidRPr="00BD77D8">
        <w:rPr>
          <w:rFonts w:eastAsia="Arial"/>
          <w:b/>
          <w:bCs/>
          <w:sz w:val="22"/>
          <w:szCs w:val="22"/>
          <w:lang w:eastAsia="en-US"/>
        </w:rPr>
        <w:t>Intangibles (continued)</w:t>
      </w:r>
    </w:p>
    <w:p w14:paraId="3020A16F" w14:textId="77777777" w:rsidR="00B9311E" w:rsidRPr="00BD77D8" w:rsidRDefault="00B9311E" w:rsidP="00140059">
      <w:pPr>
        <w:spacing w:line="180" w:lineRule="atLeast"/>
        <w:textAlignment w:val="baseline"/>
        <w:rPr>
          <w:rFonts w:eastAsia="Arial"/>
          <w:b/>
          <w:bCs/>
          <w:sz w:val="18"/>
          <w:szCs w:val="22"/>
          <w:lang w:eastAsia="en-US"/>
        </w:rPr>
      </w:pPr>
      <w:bookmarkStart w:id="169" w:name="_Hlk100228926"/>
      <w:bookmarkEnd w:id="168"/>
      <w:r w:rsidRPr="00BD77D8">
        <w:rPr>
          <w:rFonts w:eastAsia="Arial"/>
          <w:b/>
          <w:bCs/>
          <w:sz w:val="18"/>
          <w:szCs w:val="22"/>
          <w:lang w:eastAsia="en-US"/>
        </w:rPr>
        <w:t>C5-1 Closing Balances and Reconciliations of Carrying Amount (continued)</w:t>
      </w:r>
    </w:p>
    <w:p w14:paraId="54EEAEF4" w14:textId="77777777" w:rsidR="00B9311E" w:rsidRPr="00BD77D8" w:rsidRDefault="00B9311E" w:rsidP="00B9311E">
      <w:pPr>
        <w:spacing w:after="0" w:line="180" w:lineRule="atLeast"/>
        <w:textAlignment w:val="baseline"/>
        <w:rPr>
          <w:rFonts w:eastAsia="Arial"/>
          <w:sz w:val="18"/>
          <w:szCs w:val="18"/>
          <w:lang w:val="en-GB" w:eastAsia="en-US"/>
        </w:rPr>
      </w:pPr>
      <w:r w:rsidRPr="00BD77D8">
        <w:rPr>
          <w:rFonts w:eastAsia="Arial"/>
          <w:b/>
          <w:bCs/>
          <w:sz w:val="18"/>
          <w:szCs w:val="22"/>
          <w:lang w:eastAsia="en-US"/>
        </w:rPr>
        <w:t>Represented by Movements in Carrying Amount</w:t>
      </w:r>
      <w:r w:rsidRPr="00BD77D8">
        <w:rPr>
          <w:rFonts w:eastAsia="Arial"/>
          <w:sz w:val="18"/>
          <w:szCs w:val="22"/>
          <w:lang w:eastAsia="en-US"/>
        </w:rPr>
        <w:t>:</w:t>
      </w:r>
    </w:p>
    <w:tbl>
      <w:tblPr>
        <w:tblW w:w="0" w:type="auto"/>
        <w:tblCellMar>
          <w:left w:w="0" w:type="dxa"/>
          <w:right w:w="0" w:type="dxa"/>
        </w:tblCellMar>
        <w:tblLook w:val="04A0" w:firstRow="1" w:lastRow="0" w:firstColumn="1" w:lastColumn="0" w:noHBand="0" w:noVBand="1"/>
      </w:tblPr>
      <w:tblGrid>
        <w:gridCol w:w="7006"/>
        <w:gridCol w:w="1308"/>
        <w:gridCol w:w="1032"/>
        <w:gridCol w:w="975"/>
      </w:tblGrid>
      <w:tr w:rsidR="00BD77D8" w:rsidRPr="00BD77D8" w14:paraId="5A429844" w14:textId="77777777" w:rsidTr="003057FB">
        <w:trPr>
          <w:trHeight w:val="722"/>
        </w:trPr>
        <w:tc>
          <w:tcPr>
            <w:tcW w:w="7034" w:type="dxa"/>
            <w:tcBorders>
              <w:top w:val="nil"/>
              <w:left w:val="nil"/>
              <w:bottom w:val="nil"/>
              <w:right w:val="nil"/>
            </w:tcBorders>
            <w:shd w:val="clear" w:color="000000" w:fill="FFFFFF"/>
            <w:noWrap/>
            <w:vAlign w:val="bottom"/>
            <w:hideMark/>
          </w:tcPr>
          <w:p w14:paraId="63BAB469" w14:textId="77777777" w:rsidR="00B9311E" w:rsidRPr="00BD77D8" w:rsidRDefault="00B9311E" w:rsidP="00B9311E">
            <w:pPr>
              <w:spacing w:after="0" w:line="240" w:lineRule="auto"/>
              <w:rPr>
                <w:sz w:val="18"/>
                <w:szCs w:val="18"/>
              </w:rPr>
            </w:pPr>
            <w:r w:rsidRPr="00BD77D8">
              <w:rPr>
                <w:sz w:val="18"/>
                <w:szCs w:val="18"/>
              </w:rPr>
              <w:t> </w:t>
            </w:r>
          </w:p>
        </w:tc>
        <w:tc>
          <w:tcPr>
            <w:tcW w:w="1300" w:type="dxa"/>
            <w:tcBorders>
              <w:top w:val="nil"/>
              <w:left w:val="nil"/>
              <w:bottom w:val="nil"/>
              <w:right w:val="nil"/>
            </w:tcBorders>
            <w:shd w:val="clear" w:color="auto" w:fill="auto"/>
            <w:vAlign w:val="center"/>
            <w:hideMark/>
          </w:tcPr>
          <w:p w14:paraId="0CA7FDF5" w14:textId="77777777" w:rsidR="00B9311E" w:rsidRPr="00BD77D8" w:rsidRDefault="00B9311E" w:rsidP="00B9311E">
            <w:pPr>
              <w:spacing w:after="0" w:line="240" w:lineRule="auto"/>
              <w:jc w:val="right"/>
              <w:rPr>
                <w:b/>
                <w:bCs/>
                <w:sz w:val="18"/>
                <w:szCs w:val="18"/>
              </w:rPr>
            </w:pPr>
            <w:r w:rsidRPr="00BD77D8">
              <w:rPr>
                <w:b/>
                <w:bCs/>
                <w:sz w:val="18"/>
                <w:szCs w:val="18"/>
              </w:rPr>
              <w:t xml:space="preserve"> Software internally generated </w:t>
            </w:r>
          </w:p>
        </w:tc>
        <w:tc>
          <w:tcPr>
            <w:tcW w:w="1022" w:type="dxa"/>
            <w:tcBorders>
              <w:top w:val="nil"/>
              <w:left w:val="nil"/>
              <w:bottom w:val="nil"/>
              <w:right w:val="nil"/>
            </w:tcBorders>
            <w:shd w:val="clear" w:color="auto" w:fill="auto"/>
            <w:vAlign w:val="center"/>
            <w:hideMark/>
          </w:tcPr>
          <w:p w14:paraId="23C6635E" w14:textId="77777777" w:rsidR="00B9311E" w:rsidRPr="00BD77D8" w:rsidRDefault="00B9311E" w:rsidP="00B9311E">
            <w:pPr>
              <w:spacing w:after="0" w:line="240" w:lineRule="auto"/>
              <w:jc w:val="right"/>
              <w:rPr>
                <w:b/>
                <w:bCs/>
                <w:sz w:val="18"/>
                <w:szCs w:val="18"/>
              </w:rPr>
            </w:pPr>
            <w:r w:rsidRPr="00BD77D8">
              <w:rPr>
                <w:b/>
                <w:bCs/>
                <w:sz w:val="18"/>
                <w:szCs w:val="18"/>
              </w:rPr>
              <w:t xml:space="preserve"> Software works in progress </w:t>
            </w:r>
          </w:p>
        </w:tc>
        <w:tc>
          <w:tcPr>
            <w:tcW w:w="965" w:type="dxa"/>
            <w:tcBorders>
              <w:top w:val="nil"/>
              <w:left w:val="nil"/>
              <w:bottom w:val="nil"/>
              <w:right w:val="nil"/>
            </w:tcBorders>
            <w:shd w:val="clear" w:color="auto" w:fill="auto"/>
            <w:vAlign w:val="center"/>
            <w:hideMark/>
          </w:tcPr>
          <w:p w14:paraId="0CDECBF1" w14:textId="77777777" w:rsidR="00B9311E" w:rsidRPr="00BD77D8" w:rsidRDefault="00B9311E" w:rsidP="00B9311E">
            <w:pPr>
              <w:spacing w:after="0" w:line="240" w:lineRule="auto"/>
              <w:jc w:val="right"/>
              <w:rPr>
                <w:b/>
                <w:bCs/>
                <w:sz w:val="18"/>
                <w:szCs w:val="18"/>
              </w:rPr>
            </w:pPr>
            <w:r w:rsidRPr="00BD77D8">
              <w:rPr>
                <w:b/>
                <w:bCs/>
                <w:sz w:val="18"/>
                <w:szCs w:val="18"/>
              </w:rPr>
              <w:t xml:space="preserve"> Total </w:t>
            </w:r>
          </w:p>
        </w:tc>
      </w:tr>
      <w:tr w:rsidR="00BD77D8" w:rsidRPr="00BD77D8" w14:paraId="16732F32" w14:textId="77777777" w:rsidTr="003057FB">
        <w:trPr>
          <w:trHeight w:val="285"/>
        </w:trPr>
        <w:tc>
          <w:tcPr>
            <w:tcW w:w="7034" w:type="dxa"/>
            <w:tcBorders>
              <w:top w:val="nil"/>
              <w:left w:val="nil"/>
              <w:bottom w:val="nil"/>
              <w:right w:val="nil"/>
            </w:tcBorders>
            <w:shd w:val="clear" w:color="auto" w:fill="auto"/>
            <w:noWrap/>
            <w:vAlign w:val="bottom"/>
            <w:hideMark/>
          </w:tcPr>
          <w:p w14:paraId="47D85FFD" w14:textId="77777777" w:rsidR="00B9311E" w:rsidRPr="00BD77D8" w:rsidRDefault="00B9311E" w:rsidP="00B9311E">
            <w:pPr>
              <w:spacing w:after="0" w:line="240" w:lineRule="auto"/>
              <w:rPr>
                <w:sz w:val="18"/>
                <w:szCs w:val="18"/>
              </w:rPr>
            </w:pPr>
            <w:r w:rsidRPr="00BD77D8">
              <w:rPr>
                <w:sz w:val="18"/>
                <w:szCs w:val="18"/>
              </w:rPr>
              <w:t> </w:t>
            </w:r>
          </w:p>
        </w:tc>
        <w:tc>
          <w:tcPr>
            <w:tcW w:w="1300" w:type="dxa"/>
            <w:tcBorders>
              <w:top w:val="nil"/>
              <w:left w:val="nil"/>
              <w:bottom w:val="single" w:sz="4" w:space="0" w:color="auto"/>
              <w:right w:val="nil"/>
            </w:tcBorders>
            <w:shd w:val="clear" w:color="auto" w:fill="auto"/>
            <w:noWrap/>
            <w:vAlign w:val="bottom"/>
            <w:hideMark/>
          </w:tcPr>
          <w:p w14:paraId="52E74D58"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022" w:type="dxa"/>
            <w:tcBorders>
              <w:top w:val="nil"/>
              <w:left w:val="nil"/>
              <w:bottom w:val="single" w:sz="4" w:space="0" w:color="auto"/>
              <w:right w:val="nil"/>
            </w:tcBorders>
            <w:shd w:val="clear" w:color="auto" w:fill="auto"/>
            <w:noWrap/>
            <w:vAlign w:val="bottom"/>
            <w:hideMark/>
          </w:tcPr>
          <w:p w14:paraId="0E8EFA0B"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965" w:type="dxa"/>
            <w:tcBorders>
              <w:top w:val="nil"/>
              <w:left w:val="nil"/>
              <w:bottom w:val="single" w:sz="4" w:space="0" w:color="auto"/>
              <w:right w:val="nil"/>
            </w:tcBorders>
            <w:shd w:val="clear" w:color="auto" w:fill="auto"/>
            <w:noWrap/>
            <w:vAlign w:val="bottom"/>
            <w:hideMark/>
          </w:tcPr>
          <w:p w14:paraId="1E1B4001"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6DDF4161" w14:textId="77777777" w:rsidTr="003057FB">
        <w:trPr>
          <w:trHeight w:val="255"/>
        </w:trPr>
        <w:tc>
          <w:tcPr>
            <w:tcW w:w="7034" w:type="dxa"/>
            <w:tcBorders>
              <w:top w:val="nil"/>
              <w:left w:val="nil"/>
              <w:bottom w:val="nil"/>
              <w:right w:val="nil"/>
            </w:tcBorders>
            <w:shd w:val="clear" w:color="auto" w:fill="auto"/>
            <w:noWrap/>
            <w:vAlign w:val="bottom"/>
            <w:hideMark/>
          </w:tcPr>
          <w:p w14:paraId="5BE659EB" w14:textId="77777777" w:rsidR="00B9311E" w:rsidRPr="00BD77D8" w:rsidRDefault="00B9311E" w:rsidP="00B9311E">
            <w:pPr>
              <w:spacing w:after="0" w:line="240" w:lineRule="auto"/>
              <w:rPr>
                <w:b/>
                <w:bCs/>
                <w:sz w:val="18"/>
                <w:szCs w:val="18"/>
              </w:rPr>
            </w:pPr>
            <w:r w:rsidRPr="00BD77D8">
              <w:rPr>
                <w:b/>
                <w:bCs/>
                <w:sz w:val="18"/>
                <w:szCs w:val="18"/>
              </w:rPr>
              <w:t xml:space="preserve"> Carrying amount at 1 July 2020 </w:t>
            </w:r>
          </w:p>
        </w:tc>
        <w:tc>
          <w:tcPr>
            <w:tcW w:w="1300" w:type="dxa"/>
            <w:tcBorders>
              <w:top w:val="nil"/>
              <w:left w:val="nil"/>
              <w:bottom w:val="nil"/>
              <w:right w:val="nil"/>
            </w:tcBorders>
            <w:shd w:val="clear" w:color="auto" w:fill="auto"/>
            <w:vAlign w:val="center"/>
            <w:hideMark/>
          </w:tcPr>
          <w:p w14:paraId="2F147486" w14:textId="77777777" w:rsidR="00B9311E" w:rsidRPr="00BD77D8" w:rsidRDefault="00B9311E" w:rsidP="00B9311E">
            <w:pPr>
              <w:spacing w:after="0" w:line="240" w:lineRule="auto"/>
              <w:jc w:val="right"/>
              <w:rPr>
                <w:b/>
                <w:bCs/>
                <w:sz w:val="18"/>
                <w:szCs w:val="18"/>
              </w:rPr>
            </w:pPr>
            <w:r w:rsidRPr="00BD77D8">
              <w:rPr>
                <w:b/>
                <w:bCs/>
                <w:sz w:val="18"/>
                <w:szCs w:val="18"/>
              </w:rPr>
              <w:t xml:space="preserve">        2,148 </w:t>
            </w:r>
          </w:p>
        </w:tc>
        <w:tc>
          <w:tcPr>
            <w:tcW w:w="1022" w:type="dxa"/>
            <w:tcBorders>
              <w:top w:val="nil"/>
              <w:left w:val="nil"/>
              <w:bottom w:val="nil"/>
              <w:right w:val="nil"/>
            </w:tcBorders>
            <w:shd w:val="clear" w:color="auto" w:fill="auto"/>
            <w:vAlign w:val="center"/>
            <w:hideMark/>
          </w:tcPr>
          <w:p w14:paraId="3EC6FE97" w14:textId="77777777" w:rsidR="00B9311E" w:rsidRPr="00BD77D8" w:rsidRDefault="00B9311E" w:rsidP="00B9311E">
            <w:pPr>
              <w:spacing w:after="0" w:line="240" w:lineRule="auto"/>
              <w:jc w:val="right"/>
              <w:rPr>
                <w:b/>
                <w:bCs/>
                <w:sz w:val="18"/>
                <w:szCs w:val="18"/>
              </w:rPr>
            </w:pPr>
            <w:r w:rsidRPr="00BD77D8">
              <w:rPr>
                <w:b/>
                <w:bCs/>
                <w:sz w:val="18"/>
                <w:szCs w:val="18"/>
              </w:rPr>
              <w:t xml:space="preserve">           571 </w:t>
            </w:r>
          </w:p>
        </w:tc>
        <w:tc>
          <w:tcPr>
            <w:tcW w:w="965" w:type="dxa"/>
            <w:tcBorders>
              <w:top w:val="nil"/>
              <w:left w:val="nil"/>
              <w:bottom w:val="nil"/>
              <w:right w:val="nil"/>
            </w:tcBorders>
            <w:shd w:val="clear" w:color="auto" w:fill="auto"/>
            <w:noWrap/>
            <w:vAlign w:val="center"/>
            <w:hideMark/>
          </w:tcPr>
          <w:p w14:paraId="7321AC63" w14:textId="77777777" w:rsidR="00B9311E" w:rsidRPr="00BD77D8" w:rsidRDefault="00B9311E" w:rsidP="00B9311E">
            <w:pPr>
              <w:spacing w:after="0" w:line="240" w:lineRule="auto"/>
              <w:jc w:val="right"/>
              <w:rPr>
                <w:b/>
                <w:bCs/>
                <w:sz w:val="18"/>
                <w:szCs w:val="18"/>
              </w:rPr>
            </w:pPr>
            <w:r w:rsidRPr="00BD77D8">
              <w:rPr>
                <w:b/>
                <w:bCs/>
                <w:sz w:val="18"/>
                <w:szCs w:val="18"/>
              </w:rPr>
              <w:t xml:space="preserve">   2,719 </w:t>
            </w:r>
          </w:p>
        </w:tc>
      </w:tr>
      <w:tr w:rsidR="00BD77D8" w:rsidRPr="00BD77D8" w14:paraId="0A1F3759" w14:textId="77777777" w:rsidTr="003057FB">
        <w:trPr>
          <w:trHeight w:val="255"/>
        </w:trPr>
        <w:tc>
          <w:tcPr>
            <w:tcW w:w="7034" w:type="dxa"/>
            <w:tcBorders>
              <w:top w:val="nil"/>
              <w:left w:val="nil"/>
              <w:bottom w:val="nil"/>
              <w:right w:val="nil"/>
            </w:tcBorders>
            <w:shd w:val="clear" w:color="auto" w:fill="auto"/>
            <w:noWrap/>
            <w:vAlign w:val="bottom"/>
            <w:hideMark/>
          </w:tcPr>
          <w:p w14:paraId="28DC2A57" w14:textId="77777777" w:rsidR="00B9311E" w:rsidRPr="00BD77D8" w:rsidRDefault="00B9311E" w:rsidP="00B9311E">
            <w:pPr>
              <w:spacing w:after="0" w:line="240" w:lineRule="auto"/>
              <w:rPr>
                <w:sz w:val="18"/>
                <w:szCs w:val="18"/>
              </w:rPr>
            </w:pPr>
            <w:r w:rsidRPr="00BD77D8">
              <w:rPr>
                <w:sz w:val="18"/>
                <w:szCs w:val="18"/>
              </w:rPr>
              <w:t xml:space="preserve"> Additions </w:t>
            </w:r>
          </w:p>
        </w:tc>
        <w:tc>
          <w:tcPr>
            <w:tcW w:w="1300" w:type="dxa"/>
            <w:tcBorders>
              <w:top w:val="nil"/>
              <w:left w:val="nil"/>
              <w:bottom w:val="nil"/>
              <w:right w:val="nil"/>
            </w:tcBorders>
            <w:shd w:val="clear" w:color="auto" w:fill="auto"/>
            <w:vAlign w:val="center"/>
            <w:hideMark/>
          </w:tcPr>
          <w:p w14:paraId="21510813"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022" w:type="dxa"/>
            <w:tcBorders>
              <w:top w:val="nil"/>
              <w:left w:val="nil"/>
              <w:bottom w:val="nil"/>
              <w:right w:val="nil"/>
            </w:tcBorders>
            <w:shd w:val="clear" w:color="auto" w:fill="auto"/>
            <w:vAlign w:val="center"/>
            <w:hideMark/>
          </w:tcPr>
          <w:p w14:paraId="3CAF8AC8" w14:textId="77777777" w:rsidR="00B9311E" w:rsidRPr="00BD77D8" w:rsidRDefault="00B9311E" w:rsidP="00B9311E">
            <w:pPr>
              <w:spacing w:after="0" w:line="240" w:lineRule="auto"/>
              <w:jc w:val="right"/>
              <w:rPr>
                <w:sz w:val="18"/>
                <w:szCs w:val="18"/>
              </w:rPr>
            </w:pPr>
            <w:r w:rsidRPr="00BD77D8">
              <w:rPr>
                <w:sz w:val="18"/>
                <w:szCs w:val="18"/>
              </w:rPr>
              <w:t xml:space="preserve">             13 </w:t>
            </w:r>
          </w:p>
        </w:tc>
        <w:tc>
          <w:tcPr>
            <w:tcW w:w="965" w:type="dxa"/>
            <w:tcBorders>
              <w:top w:val="nil"/>
              <w:left w:val="nil"/>
              <w:bottom w:val="nil"/>
              <w:right w:val="nil"/>
            </w:tcBorders>
            <w:shd w:val="clear" w:color="auto" w:fill="auto"/>
            <w:noWrap/>
            <w:vAlign w:val="center"/>
            <w:hideMark/>
          </w:tcPr>
          <w:p w14:paraId="356BF83E" w14:textId="77777777" w:rsidR="00B9311E" w:rsidRPr="00BD77D8" w:rsidRDefault="00B9311E" w:rsidP="00B9311E">
            <w:pPr>
              <w:spacing w:after="0" w:line="240" w:lineRule="auto"/>
              <w:jc w:val="right"/>
              <w:rPr>
                <w:sz w:val="18"/>
                <w:szCs w:val="18"/>
              </w:rPr>
            </w:pPr>
            <w:r w:rsidRPr="00BD77D8">
              <w:rPr>
                <w:sz w:val="18"/>
                <w:szCs w:val="18"/>
              </w:rPr>
              <w:t xml:space="preserve">         13 </w:t>
            </w:r>
          </w:p>
        </w:tc>
      </w:tr>
      <w:tr w:rsidR="00BD77D8" w:rsidRPr="00BD77D8" w14:paraId="5E0DA05F" w14:textId="77777777" w:rsidTr="003057FB">
        <w:trPr>
          <w:trHeight w:val="255"/>
        </w:trPr>
        <w:tc>
          <w:tcPr>
            <w:tcW w:w="7034" w:type="dxa"/>
            <w:tcBorders>
              <w:top w:val="nil"/>
              <w:left w:val="nil"/>
              <w:bottom w:val="nil"/>
              <w:right w:val="nil"/>
            </w:tcBorders>
            <w:shd w:val="clear" w:color="auto" w:fill="auto"/>
            <w:noWrap/>
            <w:vAlign w:val="bottom"/>
            <w:hideMark/>
          </w:tcPr>
          <w:p w14:paraId="6A9AF61F" w14:textId="77777777" w:rsidR="00B9311E" w:rsidRPr="00BD77D8" w:rsidRDefault="00B9311E" w:rsidP="00B9311E">
            <w:pPr>
              <w:spacing w:after="0" w:line="240" w:lineRule="auto"/>
              <w:rPr>
                <w:sz w:val="18"/>
                <w:szCs w:val="18"/>
              </w:rPr>
            </w:pPr>
            <w:r w:rsidRPr="00BD77D8">
              <w:rPr>
                <w:sz w:val="18"/>
                <w:szCs w:val="18"/>
              </w:rPr>
              <w:t xml:space="preserve"> Transfer in from other Queensland Government Entities </w:t>
            </w:r>
            <w:proofErr w:type="spellStart"/>
            <w:r w:rsidRPr="00BD77D8">
              <w:rPr>
                <w:sz w:val="18"/>
                <w:szCs w:val="18"/>
              </w:rPr>
              <w:t>MoG</w:t>
            </w:r>
            <w:proofErr w:type="spellEnd"/>
            <w:r w:rsidRPr="00BD77D8">
              <w:rPr>
                <w:sz w:val="18"/>
                <w:szCs w:val="18"/>
              </w:rPr>
              <w:t xml:space="preserve"> </w:t>
            </w:r>
          </w:p>
        </w:tc>
        <w:tc>
          <w:tcPr>
            <w:tcW w:w="1300" w:type="dxa"/>
            <w:tcBorders>
              <w:top w:val="nil"/>
              <w:left w:val="nil"/>
              <w:bottom w:val="nil"/>
              <w:right w:val="nil"/>
            </w:tcBorders>
            <w:shd w:val="clear" w:color="auto" w:fill="auto"/>
            <w:vAlign w:val="center"/>
            <w:hideMark/>
          </w:tcPr>
          <w:p w14:paraId="55E0E438" w14:textId="77777777" w:rsidR="00B9311E" w:rsidRPr="00BD77D8" w:rsidRDefault="00B9311E" w:rsidP="00B9311E">
            <w:pPr>
              <w:spacing w:after="0" w:line="240" w:lineRule="auto"/>
              <w:jc w:val="right"/>
              <w:rPr>
                <w:sz w:val="18"/>
                <w:szCs w:val="18"/>
              </w:rPr>
            </w:pPr>
            <w:r w:rsidRPr="00BD77D8">
              <w:rPr>
                <w:sz w:val="18"/>
                <w:szCs w:val="18"/>
              </w:rPr>
              <w:t xml:space="preserve">            142 </w:t>
            </w:r>
          </w:p>
        </w:tc>
        <w:tc>
          <w:tcPr>
            <w:tcW w:w="1022" w:type="dxa"/>
            <w:tcBorders>
              <w:top w:val="nil"/>
              <w:left w:val="nil"/>
              <w:bottom w:val="nil"/>
              <w:right w:val="nil"/>
            </w:tcBorders>
            <w:shd w:val="clear" w:color="auto" w:fill="auto"/>
            <w:vAlign w:val="center"/>
            <w:hideMark/>
          </w:tcPr>
          <w:p w14:paraId="2FA013D5"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65" w:type="dxa"/>
            <w:tcBorders>
              <w:top w:val="nil"/>
              <w:left w:val="nil"/>
              <w:bottom w:val="nil"/>
              <w:right w:val="nil"/>
            </w:tcBorders>
            <w:shd w:val="clear" w:color="auto" w:fill="auto"/>
            <w:noWrap/>
            <w:vAlign w:val="center"/>
            <w:hideMark/>
          </w:tcPr>
          <w:p w14:paraId="2B25A3E7" w14:textId="77777777" w:rsidR="00B9311E" w:rsidRPr="00BD77D8" w:rsidRDefault="00B9311E" w:rsidP="00B9311E">
            <w:pPr>
              <w:spacing w:after="0" w:line="240" w:lineRule="auto"/>
              <w:jc w:val="right"/>
              <w:rPr>
                <w:sz w:val="18"/>
                <w:szCs w:val="18"/>
              </w:rPr>
            </w:pPr>
            <w:r w:rsidRPr="00BD77D8">
              <w:rPr>
                <w:sz w:val="18"/>
                <w:szCs w:val="18"/>
              </w:rPr>
              <w:t xml:space="preserve">       142 </w:t>
            </w:r>
          </w:p>
        </w:tc>
      </w:tr>
      <w:tr w:rsidR="00BD77D8" w:rsidRPr="00BD77D8" w14:paraId="39870892" w14:textId="77777777" w:rsidTr="003057FB">
        <w:trPr>
          <w:trHeight w:val="255"/>
        </w:trPr>
        <w:tc>
          <w:tcPr>
            <w:tcW w:w="7034" w:type="dxa"/>
            <w:tcBorders>
              <w:top w:val="nil"/>
              <w:left w:val="nil"/>
              <w:bottom w:val="nil"/>
              <w:right w:val="nil"/>
            </w:tcBorders>
            <w:shd w:val="clear" w:color="auto" w:fill="auto"/>
            <w:noWrap/>
            <w:vAlign w:val="bottom"/>
            <w:hideMark/>
          </w:tcPr>
          <w:p w14:paraId="4BCE32FB" w14:textId="77777777" w:rsidR="00B9311E" w:rsidRPr="00BD77D8" w:rsidRDefault="00B9311E" w:rsidP="00B9311E">
            <w:pPr>
              <w:spacing w:after="0" w:line="240" w:lineRule="auto"/>
              <w:rPr>
                <w:sz w:val="18"/>
                <w:szCs w:val="18"/>
              </w:rPr>
            </w:pPr>
            <w:r w:rsidRPr="00BD77D8">
              <w:rPr>
                <w:sz w:val="18"/>
                <w:szCs w:val="18"/>
              </w:rPr>
              <w:t xml:space="preserve"> Adjustments </w:t>
            </w:r>
            <w:proofErr w:type="spellStart"/>
            <w:r w:rsidRPr="00BD77D8">
              <w:rPr>
                <w:sz w:val="18"/>
                <w:szCs w:val="18"/>
              </w:rPr>
              <w:t>MoG</w:t>
            </w:r>
            <w:proofErr w:type="spellEnd"/>
            <w:r w:rsidRPr="00BD77D8">
              <w:rPr>
                <w:sz w:val="18"/>
                <w:szCs w:val="18"/>
              </w:rPr>
              <w:t xml:space="preserve"> </w:t>
            </w:r>
          </w:p>
        </w:tc>
        <w:tc>
          <w:tcPr>
            <w:tcW w:w="1300" w:type="dxa"/>
            <w:tcBorders>
              <w:top w:val="nil"/>
              <w:left w:val="nil"/>
              <w:bottom w:val="nil"/>
              <w:right w:val="nil"/>
            </w:tcBorders>
            <w:shd w:val="clear" w:color="auto" w:fill="auto"/>
            <w:vAlign w:val="center"/>
            <w:hideMark/>
          </w:tcPr>
          <w:p w14:paraId="40869230" w14:textId="77777777" w:rsidR="00B9311E" w:rsidRPr="00BD77D8" w:rsidRDefault="00B9311E" w:rsidP="00B9311E">
            <w:pPr>
              <w:spacing w:after="0" w:line="240" w:lineRule="auto"/>
              <w:jc w:val="right"/>
              <w:rPr>
                <w:sz w:val="18"/>
                <w:szCs w:val="18"/>
              </w:rPr>
            </w:pPr>
            <w:r w:rsidRPr="00BD77D8">
              <w:rPr>
                <w:sz w:val="18"/>
                <w:szCs w:val="18"/>
              </w:rPr>
              <w:t xml:space="preserve">               (3)</w:t>
            </w:r>
          </w:p>
        </w:tc>
        <w:tc>
          <w:tcPr>
            <w:tcW w:w="1022" w:type="dxa"/>
            <w:tcBorders>
              <w:top w:val="nil"/>
              <w:left w:val="nil"/>
              <w:bottom w:val="nil"/>
              <w:right w:val="nil"/>
            </w:tcBorders>
            <w:shd w:val="clear" w:color="auto" w:fill="auto"/>
            <w:vAlign w:val="center"/>
            <w:hideMark/>
          </w:tcPr>
          <w:p w14:paraId="05A30E76"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65" w:type="dxa"/>
            <w:tcBorders>
              <w:top w:val="nil"/>
              <w:left w:val="nil"/>
              <w:bottom w:val="nil"/>
              <w:right w:val="nil"/>
            </w:tcBorders>
            <w:shd w:val="clear" w:color="auto" w:fill="auto"/>
            <w:noWrap/>
            <w:vAlign w:val="center"/>
            <w:hideMark/>
          </w:tcPr>
          <w:p w14:paraId="5B6E823B" w14:textId="77777777" w:rsidR="00B9311E" w:rsidRPr="00BD77D8" w:rsidRDefault="00B9311E" w:rsidP="00B9311E">
            <w:pPr>
              <w:spacing w:after="0" w:line="240" w:lineRule="auto"/>
              <w:jc w:val="right"/>
              <w:rPr>
                <w:sz w:val="18"/>
                <w:szCs w:val="18"/>
              </w:rPr>
            </w:pPr>
            <w:r w:rsidRPr="00BD77D8">
              <w:rPr>
                <w:sz w:val="18"/>
                <w:szCs w:val="18"/>
              </w:rPr>
              <w:t xml:space="preserve">          (3)</w:t>
            </w:r>
          </w:p>
        </w:tc>
      </w:tr>
      <w:tr w:rsidR="00BD77D8" w:rsidRPr="00BD77D8" w14:paraId="77D23D18" w14:textId="77777777" w:rsidTr="003057FB">
        <w:trPr>
          <w:trHeight w:val="255"/>
        </w:trPr>
        <w:tc>
          <w:tcPr>
            <w:tcW w:w="7034" w:type="dxa"/>
            <w:tcBorders>
              <w:top w:val="nil"/>
              <w:left w:val="nil"/>
              <w:bottom w:val="nil"/>
              <w:right w:val="nil"/>
            </w:tcBorders>
            <w:shd w:val="clear" w:color="auto" w:fill="auto"/>
            <w:noWrap/>
            <w:vAlign w:val="bottom"/>
            <w:hideMark/>
          </w:tcPr>
          <w:p w14:paraId="0C609B8A" w14:textId="77777777" w:rsidR="00B9311E" w:rsidRPr="00BD77D8" w:rsidRDefault="00B9311E" w:rsidP="00B9311E">
            <w:pPr>
              <w:spacing w:after="0" w:line="240" w:lineRule="auto"/>
              <w:rPr>
                <w:sz w:val="18"/>
                <w:szCs w:val="18"/>
              </w:rPr>
            </w:pPr>
            <w:r w:rsidRPr="00BD77D8">
              <w:rPr>
                <w:sz w:val="18"/>
                <w:szCs w:val="18"/>
              </w:rPr>
              <w:t xml:space="preserve"> Transfers between classes </w:t>
            </w:r>
          </w:p>
        </w:tc>
        <w:tc>
          <w:tcPr>
            <w:tcW w:w="1300" w:type="dxa"/>
            <w:tcBorders>
              <w:top w:val="nil"/>
              <w:left w:val="nil"/>
              <w:bottom w:val="nil"/>
              <w:right w:val="nil"/>
            </w:tcBorders>
            <w:shd w:val="clear" w:color="auto" w:fill="auto"/>
            <w:vAlign w:val="center"/>
            <w:hideMark/>
          </w:tcPr>
          <w:p w14:paraId="713BB015" w14:textId="77777777" w:rsidR="00B9311E" w:rsidRPr="00BD77D8" w:rsidRDefault="00B9311E" w:rsidP="00B9311E">
            <w:pPr>
              <w:spacing w:after="0" w:line="240" w:lineRule="auto"/>
              <w:jc w:val="right"/>
              <w:rPr>
                <w:sz w:val="18"/>
                <w:szCs w:val="18"/>
              </w:rPr>
            </w:pPr>
            <w:r w:rsidRPr="00BD77D8">
              <w:rPr>
                <w:sz w:val="18"/>
                <w:szCs w:val="18"/>
              </w:rPr>
              <w:t xml:space="preserve">            584 </w:t>
            </w:r>
          </w:p>
        </w:tc>
        <w:tc>
          <w:tcPr>
            <w:tcW w:w="1022" w:type="dxa"/>
            <w:tcBorders>
              <w:top w:val="nil"/>
              <w:left w:val="nil"/>
              <w:bottom w:val="nil"/>
              <w:right w:val="nil"/>
            </w:tcBorders>
            <w:shd w:val="clear" w:color="auto" w:fill="auto"/>
            <w:vAlign w:val="center"/>
            <w:hideMark/>
          </w:tcPr>
          <w:p w14:paraId="19DF0340" w14:textId="77777777" w:rsidR="00B9311E" w:rsidRPr="00BD77D8" w:rsidRDefault="00B9311E" w:rsidP="00B9311E">
            <w:pPr>
              <w:spacing w:after="0" w:line="240" w:lineRule="auto"/>
              <w:jc w:val="right"/>
              <w:rPr>
                <w:sz w:val="18"/>
                <w:szCs w:val="18"/>
              </w:rPr>
            </w:pPr>
            <w:r w:rsidRPr="00BD77D8">
              <w:rPr>
                <w:sz w:val="18"/>
                <w:szCs w:val="18"/>
              </w:rPr>
              <w:t xml:space="preserve">         (584)</w:t>
            </w:r>
          </w:p>
        </w:tc>
        <w:tc>
          <w:tcPr>
            <w:tcW w:w="965" w:type="dxa"/>
            <w:tcBorders>
              <w:top w:val="nil"/>
              <w:left w:val="nil"/>
              <w:bottom w:val="nil"/>
              <w:right w:val="nil"/>
            </w:tcBorders>
            <w:shd w:val="clear" w:color="auto" w:fill="auto"/>
            <w:noWrap/>
            <w:vAlign w:val="center"/>
            <w:hideMark/>
          </w:tcPr>
          <w:p w14:paraId="1B8C7E33"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1FAB3E62" w14:textId="77777777" w:rsidTr="003057FB">
        <w:trPr>
          <w:trHeight w:val="255"/>
        </w:trPr>
        <w:tc>
          <w:tcPr>
            <w:tcW w:w="7034" w:type="dxa"/>
            <w:tcBorders>
              <w:top w:val="nil"/>
              <w:left w:val="nil"/>
              <w:bottom w:val="nil"/>
              <w:right w:val="nil"/>
            </w:tcBorders>
            <w:shd w:val="clear" w:color="auto" w:fill="auto"/>
            <w:noWrap/>
            <w:vAlign w:val="bottom"/>
            <w:hideMark/>
          </w:tcPr>
          <w:p w14:paraId="577EC85D" w14:textId="77777777" w:rsidR="00B9311E" w:rsidRPr="00BD77D8" w:rsidRDefault="00B9311E" w:rsidP="00B9311E">
            <w:pPr>
              <w:spacing w:after="0" w:line="240" w:lineRule="auto"/>
              <w:rPr>
                <w:sz w:val="18"/>
                <w:szCs w:val="18"/>
              </w:rPr>
            </w:pPr>
            <w:r w:rsidRPr="00BD77D8">
              <w:rPr>
                <w:sz w:val="18"/>
                <w:szCs w:val="18"/>
              </w:rPr>
              <w:t xml:space="preserve"> Transfers out to other Queensland Government entities </w:t>
            </w:r>
            <w:proofErr w:type="spellStart"/>
            <w:r w:rsidRPr="00BD77D8">
              <w:rPr>
                <w:sz w:val="18"/>
                <w:szCs w:val="18"/>
              </w:rPr>
              <w:t>MoG</w:t>
            </w:r>
            <w:proofErr w:type="spellEnd"/>
            <w:r w:rsidRPr="00BD77D8">
              <w:rPr>
                <w:sz w:val="18"/>
                <w:szCs w:val="18"/>
              </w:rPr>
              <w:t xml:space="preserve"> </w:t>
            </w:r>
          </w:p>
        </w:tc>
        <w:tc>
          <w:tcPr>
            <w:tcW w:w="1300" w:type="dxa"/>
            <w:tcBorders>
              <w:top w:val="nil"/>
              <w:left w:val="nil"/>
              <w:bottom w:val="nil"/>
              <w:right w:val="nil"/>
            </w:tcBorders>
            <w:shd w:val="clear" w:color="auto" w:fill="auto"/>
            <w:vAlign w:val="center"/>
            <w:hideMark/>
          </w:tcPr>
          <w:p w14:paraId="35D9815C" w14:textId="77777777" w:rsidR="00B9311E" w:rsidRPr="00BD77D8" w:rsidRDefault="00B9311E" w:rsidP="00B9311E">
            <w:pPr>
              <w:spacing w:after="0" w:line="240" w:lineRule="auto"/>
              <w:jc w:val="right"/>
              <w:rPr>
                <w:sz w:val="18"/>
                <w:szCs w:val="18"/>
              </w:rPr>
            </w:pPr>
            <w:r w:rsidRPr="00BD77D8">
              <w:rPr>
                <w:sz w:val="18"/>
                <w:szCs w:val="18"/>
              </w:rPr>
              <w:t xml:space="preserve">       (1,989)</w:t>
            </w:r>
          </w:p>
        </w:tc>
        <w:tc>
          <w:tcPr>
            <w:tcW w:w="1022" w:type="dxa"/>
            <w:tcBorders>
              <w:top w:val="nil"/>
              <w:left w:val="nil"/>
              <w:bottom w:val="nil"/>
              <w:right w:val="nil"/>
            </w:tcBorders>
            <w:shd w:val="clear" w:color="auto" w:fill="auto"/>
            <w:vAlign w:val="center"/>
            <w:hideMark/>
          </w:tcPr>
          <w:p w14:paraId="74447DA3"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65" w:type="dxa"/>
            <w:tcBorders>
              <w:top w:val="nil"/>
              <w:left w:val="nil"/>
              <w:bottom w:val="nil"/>
              <w:right w:val="nil"/>
            </w:tcBorders>
            <w:shd w:val="clear" w:color="auto" w:fill="auto"/>
            <w:noWrap/>
            <w:vAlign w:val="center"/>
            <w:hideMark/>
          </w:tcPr>
          <w:p w14:paraId="0294C08B" w14:textId="77777777" w:rsidR="00B9311E" w:rsidRPr="00BD77D8" w:rsidRDefault="00B9311E" w:rsidP="00B9311E">
            <w:pPr>
              <w:spacing w:after="0" w:line="240" w:lineRule="auto"/>
              <w:jc w:val="right"/>
              <w:rPr>
                <w:sz w:val="18"/>
                <w:szCs w:val="18"/>
              </w:rPr>
            </w:pPr>
            <w:r w:rsidRPr="00BD77D8">
              <w:rPr>
                <w:sz w:val="18"/>
                <w:szCs w:val="18"/>
              </w:rPr>
              <w:t xml:space="preserve">  (1,989)</w:t>
            </w:r>
          </w:p>
        </w:tc>
      </w:tr>
      <w:tr w:rsidR="00BD77D8" w:rsidRPr="00BD77D8" w14:paraId="5D692CBF" w14:textId="77777777" w:rsidTr="003057FB">
        <w:trPr>
          <w:trHeight w:val="255"/>
        </w:trPr>
        <w:tc>
          <w:tcPr>
            <w:tcW w:w="7034" w:type="dxa"/>
            <w:tcBorders>
              <w:top w:val="nil"/>
              <w:left w:val="nil"/>
              <w:bottom w:val="nil"/>
              <w:right w:val="nil"/>
            </w:tcBorders>
            <w:shd w:val="clear" w:color="auto" w:fill="auto"/>
            <w:noWrap/>
            <w:vAlign w:val="bottom"/>
            <w:hideMark/>
          </w:tcPr>
          <w:p w14:paraId="0784FDB0" w14:textId="77777777" w:rsidR="00B9311E" w:rsidRPr="00BD77D8" w:rsidRDefault="00B9311E" w:rsidP="00B9311E">
            <w:pPr>
              <w:spacing w:after="0" w:line="240" w:lineRule="auto"/>
              <w:rPr>
                <w:sz w:val="18"/>
                <w:szCs w:val="18"/>
              </w:rPr>
            </w:pPr>
            <w:r w:rsidRPr="00BD77D8">
              <w:rPr>
                <w:sz w:val="18"/>
                <w:szCs w:val="18"/>
              </w:rPr>
              <w:t xml:space="preserve"> Amortisation </w:t>
            </w:r>
          </w:p>
        </w:tc>
        <w:tc>
          <w:tcPr>
            <w:tcW w:w="1300" w:type="dxa"/>
            <w:tcBorders>
              <w:top w:val="nil"/>
              <w:left w:val="nil"/>
              <w:bottom w:val="nil"/>
              <w:right w:val="nil"/>
            </w:tcBorders>
            <w:shd w:val="clear" w:color="auto" w:fill="auto"/>
            <w:vAlign w:val="center"/>
            <w:hideMark/>
          </w:tcPr>
          <w:p w14:paraId="14050961" w14:textId="77777777" w:rsidR="00B9311E" w:rsidRPr="00BD77D8" w:rsidRDefault="00B9311E" w:rsidP="00B9311E">
            <w:pPr>
              <w:spacing w:after="0" w:line="240" w:lineRule="auto"/>
              <w:jc w:val="right"/>
              <w:rPr>
                <w:sz w:val="18"/>
                <w:szCs w:val="18"/>
              </w:rPr>
            </w:pPr>
            <w:r w:rsidRPr="00BD77D8">
              <w:rPr>
                <w:sz w:val="18"/>
                <w:szCs w:val="18"/>
              </w:rPr>
              <w:t xml:space="preserve">          (273)</w:t>
            </w:r>
          </w:p>
        </w:tc>
        <w:tc>
          <w:tcPr>
            <w:tcW w:w="1022" w:type="dxa"/>
            <w:tcBorders>
              <w:top w:val="nil"/>
              <w:left w:val="nil"/>
              <w:bottom w:val="nil"/>
              <w:right w:val="nil"/>
            </w:tcBorders>
            <w:shd w:val="clear" w:color="auto" w:fill="auto"/>
            <w:vAlign w:val="center"/>
            <w:hideMark/>
          </w:tcPr>
          <w:p w14:paraId="204589CF"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65" w:type="dxa"/>
            <w:tcBorders>
              <w:top w:val="nil"/>
              <w:left w:val="nil"/>
              <w:bottom w:val="nil"/>
              <w:right w:val="nil"/>
            </w:tcBorders>
            <w:shd w:val="clear" w:color="auto" w:fill="auto"/>
            <w:noWrap/>
            <w:vAlign w:val="center"/>
            <w:hideMark/>
          </w:tcPr>
          <w:p w14:paraId="26C48D30" w14:textId="77777777" w:rsidR="00B9311E" w:rsidRPr="00BD77D8" w:rsidRDefault="00B9311E" w:rsidP="00B9311E">
            <w:pPr>
              <w:spacing w:after="0" w:line="240" w:lineRule="auto"/>
              <w:jc w:val="right"/>
              <w:rPr>
                <w:sz w:val="18"/>
                <w:szCs w:val="18"/>
              </w:rPr>
            </w:pPr>
            <w:r w:rsidRPr="00BD77D8">
              <w:rPr>
                <w:sz w:val="18"/>
                <w:szCs w:val="18"/>
              </w:rPr>
              <w:t xml:space="preserve">     (273)</w:t>
            </w:r>
          </w:p>
        </w:tc>
      </w:tr>
      <w:tr w:rsidR="00BD77D8" w:rsidRPr="00BD77D8" w14:paraId="47CDFDEE" w14:textId="77777777" w:rsidTr="003057FB">
        <w:trPr>
          <w:trHeight w:val="255"/>
        </w:trPr>
        <w:tc>
          <w:tcPr>
            <w:tcW w:w="7034" w:type="dxa"/>
            <w:tcBorders>
              <w:top w:val="nil"/>
              <w:left w:val="nil"/>
              <w:bottom w:val="nil"/>
              <w:right w:val="nil"/>
            </w:tcBorders>
            <w:shd w:val="clear" w:color="auto" w:fill="auto"/>
            <w:noWrap/>
            <w:vAlign w:val="bottom"/>
            <w:hideMark/>
          </w:tcPr>
          <w:p w14:paraId="26E69213" w14:textId="77777777" w:rsidR="00B9311E" w:rsidRPr="00BD77D8" w:rsidRDefault="00B9311E" w:rsidP="00B9311E">
            <w:pPr>
              <w:spacing w:after="0" w:line="240" w:lineRule="auto"/>
              <w:rPr>
                <w:b/>
                <w:bCs/>
                <w:sz w:val="18"/>
                <w:szCs w:val="18"/>
              </w:rPr>
            </w:pPr>
            <w:r w:rsidRPr="00BD77D8">
              <w:rPr>
                <w:b/>
                <w:bCs/>
                <w:sz w:val="18"/>
                <w:szCs w:val="18"/>
              </w:rPr>
              <w:t xml:space="preserve"> Carrying amount at 30 June 2021 </w:t>
            </w:r>
          </w:p>
        </w:tc>
        <w:tc>
          <w:tcPr>
            <w:tcW w:w="1300" w:type="dxa"/>
            <w:tcBorders>
              <w:top w:val="single" w:sz="4" w:space="0" w:color="auto"/>
              <w:left w:val="nil"/>
              <w:bottom w:val="single" w:sz="4" w:space="0" w:color="auto"/>
              <w:right w:val="nil"/>
            </w:tcBorders>
            <w:shd w:val="clear" w:color="auto" w:fill="auto"/>
            <w:vAlign w:val="center"/>
            <w:hideMark/>
          </w:tcPr>
          <w:p w14:paraId="767EB1F3" w14:textId="77777777" w:rsidR="00B9311E" w:rsidRPr="00BD77D8" w:rsidRDefault="00B9311E" w:rsidP="00B9311E">
            <w:pPr>
              <w:spacing w:after="0" w:line="240" w:lineRule="auto"/>
              <w:jc w:val="right"/>
              <w:rPr>
                <w:b/>
                <w:bCs/>
                <w:sz w:val="18"/>
                <w:szCs w:val="18"/>
              </w:rPr>
            </w:pPr>
            <w:r w:rsidRPr="00BD77D8">
              <w:rPr>
                <w:b/>
                <w:bCs/>
                <w:sz w:val="18"/>
                <w:szCs w:val="18"/>
              </w:rPr>
              <w:t xml:space="preserve">            609 </w:t>
            </w:r>
          </w:p>
        </w:tc>
        <w:tc>
          <w:tcPr>
            <w:tcW w:w="1022" w:type="dxa"/>
            <w:tcBorders>
              <w:top w:val="single" w:sz="4" w:space="0" w:color="auto"/>
              <w:left w:val="nil"/>
              <w:bottom w:val="single" w:sz="4" w:space="0" w:color="auto"/>
              <w:right w:val="nil"/>
            </w:tcBorders>
            <w:shd w:val="clear" w:color="auto" w:fill="auto"/>
            <w:vAlign w:val="center"/>
            <w:hideMark/>
          </w:tcPr>
          <w:p w14:paraId="757DA951"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965" w:type="dxa"/>
            <w:tcBorders>
              <w:top w:val="single" w:sz="4" w:space="0" w:color="auto"/>
              <w:left w:val="nil"/>
              <w:bottom w:val="single" w:sz="4" w:space="0" w:color="auto"/>
              <w:right w:val="nil"/>
            </w:tcBorders>
            <w:shd w:val="clear" w:color="auto" w:fill="auto"/>
            <w:vAlign w:val="center"/>
            <w:hideMark/>
          </w:tcPr>
          <w:p w14:paraId="70D573F2" w14:textId="77777777" w:rsidR="00B9311E" w:rsidRPr="00BD77D8" w:rsidRDefault="00B9311E" w:rsidP="00B9311E">
            <w:pPr>
              <w:spacing w:after="0" w:line="240" w:lineRule="auto"/>
              <w:jc w:val="right"/>
              <w:rPr>
                <w:b/>
                <w:bCs/>
                <w:sz w:val="18"/>
                <w:szCs w:val="18"/>
              </w:rPr>
            </w:pPr>
            <w:r w:rsidRPr="00BD77D8">
              <w:rPr>
                <w:b/>
                <w:bCs/>
                <w:sz w:val="18"/>
                <w:szCs w:val="18"/>
              </w:rPr>
              <w:t xml:space="preserve">       609 </w:t>
            </w:r>
          </w:p>
        </w:tc>
      </w:tr>
      <w:tr w:rsidR="00BD77D8" w:rsidRPr="00BD77D8" w14:paraId="13FD1F9E" w14:textId="77777777" w:rsidTr="003057FB">
        <w:trPr>
          <w:trHeight w:val="255"/>
        </w:trPr>
        <w:tc>
          <w:tcPr>
            <w:tcW w:w="7034" w:type="dxa"/>
            <w:tcBorders>
              <w:top w:val="nil"/>
              <w:left w:val="nil"/>
              <w:bottom w:val="nil"/>
              <w:right w:val="nil"/>
            </w:tcBorders>
            <w:shd w:val="clear" w:color="auto" w:fill="auto"/>
            <w:noWrap/>
            <w:vAlign w:val="bottom"/>
            <w:hideMark/>
          </w:tcPr>
          <w:p w14:paraId="44936668" w14:textId="77777777" w:rsidR="00B9311E" w:rsidRPr="00BD77D8" w:rsidRDefault="00B9311E" w:rsidP="00B9311E">
            <w:pPr>
              <w:spacing w:after="0" w:line="240" w:lineRule="auto"/>
              <w:rPr>
                <w:sz w:val="18"/>
                <w:szCs w:val="18"/>
              </w:rPr>
            </w:pPr>
            <w:r w:rsidRPr="00BD77D8">
              <w:rPr>
                <w:sz w:val="18"/>
                <w:szCs w:val="18"/>
              </w:rPr>
              <w:t> </w:t>
            </w:r>
          </w:p>
        </w:tc>
        <w:tc>
          <w:tcPr>
            <w:tcW w:w="1300" w:type="dxa"/>
            <w:tcBorders>
              <w:top w:val="nil"/>
              <w:left w:val="nil"/>
              <w:bottom w:val="nil"/>
              <w:right w:val="nil"/>
            </w:tcBorders>
            <w:shd w:val="clear" w:color="auto" w:fill="auto"/>
            <w:vAlign w:val="center"/>
            <w:hideMark/>
          </w:tcPr>
          <w:p w14:paraId="65CC808A" w14:textId="77777777" w:rsidR="00B9311E" w:rsidRPr="00BD77D8" w:rsidRDefault="00B9311E" w:rsidP="00B9311E">
            <w:pPr>
              <w:spacing w:after="0" w:line="240" w:lineRule="auto"/>
              <w:jc w:val="right"/>
              <w:rPr>
                <w:sz w:val="18"/>
                <w:szCs w:val="18"/>
              </w:rPr>
            </w:pPr>
          </w:p>
        </w:tc>
        <w:tc>
          <w:tcPr>
            <w:tcW w:w="1022" w:type="dxa"/>
            <w:tcBorders>
              <w:top w:val="nil"/>
              <w:left w:val="nil"/>
              <w:bottom w:val="nil"/>
              <w:right w:val="nil"/>
            </w:tcBorders>
            <w:shd w:val="clear" w:color="auto" w:fill="auto"/>
            <w:vAlign w:val="center"/>
            <w:hideMark/>
          </w:tcPr>
          <w:p w14:paraId="716C2963" w14:textId="77777777" w:rsidR="00B9311E" w:rsidRPr="00BD77D8" w:rsidRDefault="00B9311E" w:rsidP="00B9311E">
            <w:pPr>
              <w:spacing w:after="0" w:line="240" w:lineRule="auto"/>
              <w:jc w:val="right"/>
              <w:rPr>
                <w:rFonts w:ascii="Times New Roman" w:hAnsi="Times New Roman" w:cs="Times New Roman"/>
                <w:sz w:val="20"/>
                <w:szCs w:val="20"/>
              </w:rPr>
            </w:pPr>
          </w:p>
        </w:tc>
        <w:tc>
          <w:tcPr>
            <w:tcW w:w="965" w:type="dxa"/>
            <w:tcBorders>
              <w:top w:val="nil"/>
              <w:left w:val="nil"/>
              <w:bottom w:val="nil"/>
              <w:right w:val="nil"/>
            </w:tcBorders>
            <w:shd w:val="clear" w:color="auto" w:fill="auto"/>
            <w:noWrap/>
            <w:vAlign w:val="center"/>
            <w:hideMark/>
          </w:tcPr>
          <w:p w14:paraId="5D7CB373"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0F58596E" w14:textId="77777777" w:rsidTr="003057FB">
        <w:trPr>
          <w:trHeight w:val="255"/>
        </w:trPr>
        <w:tc>
          <w:tcPr>
            <w:tcW w:w="7034" w:type="dxa"/>
            <w:tcBorders>
              <w:top w:val="nil"/>
              <w:left w:val="nil"/>
              <w:bottom w:val="nil"/>
              <w:right w:val="nil"/>
            </w:tcBorders>
            <w:shd w:val="clear" w:color="auto" w:fill="auto"/>
            <w:noWrap/>
            <w:vAlign w:val="bottom"/>
            <w:hideMark/>
          </w:tcPr>
          <w:p w14:paraId="70B2A5E5" w14:textId="77777777" w:rsidR="00B9311E" w:rsidRPr="00BD77D8" w:rsidRDefault="00B9311E" w:rsidP="00B9311E">
            <w:pPr>
              <w:spacing w:after="0" w:line="240" w:lineRule="auto"/>
              <w:rPr>
                <w:b/>
                <w:bCs/>
                <w:sz w:val="18"/>
                <w:szCs w:val="18"/>
              </w:rPr>
            </w:pPr>
            <w:r w:rsidRPr="00BD77D8">
              <w:rPr>
                <w:b/>
                <w:bCs/>
                <w:sz w:val="18"/>
                <w:szCs w:val="18"/>
              </w:rPr>
              <w:t xml:space="preserve"> Carrying amount at 1 July 2021 </w:t>
            </w:r>
          </w:p>
        </w:tc>
        <w:tc>
          <w:tcPr>
            <w:tcW w:w="1300" w:type="dxa"/>
            <w:tcBorders>
              <w:top w:val="nil"/>
              <w:left w:val="nil"/>
              <w:bottom w:val="nil"/>
              <w:right w:val="nil"/>
            </w:tcBorders>
            <w:shd w:val="clear" w:color="auto" w:fill="auto"/>
            <w:noWrap/>
            <w:vAlign w:val="center"/>
            <w:hideMark/>
          </w:tcPr>
          <w:p w14:paraId="1093368F" w14:textId="77777777" w:rsidR="00B9311E" w:rsidRPr="00BD77D8" w:rsidRDefault="00B9311E" w:rsidP="00B9311E">
            <w:pPr>
              <w:spacing w:after="0" w:line="240" w:lineRule="auto"/>
              <w:jc w:val="right"/>
              <w:rPr>
                <w:b/>
                <w:bCs/>
                <w:sz w:val="18"/>
                <w:szCs w:val="18"/>
              </w:rPr>
            </w:pPr>
            <w:r w:rsidRPr="00BD77D8">
              <w:rPr>
                <w:b/>
                <w:bCs/>
                <w:sz w:val="18"/>
                <w:szCs w:val="18"/>
              </w:rPr>
              <w:t xml:space="preserve">            609 </w:t>
            </w:r>
          </w:p>
        </w:tc>
        <w:tc>
          <w:tcPr>
            <w:tcW w:w="1022" w:type="dxa"/>
            <w:tcBorders>
              <w:top w:val="nil"/>
              <w:left w:val="nil"/>
              <w:bottom w:val="nil"/>
              <w:right w:val="nil"/>
            </w:tcBorders>
            <w:shd w:val="clear" w:color="auto" w:fill="auto"/>
            <w:noWrap/>
            <w:vAlign w:val="center"/>
            <w:hideMark/>
          </w:tcPr>
          <w:p w14:paraId="7AA0C2DE"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965" w:type="dxa"/>
            <w:tcBorders>
              <w:top w:val="nil"/>
              <w:left w:val="nil"/>
              <w:bottom w:val="nil"/>
              <w:right w:val="nil"/>
            </w:tcBorders>
            <w:shd w:val="clear" w:color="auto" w:fill="auto"/>
            <w:noWrap/>
            <w:vAlign w:val="center"/>
            <w:hideMark/>
          </w:tcPr>
          <w:p w14:paraId="0460C453" w14:textId="77777777" w:rsidR="00B9311E" w:rsidRPr="00BD77D8" w:rsidRDefault="00B9311E" w:rsidP="00B9311E">
            <w:pPr>
              <w:spacing w:after="0" w:line="240" w:lineRule="auto"/>
              <w:jc w:val="right"/>
              <w:rPr>
                <w:b/>
                <w:bCs/>
                <w:sz w:val="18"/>
                <w:szCs w:val="18"/>
              </w:rPr>
            </w:pPr>
            <w:r w:rsidRPr="00BD77D8">
              <w:rPr>
                <w:b/>
                <w:bCs/>
                <w:sz w:val="18"/>
                <w:szCs w:val="18"/>
              </w:rPr>
              <w:t xml:space="preserve">       609 </w:t>
            </w:r>
          </w:p>
        </w:tc>
      </w:tr>
      <w:tr w:rsidR="00BD77D8" w:rsidRPr="00BD77D8" w14:paraId="2C8396D0" w14:textId="77777777" w:rsidTr="003057FB">
        <w:trPr>
          <w:trHeight w:val="255"/>
        </w:trPr>
        <w:tc>
          <w:tcPr>
            <w:tcW w:w="7034" w:type="dxa"/>
            <w:tcBorders>
              <w:top w:val="nil"/>
              <w:left w:val="nil"/>
              <w:bottom w:val="nil"/>
              <w:right w:val="nil"/>
            </w:tcBorders>
            <w:shd w:val="clear" w:color="auto" w:fill="auto"/>
            <w:noWrap/>
            <w:vAlign w:val="bottom"/>
            <w:hideMark/>
          </w:tcPr>
          <w:p w14:paraId="4B6B8A0E" w14:textId="77777777" w:rsidR="00B9311E" w:rsidRPr="00BD77D8" w:rsidRDefault="00B9311E" w:rsidP="00B9311E">
            <w:pPr>
              <w:spacing w:after="0" w:line="240" w:lineRule="auto"/>
              <w:rPr>
                <w:sz w:val="18"/>
                <w:szCs w:val="18"/>
              </w:rPr>
            </w:pPr>
            <w:r w:rsidRPr="00BD77D8">
              <w:rPr>
                <w:sz w:val="18"/>
                <w:szCs w:val="18"/>
              </w:rPr>
              <w:t xml:space="preserve"> Disposals </w:t>
            </w:r>
          </w:p>
        </w:tc>
        <w:tc>
          <w:tcPr>
            <w:tcW w:w="1300" w:type="dxa"/>
            <w:tcBorders>
              <w:top w:val="nil"/>
              <w:left w:val="nil"/>
              <w:bottom w:val="nil"/>
              <w:right w:val="nil"/>
            </w:tcBorders>
            <w:shd w:val="clear" w:color="auto" w:fill="auto"/>
            <w:noWrap/>
            <w:vAlign w:val="center"/>
            <w:hideMark/>
          </w:tcPr>
          <w:p w14:paraId="779C24A8" w14:textId="77777777" w:rsidR="00B9311E" w:rsidRPr="00BD77D8" w:rsidRDefault="00B9311E" w:rsidP="00B9311E">
            <w:pPr>
              <w:spacing w:after="0" w:line="240" w:lineRule="auto"/>
              <w:jc w:val="right"/>
              <w:rPr>
                <w:sz w:val="18"/>
                <w:szCs w:val="18"/>
              </w:rPr>
            </w:pPr>
            <w:r w:rsidRPr="00BD77D8">
              <w:rPr>
                <w:sz w:val="18"/>
                <w:szCs w:val="18"/>
              </w:rPr>
              <w:t xml:space="preserve">            (88)</w:t>
            </w:r>
          </w:p>
        </w:tc>
        <w:tc>
          <w:tcPr>
            <w:tcW w:w="1022" w:type="dxa"/>
            <w:tcBorders>
              <w:top w:val="nil"/>
              <w:left w:val="nil"/>
              <w:bottom w:val="nil"/>
              <w:right w:val="nil"/>
            </w:tcBorders>
            <w:shd w:val="clear" w:color="auto" w:fill="auto"/>
            <w:noWrap/>
            <w:vAlign w:val="center"/>
            <w:hideMark/>
          </w:tcPr>
          <w:p w14:paraId="3C373E9D"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65" w:type="dxa"/>
            <w:tcBorders>
              <w:top w:val="nil"/>
              <w:left w:val="nil"/>
              <w:bottom w:val="nil"/>
              <w:right w:val="nil"/>
            </w:tcBorders>
            <w:shd w:val="clear" w:color="auto" w:fill="auto"/>
            <w:noWrap/>
            <w:vAlign w:val="center"/>
            <w:hideMark/>
          </w:tcPr>
          <w:p w14:paraId="2E69D0FF" w14:textId="77777777" w:rsidR="00B9311E" w:rsidRPr="00BD77D8" w:rsidRDefault="00B9311E" w:rsidP="00B9311E">
            <w:pPr>
              <w:spacing w:after="0" w:line="240" w:lineRule="auto"/>
              <w:jc w:val="right"/>
              <w:rPr>
                <w:sz w:val="18"/>
                <w:szCs w:val="18"/>
              </w:rPr>
            </w:pPr>
            <w:r w:rsidRPr="00BD77D8">
              <w:rPr>
                <w:sz w:val="18"/>
                <w:szCs w:val="18"/>
              </w:rPr>
              <w:t xml:space="preserve">       (88)</w:t>
            </w:r>
          </w:p>
        </w:tc>
      </w:tr>
      <w:tr w:rsidR="00BD77D8" w:rsidRPr="00BD77D8" w14:paraId="4E757E06" w14:textId="77777777" w:rsidTr="003057FB">
        <w:trPr>
          <w:trHeight w:val="255"/>
        </w:trPr>
        <w:tc>
          <w:tcPr>
            <w:tcW w:w="7034" w:type="dxa"/>
            <w:tcBorders>
              <w:top w:val="nil"/>
              <w:left w:val="nil"/>
              <w:bottom w:val="nil"/>
              <w:right w:val="nil"/>
            </w:tcBorders>
            <w:shd w:val="clear" w:color="auto" w:fill="auto"/>
            <w:noWrap/>
            <w:vAlign w:val="bottom"/>
            <w:hideMark/>
          </w:tcPr>
          <w:p w14:paraId="4F3D6AAD" w14:textId="77777777" w:rsidR="00B9311E" w:rsidRPr="00BD77D8" w:rsidRDefault="00B9311E" w:rsidP="00B9311E">
            <w:pPr>
              <w:spacing w:after="0" w:line="240" w:lineRule="auto"/>
              <w:rPr>
                <w:sz w:val="18"/>
                <w:szCs w:val="18"/>
              </w:rPr>
            </w:pPr>
            <w:r w:rsidRPr="00BD77D8">
              <w:rPr>
                <w:sz w:val="18"/>
                <w:szCs w:val="18"/>
              </w:rPr>
              <w:t xml:space="preserve"> Amortisation </w:t>
            </w:r>
          </w:p>
        </w:tc>
        <w:tc>
          <w:tcPr>
            <w:tcW w:w="1300" w:type="dxa"/>
            <w:tcBorders>
              <w:top w:val="nil"/>
              <w:left w:val="nil"/>
              <w:bottom w:val="nil"/>
              <w:right w:val="nil"/>
            </w:tcBorders>
            <w:shd w:val="clear" w:color="auto" w:fill="auto"/>
            <w:noWrap/>
            <w:vAlign w:val="center"/>
            <w:hideMark/>
          </w:tcPr>
          <w:p w14:paraId="023242C5" w14:textId="77777777" w:rsidR="00B9311E" w:rsidRPr="00BD77D8" w:rsidRDefault="00B9311E" w:rsidP="00B9311E">
            <w:pPr>
              <w:spacing w:after="0" w:line="240" w:lineRule="auto"/>
              <w:jc w:val="right"/>
              <w:rPr>
                <w:sz w:val="18"/>
                <w:szCs w:val="18"/>
              </w:rPr>
            </w:pPr>
            <w:r w:rsidRPr="00BD77D8">
              <w:rPr>
                <w:sz w:val="18"/>
                <w:szCs w:val="18"/>
              </w:rPr>
              <w:t xml:space="preserve">            (83)</w:t>
            </w:r>
          </w:p>
        </w:tc>
        <w:tc>
          <w:tcPr>
            <w:tcW w:w="1022" w:type="dxa"/>
            <w:tcBorders>
              <w:top w:val="nil"/>
              <w:left w:val="nil"/>
              <w:bottom w:val="nil"/>
              <w:right w:val="nil"/>
            </w:tcBorders>
            <w:shd w:val="clear" w:color="auto" w:fill="auto"/>
            <w:noWrap/>
            <w:vAlign w:val="center"/>
            <w:hideMark/>
          </w:tcPr>
          <w:p w14:paraId="5D3843D3"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65" w:type="dxa"/>
            <w:tcBorders>
              <w:top w:val="nil"/>
              <w:left w:val="nil"/>
              <w:bottom w:val="nil"/>
              <w:right w:val="nil"/>
            </w:tcBorders>
            <w:shd w:val="clear" w:color="auto" w:fill="auto"/>
            <w:noWrap/>
            <w:vAlign w:val="center"/>
            <w:hideMark/>
          </w:tcPr>
          <w:p w14:paraId="528EE1B3" w14:textId="77777777" w:rsidR="00B9311E" w:rsidRPr="00BD77D8" w:rsidRDefault="00B9311E" w:rsidP="00B9311E">
            <w:pPr>
              <w:spacing w:after="0" w:line="240" w:lineRule="auto"/>
              <w:jc w:val="right"/>
              <w:rPr>
                <w:sz w:val="18"/>
                <w:szCs w:val="18"/>
              </w:rPr>
            </w:pPr>
            <w:r w:rsidRPr="00BD77D8">
              <w:rPr>
                <w:sz w:val="18"/>
                <w:szCs w:val="18"/>
              </w:rPr>
              <w:t xml:space="preserve">       (83)</w:t>
            </w:r>
          </w:p>
        </w:tc>
      </w:tr>
      <w:tr w:rsidR="00BD77D8" w:rsidRPr="00BD77D8" w14:paraId="20264D5D" w14:textId="77777777" w:rsidTr="003057FB">
        <w:trPr>
          <w:trHeight w:val="285"/>
        </w:trPr>
        <w:tc>
          <w:tcPr>
            <w:tcW w:w="7034" w:type="dxa"/>
            <w:tcBorders>
              <w:top w:val="nil"/>
              <w:left w:val="nil"/>
              <w:bottom w:val="nil"/>
              <w:right w:val="nil"/>
            </w:tcBorders>
            <w:shd w:val="clear" w:color="auto" w:fill="auto"/>
            <w:noWrap/>
            <w:vAlign w:val="bottom"/>
            <w:hideMark/>
          </w:tcPr>
          <w:p w14:paraId="0C707889" w14:textId="77777777" w:rsidR="00B9311E" w:rsidRPr="00BD77D8" w:rsidRDefault="00B9311E" w:rsidP="00B9311E">
            <w:pPr>
              <w:spacing w:after="0" w:line="240" w:lineRule="auto"/>
              <w:rPr>
                <w:b/>
                <w:bCs/>
                <w:sz w:val="18"/>
                <w:szCs w:val="18"/>
              </w:rPr>
            </w:pPr>
            <w:r w:rsidRPr="00BD77D8">
              <w:rPr>
                <w:b/>
                <w:bCs/>
                <w:sz w:val="18"/>
                <w:szCs w:val="18"/>
              </w:rPr>
              <w:t xml:space="preserve"> Carrying amount at 30 June 2022 </w:t>
            </w:r>
          </w:p>
        </w:tc>
        <w:tc>
          <w:tcPr>
            <w:tcW w:w="1300" w:type="dxa"/>
            <w:tcBorders>
              <w:top w:val="single" w:sz="4" w:space="0" w:color="auto"/>
              <w:left w:val="nil"/>
              <w:bottom w:val="single" w:sz="4" w:space="0" w:color="auto"/>
              <w:right w:val="nil"/>
            </w:tcBorders>
            <w:shd w:val="clear" w:color="auto" w:fill="auto"/>
            <w:vAlign w:val="center"/>
            <w:hideMark/>
          </w:tcPr>
          <w:p w14:paraId="51CCD6C4" w14:textId="77777777" w:rsidR="00B9311E" w:rsidRPr="00BD77D8" w:rsidRDefault="00B9311E" w:rsidP="00B9311E">
            <w:pPr>
              <w:spacing w:after="0" w:line="240" w:lineRule="auto"/>
              <w:jc w:val="right"/>
              <w:rPr>
                <w:b/>
                <w:bCs/>
                <w:sz w:val="18"/>
                <w:szCs w:val="18"/>
              </w:rPr>
            </w:pPr>
            <w:r w:rsidRPr="00BD77D8">
              <w:rPr>
                <w:b/>
                <w:bCs/>
                <w:sz w:val="18"/>
                <w:szCs w:val="18"/>
              </w:rPr>
              <w:t xml:space="preserve">            438 </w:t>
            </w:r>
          </w:p>
        </w:tc>
        <w:tc>
          <w:tcPr>
            <w:tcW w:w="1022" w:type="dxa"/>
            <w:tcBorders>
              <w:top w:val="single" w:sz="4" w:space="0" w:color="auto"/>
              <w:left w:val="nil"/>
              <w:bottom w:val="single" w:sz="4" w:space="0" w:color="auto"/>
              <w:right w:val="nil"/>
            </w:tcBorders>
            <w:shd w:val="clear" w:color="auto" w:fill="auto"/>
            <w:vAlign w:val="center"/>
            <w:hideMark/>
          </w:tcPr>
          <w:p w14:paraId="3A58037B"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965" w:type="dxa"/>
            <w:tcBorders>
              <w:top w:val="single" w:sz="4" w:space="0" w:color="auto"/>
              <w:left w:val="nil"/>
              <w:bottom w:val="single" w:sz="4" w:space="0" w:color="auto"/>
              <w:right w:val="nil"/>
            </w:tcBorders>
            <w:shd w:val="clear" w:color="auto" w:fill="auto"/>
            <w:vAlign w:val="center"/>
            <w:hideMark/>
          </w:tcPr>
          <w:p w14:paraId="5D8A5D33" w14:textId="77777777" w:rsidR="00B9311E" w:rsidRPr="00BD77D8" w:rsidRDefault="00B9311E" w:rsidP="00B9311E">
            <w:pPr>
              <w:spacing w:after="0" w:line="240" w:lineRule="auto"/>
              <w:jc w:val="right"/>
              <w:rPr>
                <w:b/>
                <w:bCs/>
                <w:sz w:val="18"/>
                <w:szCs w:val="18"/>
              </w:rPr>
            </w:pPr>
            <w:r w:rsidRPr="00BD77D8">
              <w:rPr>
                <w:b/>
                <w:bCs/>
                <w:sz w:val="18"/>
                <w:szCs w:val="18"/>
              </w:rPr>
              <w:t xml:space="preserve">       438 </w:t>
            </w:r>
          </w:p>
        </w:tc>
      </w:tr>
    </w:tbl>
    <w:p w14:paraId="61B612EE" w14:textId="77777777" w:rsidR="00B9311E" w:rsidRPr="00BD77D8" w:rsidRDefault="00B9311E" w:rsidP="00140059">
      <w:pPr>
        <w:spacing w:before="200" w:line="180" w:lineRule="atLeast"/>
        <w:textAlignment w:val="baseline"/>
        <w:rPr>
          <w:rFonts w:eastAsia="Arial"/>
          <w:b/>
          <w:bCs/>
          <w:sz w:val="18"/>
          <w:szCs w:val="18"/>
          <w:lang w:eastAsia="en-US"/>
        </w:rPr>
      </w:pPr>
      <w:r w:rsidRPr="00BD77D8">
        <w:rPr>
          <w:rFonts w:eastAsia="Arial"/>
          <w:b/>
          <w:bCs/>
          <w:sz w:val="18"/>
          <w:szCs w:val="18"/>
          <w:lang w:eastAsia="en-US"/>
        </w:rPr>
        <w:t>C5-2 – Recognition and Measurement</w:t>
      </w:r>
    </w:p>
    <w:p w14:paraId="435191D5" w14:textId="77777777" w:rsidR="00B9311E" w:rsidRPr="00BD77D8" w:rsidRDefault="00B9311E" w:rsidP="006226A9">
      <w:pPr>
        <w:spacing w:line="180" w:lineRule="atLeast"/>
        <w:textAlignment w:val="baseline"/>
        <w:rPr>
          <w:rFonts w:eastAsia="Arial"/>
          <w:b/>
          <w:bCs/>
          <w:sz w:val="18"/>
          <w:szCs w:val="18"/>
          <w:lang w:eastAsia="en-US"/>
        </w:rPr>
      </w:pPr>
      <w:r w:rsidRPr="00BD77D8">
        <w:rPr>
          <w:rFonts w:eastAsia="Arial"/>
          <w:b/>
          <w:bCs/>
          <w:sz w:val="18"/>
          <w:szCs w:val="18"/>
          <w:lang w:eastAsia="en-US"/>
        </w:rPr>
        <w:t>Accounting policy</w:t>
      </w:r>
    </w:p>
    <w:p w14:paraId="5F2ABCFC" w14:textId="77777777" w:rsidR="00B9311E" w:rsidRPr="00BD77D8" w:rsidRDefault="00B9311E" w:rsidP="006226A9">
      <w:pPr>
        <w:spacing w:line="180" w:lineRule="atLeast"/>
        <w:ind w:right="432"/>
        <w:textAlignment w:val="baseline"/>
        <w:rPr>
          <w:rFonts w:eastAsia="Arial"/>
          <w:b/>
          <w:bCs/>
          <w:spacing w:val="-2"/>
          <w:sz w:val="18"/>
          <w:szCs w:val="18"/>
          <w:lang w:eastAsia="en-US"/>
        </w:rPr>
      </w:pPr>
      <w:r w:rsidRPr="00BD77D8">
        <w:rPr>
          <w:rFonts w:eastAsia="Arial"/>
          <w:spacing w:val="-2"/>
          <w:sz w:val="18"/>
          <w:szCs w:val="18"/>
          <w:lang w:eastAsia="en-US"/>
        </w:rPr>
        <w:t>Intangible assets of the department comprise internally developed software and software works in progress. Intangible assets with a historical cost or other value equal to or greater than $100,000 are recognised in the financial statements. Items with a lesser value are expensed. Any training costs are expensed as incurred.</w:t>
      </w:r>
    </w:p>
    <w:p w14:paraId="09710947" w14:textId="77777777" w:rsidR="00B9311E" w:rsidRPr="00BD77D8" w:rsidRDefault="00B9311E" w:rsidP="006226A9">
      <w:pPr>
        <w:spacing w:line="180" w:lineRule="atLeast"/>
        <w:ind w:right="144"/>
        <w:textAlignment w:val="baseline"/>
        <w:rPr>
          <w:rFonts w:eastAsia="Arial"/>
          <w:b/>
          <w:bCs/>
          <w:sz w:val="18"/>
          <w:szCs w:val="18"/>
          <w:lang w:eastAsia="en-US"/>
        </w:rPr>
      </w:pPr>
      <w:r w:rsidRPr="00BD77D8">
        <w:rPr>
          <w:rFonts w:eastAsia="Arial"/>
          <w:sz w:val="18"/>
          <w:szCs w:val="18"/>
          <w:lang w:eastAsia="en-US"/>
        </w:rPr>
        <w:t>There is no active market for any of the department's intangible assets. As such, the assets are recognised and carried at historical cost less accumulated amortisation and accumulated impairment losses.</w:t>
      </w:r>
    </w:p>
    <w:p w14:paraId="7F0047CD" w14:textId="77777777" w:rsidR="00B9311E" w:rsidRPr="00BD77D8" w:rsidRDefault="00B9311E" w:rsidP="006226A9">
      <w:pPr>
        <w:spacing w:line="252" w:lineRule="exact"/>
        <w:textAlignment w:val="baseline"/>
        <w:rPr>
          <w:rFonts w:eastAsia="Arial"/>
          <w:b/>
          <w:bCs/>
          <w:sz w:val="18"/>
          <w:szCs w:val="18"/>
          <w:lang w:eastAsia="en-US"/>
        </w:rPr>
      </w:pPr>
      <w:r w:rsidRPr="00BD77D8">
        <w:rPr>
          <w:rFonts w:eastAsia="Arial"/>
          <w:b/>
          <w:bCs/>
          <w:sz w:val="18"/>
          <w:szCs w:val="18"/>
          <w:lang w:eastAsia="en-US"/>
        </w:rPr>
        <w:t>Refer to Note F3-1 for accounting policy on Cloud Computing Arrangements.</w:t>
      </w:r>
    </w:p>
    <w:p w14:paraId="5D65854C" w14:textId="77777777" w:rsidR="00B9311E" w:rsidRPr="00BD77D8" w:rsidRDefault="00B9311E" w:rsidP="006226A9">
      <w:pPr>
        <w:spacing w:line="180" w:lineRule="atLeast"/>
        <w:textAlignment w:val="baseline"/>
        <w:rPr>
          <w:rFonts w:eastAsia="Arial"/>
          <w:b/>
          <w:bCs/>
          <w:spacing w:val="2"/>
          <w:sz w:val="18"/>
          <w:szCs w:val="18"/>
          <w:lang w:eastAsia="en-US"/>
        </w:rPr>
      </w:pPr>
      <w:r w:rsidRPr="00BD77D8">
        <w:rPr>
          <w:rFonts w:eastAsia="Arial"/>
          <w:b/>
          <w:bCs/>
          <w:spacing w:val="2"/>
          <w:sz w:val="18"/>
          <w:szCs w:val="18"/>
          <w:lang w:eastAsia="en-US"/>
        </w:rPr>
        <w:t>C5-3 Amortisation Expense</w:t>
      </w:r>
    </w:p>
    <w:p w14:paraId="1286D96C" w14:textId="77777777" w:rsidR="00B9311E" w:rsidRPr="00BD77D8" w:rsidRDefault="00B9311E" w:rsidP="00B9311E">
      <w:pPr>
        <w:spacing w:after="0" w:line="180" w:lineRule="atLeast"/>
        <w:textAlignment w:val="baseline"/>
        <w:rPr>
          <w:rFonts w:eastAsia="Arial"/>
          <w:b/>
          <w:bCs/>
          <w:sz w:val="18"/>
          <w:szCs w:val="18"/>
          <w:lang w:eastAsia="en-US"/>
        </w:rPr>
      </w:pPr>
      <w:r w:rsidRPr="00BD77D8">
        <w:rPr>
          <w:rFonts w:eastAsia="Arial"/>
          <w:sz w:val="18"/>
          <w:szCs w:val="18"/>
          <w:lang w:eastAsia="en-US"/>
        </w:rPr>
        <w:t>All intangible assets of the department have finite useful lives and are amortised on a straight-line basis over their estimated useful life to the department. Straight line amortisation is used reflecting the expected consumption of economic benefits on a progressive basis over the intangible’s useful life. The residual value of all the department's intangible assets is nil.</w:t>
      </w:r>
    </w:p>
    <w:p w14:paraId="5A4FBAA2" w14:textId="4B05F52D" w:rsidR="00B9311E" w:rsidRPr="00BD77D8" w:rsidRDefault="00B9311E" w:rsidP="006226A9">
      <w:pPr>
        <w:spacing w:line="180" w:lineRule="atLeast"/>
        <w:textAlignment w:val="baseline"/>
        <w:rPr>
          <w:rFonts w:eastAsia="Arial"/>
          <w:sz w:val="18"/>
          <w:szCs w:val="18"/>
          <w:lang w:eastAsia="en-US"/>
        </w:rPr>
      </w:pPr>
      <w:r w:rsidRPr="00BD77D8">
        <w:rPr>
          <w:rFonts w:eastAsia="Arial"/>
          <w:sz w:val="18"/>
          <w:szCs w:val="18"/>
          <w:lang w:eastAsia="en-US"/>
        </w:rPr>
        <w:t>For each class of intangible asset, the following amortisation useful lives are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118"/>
      </w:tblGrid>
      <w:tr w:rsidR="00BD77D8" w:rsidRPr="00BD77D8" w14:paraId="50778FA6" w14:textId="77777777" w:rsidTr="006226A9">
        <w:trPr>
          <w:trHeight w:val="274"/>
        </w:trPr>
        <w:tc>
          <w:tcPr>
            <w:tcW w:w="3256" w:type="dxa"/>
          </w:tcPr>
          <w:p w14:paraId="010C882A" w14:textId="341725CA" w:rsidR="006226A9" w:rsidRPr="00BD77D8" w:rsidRDefault="006226A9" w:rsidP="006226A9">
            <w:pPr>
              <w:spacing w:after="0" w:line="180" w:lineRule="atLeast"/>
              <w:textAlignment w:val="baseline"/>
              <w:rPr>
                <w:rFonts w:ascii="Arial" w:eastAsia="Arial" w:hAnsi="Arial"/>
                <w:b/>
                <w:bCs/>
                <w:sz w:val="18"/>
                <w:szCs w:val="18"/>
                <w:lang w:eastAsia="en-US"/>
              </w:rPr>
            </w:pPr>
            <w:r w:rsidRPr="00BD77D8">
              <w:rPr>
                <w:rFonts w:ascii="Arial" w:eastAsia="Arial" w:hAnsi="Arial"/>
                <w:b/>
                <w:bCs/>
                <w:sz w:val="18"/>
                <w:szCs w:val="18"/>
                <w:lang w:eastAsia="en-US"/>
              </w:rPr>
              <w:t>Asset</w:t>
            </w:r>
          </w:p>
        </w:tc>
        <w:tc>
          <w:tcPr>
            <w:tcW w:w="3118" w:type="dxa"/>
          </w:tcPr>
          <w:p w14:paraId="58D07724" w14:textId="3B7E46FD" w:rsidR="006226A9" w:rsidRPr="00BD77D8" w:rsidRDefault="006226A9" w:rsidP="006226A9">
            <w:pPr>
              <w:spacing w:after="0" w:line="180" w:lineRule="atLeast"/>
              <w:textAlignment w:val="baseline"/>
              <w:rPr>
                <w:rFonts w:ascii="Arial" w:eastAsia="Arial" w:hAnsi="Arial"/>
                <w:b/>
                <w:bCs/>
                <w:sz w:val="18"/>
                <w:szCs w:val="18"/>
                <w:lang w:eastAsia="en-US"/>
              </w:rPr>
            </w:pPr>
            <w:r w:rsidRPr="00BD77D8">
              <w:rPr>
                <w:rFonts w:ascii="Arial" w:eastAsia="Arial" w:hAnsi="Arial"/>
                <w:b/>
                <w:bCs/>
                <w:sz w:val="18"/>
                <w:szCs w:val="18"/>
                <w:lang w:eastAsia="en-US"/>
              </w:rPr>
              <w:t>Useful Life</w:t>
            </w:r>
          </w:p>
        </w:tc>
      </w:tr>
      <w:tr w:rsidR="00BD77D8" w:rsidRPr="00BD77D8" w14:paraId="64FB5943" w14:textId="77777777" w:rsidTr="006226A9">
        <w:tc>
          <w:tcPr>
            <w:tcW w:w="3256" w:type="dxa"/>
          </w:tcPr>
          <w:p w14:paraId="15CEA401" w14:textId="3CC60B4E" w:rsidR="006226A9" w:rsidRPr="00BD77D8" w:rsidRDefault="006226A9" w:rsidP="006226A9">
            <w:pPr>
              <w:spacing w:after="0" w:line="180" w:lineRule="atLeast"/>
              <w:textAlignment w:val="baseline"/>
              <w:rPr>
                <w:rFonts w:ascii="Arial" w:eastAsia="Arial" w:hAnsi="Arial"/>
                <w:b/>
                <w:bCs/>
                <w:sz w:val="18"/>
                <w:szCs w:val="18"/>
                <w:lang w:eastAsia="en-US"/>
              </w:rPr>
            </w:pPr>
            <w:r w:rsidRPr="00BD77D8">
              <w:rPr>
                <w:rFonts w:ascii="Arial" w:eastAsia="Arial" w:hAnsi="Arial"/>
                <w:sz w:val="18"/>
                <w:szCs w:val="18"/>
                <w:lang w:eastAsia="en-US"/>
              </w:rPr>
              <w:t>Software Internally Generated</w:t>
            </w:r>
          </w:p>
        </w:tc>
        <w:tc>
          <w:tcPr>
            <w:tcW w:w="3118" w:type="dxa"/>
          </w:tcPr>
          <w:p w14:paraId="337685E4" w14:textId="53BFD018" w:rsidR="006226A9" w:rsidRPr="00BD77D8" w:rsidRDefault="006226A9" w:rsidP="006226A9">
            <w:pPr>
              <w:spacing w:after="0" w:line="180" w:lineRule="atLeast"/>
              <w:textAlignment w:val="baseline"/>
              <w:rPr>
                <w:rFonts w:ascii="Arial" w:eastAsia="Arial" w:hAnsi="Arial"/>
                <w:b/>
                <w:bCs/>
                <w:sz w:val="18"/>
                <w:szCs w:val="18"/>
                <w:lang w:eastAsia="en-US"/>
              </w:rPr>
            </w:pPr>
            <w:r w:rsidRPr="00BD77D8">
              <w:rPr>
                <w:rFonts w:ascii="Arial" w:eastAsia="Arial" w:hAnsi="Arial"/>
                <w:sz w:val="18"/>
                <w:szCs w:val="18"/>
                <w:lang w:eastAsia="en-US"/>
              </w:rPr>
              <w:t>7 years</w:t>
            </w:r>
          </w:p>
        </w:tc>
      </w:tr>
    </w:tbl>
    <w:p w14:paraId="1F5AE1DA" w14:textId="77777777" w:rsidR="00B9311E" w:rsidRPr="00BD77D8" w:rsidRDefault="00B9311E" w:rsidP="006226A9">
      <w:pPr>
        <w:spacing w:before="240" w:line="180" w:lineRule="atLeast"/>
        <w:textAlignment w:val="baseline"/>
        <w:rPr>
          <w:rFonts w:eastAsia="Arial"/>
          <w:b/>
          <w:bCs/>
          <w:spacing w:val="4"/>
          <w:sz w:val="18"/>
          <w:szCs w:val="18"/>
          <w:lang w:eastAsia="en-US"/>
        </w:rPr>
      </w:pPr>
      <w:r w:rsidRPr="00BD77D8">
        <w:rPr>
          <w:rFonts w:eastAsia="Arial"/>
          <w:b/>
          <w:bCs/>
          <w:spacing w:val="4"/>
          <w:sz w:val="18"/>
          <w:szCs w:val="18"/>
          <w:lang w:eastAsia="en-US"/>
        </w:rPr>
        <w:t>C5-4 Impairment</w:t>
      </w:r>
    </w:p>
    <w:p w14:paraId="4C8EC156" w14:textId="77777777" w:rsidR="00B9311E" w:rsidRPr="00BD77D8" w:rsidRDefault="00B9311E" w:rsidP="006226A9">
      <w:pPr>
        <w:spacing w:line="180" w:lineRule="atLeast"/>
        <w:textAlignment w:val="baseline"/>
        <w:rPr>
          <w:rFonts w:eastAsia="Arial"/>
          <w:b/>
          <w:bCs/>
          <w:sz w:val="18"/>
          <w:szCs w:val="18"/>
          <w:lang w:eastAsia="en-US"/>
        </w:rPr>
      </w:pPr>
      <w:r w:rsidRPr="00BD77D8">
        <w:rPr>
          <w:rFonts w:eastAsia="Arial"/>
          <w:b/>
          <w:bCs/>
          <w:sz w:val="18"/>
          <w:szCs w:val="18"/>
          <w:lang w:eastAsia="en-US"/>
        </w:rPr>
        <w:t>Accounting policy – Intangibles</w:t>
      </w:r>
    </w:p>
    <w:p w14:paraId="45F01EF4" w14:textId="77777777" w:rsidR="00B9311E" w:rsidRPr="00BD77D8" w:rsidRDefault="00B9311E" w:rsidP="006226A9">
      <w:pPr>
        <w:spacing w:line="180" w:lineRule="atLeast"/>
        <w:ind w:right="72"/>
        <w:textAlignment w:val="baseline"/>
        <w:rPr>
          <w:rFonts w:eastAsia="Arial"/>
          <w:b/>
          <w:bCs/>
          <w:sz w:val="18"/>
          <w:szCs w:val="18"/>
          <w:lang w:eastAsia="en-US"/>
        </w:rPr>
      </w:pPr>
      <w:r w:rsidRPr="00BD77D8">
        <w:rPr>
          <w:rFonts w:eastAsia="Arial"/>
          <w:sz w:val="18"/>
          <w:szCs w:val="18"/>
          <w:lang w:eastAsia="en-US"/>
        </w:rPr>
        <w:t>All intangible assets are assessed for indicators of impairment on an annual basis. If an indicator of possible impairment exists, the department determines the asset's recoverable amount. Any amount by which the asset's carrying amount exceeds the recoverable amount is recorded as an impairment loss.</w:t>
      </w:r>
    </w:p>
    <w:p w14:paraId="65C0F63B" w14:textId="77777777" w:rsidR="00B9311E" w:rsidRPr="00BD77D8" w:rsidRDefault="00B9311E" w:rsidP="006226A9">
      <w:pPr>
        <w:spacing w:line="180" w:lineRule="atLeast"/>
        <w:ind w:right="72"/>
        <w:textAlignment w:val="baseline"/>
        <w:rPr>
          <w:rFonts w:eastAsia="Arial"/>
          <w:sz w:val="18"/>
          <w:szCs w:val="18"/>
          <w:lang w:eastAsia="en-US"/>
        </w:rPr>
      </w:pPr>
      <w:r w:rsidRPr="00BD77D8">
        <w:rPr>
          <w:rFonts w:eastAsia="Arial"/>
          <w:sz w:val="18"/>
          <w:szCs w:val="18"/>
          <w:lang w:eastAsia="en-US"/>
        </w:rPr>
        <w:t xml:space="preserve">Intangible assets are principally assessed for impairment by reference to the actual and expected continuing use of the asset by the department, including discontinuing the use of the software or patent. Recoverable amount is determined as the higher of the asset's fair value less costs to sell and its value-in-use. </w:t>
      </w:r>
    </w:p>
    <w:p w14:paraId="2C364D07" w14:textId="046B591C" w:rsidR="0040288C" w:rsidRPr="00BD77D8" w:rsidRDefault="0040288C" w:rsidP="00B9311E">
      <w:pPr>
        <w:spacing w:after="0" w:line="240" w:lineRule="auto"/>
        <w:rPr>
          <w:rFonts w:eastAsia="PMingLiU"/>
          <w:sz w:val="18"/>
          <w:szCs w:val="18"/>
          <w:lang w:eastAsia="en-US"/>
        </w:rPr>
      </w:pP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r>
      <w:r w:rsidRPr="00BD77D8">
        <w:rPr>
          <w:rFonts w:eastAsia="PMingLiU"/>
          <w:sz w:val="18"/>
          <w:szCs w:val="18"/>
          <w:lang w:eastAsia="en-US"/>
        </w:rPr>
        <w:tab/>
        <w:t>Page 28 of 45</w:t>
      </w:r>
    </w:p>
    <w:p w14:paraId="3EA81135" w14:textId="77777777" w:rsidR="0040288C" w:rsidRPr="00BD77D8" w:rsidRDefault="0040288C" w:rsidP="00B9311E">
      <w:pPr>
        <w:spacing w:after="0" w:line="240" w:lineRule="auto"/>
        <w:rPr>
          <w:rFonts w:eastAsia="PMingLiU"/>
          <w:sz w:val="18"/>
          <w:szCs w:val="18"/>
          <w:lang w:eastAsia="en-US"/>
        </w:rPr>
      </w:pPr>
    </w:p>
    <w:p w14:paraId="36B31A5D" w14:textId="3FF1982A" w:rsidR="0040288C" w:rsidRPr="00BD77D8" w:rsidRDefault="0040288C" w:rsidP="00B9311E">
      <w:pPr>
        <w:spacing w:after="0" w:line="240" w:lineRule="auto"/>
        <w:rPr>
          <w:rFonts w:eastAsia="PMingLiU"/>
          <w:sz w:val="18"/>
          <w:szCs w:val="18"/>
          <w:lang w:eastAsia="en-US"/>
        </w:rPr>
        <w:sectPr w:rsidR="0040288C" w:rsidRPr="00BD77D8" w:rsidSect="000160CF">
          <w:type w:val="nextColumn"/>
          <w:pgSz w:w="11909" w:h="16838"/>
          <w:pgMar w:top="794" w:right="794" w:bottom="794" w:left="794" w:header="720" w:footer="720" w:gutter="0"/>
          <w:cols w:space="720"/>
        </w:sectPr>
      </w:pPr>
    </w:p>
    <w:bookmarkEnd w:id="150"/>
    <w:bookmarkEnd w:id="169"/>
    <w:p w14:paraId="10072EF7"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7EA170A6"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126B95FB"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44657375"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5F157CF1" w14:textId="77777777" w:rsidR="00B9311E" w:rsidRPr="00BD77D8" w:rsidRDefault="00B9311E" w:rsidP="00E47A6E">
      <w:pPr>
        <w:spacing w:before="240"/>
        <w:rPr>
          <w:rFonts w:ascii="Calibri Light" w:hAnsi="Calibri Light" w:cs="Times New Roman"/>
          <w:b/>
          <w:bCs/>
          <w:sz w:val="22"/>
          <w:szCs w:val="22"/>
          <w:lang w:val="en-US" w:eastAsia="en-US"/>
        </w:rPr>
      </w:pPr>
      <w:bookmarkStart w:id="170" w:name="_Toc111494813"/>
      <w:bookmarkStart w:id="171" w:name="_Toc111540685"/>
      <w:bookmarkStart w:id="172" w:name="_Toc111559248"/>
      <w:bookmarkStart w:id="173" w:name="_Toc113196520"/>
      <w:bookmarkStart w:id="174" w:name="_Toc113196868"/>
      <w:bookmarkStart w:id="175" w:name="_Toc113261998"/>
      <w:bookmarkStart w:id="176" w:name="_Toc113349152"/>
      <w:bookmarkStart w:id="177" w:name="_Toc113358077"/>
      <w:r w:rsidRPr="00BD77D8">
        <w:rPr>
          <w:rFonts w:eastAsia="Arial"/>
          <w:b/>
          <w:bCs/>
          <w:sz w:val="22"/>
          <w:szCs w:val="22"/>
          <w:lang w:eastAsia="en-US"/>
        </w:rPr>
        <w:t>C6 Payables</w:t>
      </w:r>
      <w:bookmarkEnd w:id="170"/>
      <w:bookmarkEnd w:id="171"/>
      <w:bookmarkEnd w:id="172"/>
      <w:bookmarkEnd w:id="173"/>
      <w:bookmarkEnd w:id="174"/>
      <w:bookmarkEnd w:id="175"/>
      <w:bookmarkEnd w:id="176"/>
      <w:bookmarkEnd w:id="177"/>
    </w:p>
    <w:tbl>
      <w:tblPr>
        <w:tblW w:w="10206" w:type="dxa"/>
        <w:tblCellMar>
          <w:left w:w="0" w:type="dxa"/>
          <w:right w:w="0" w:type="dxa"/>
        </w:tblCellMar>
        <w:tblLook w:val="04A0" w:firstRow="1" w:lastRow="0" w:firstColumn="1" w:lastColumn="0" w:noHBand="0" w:noVBand="1"/>
      </w:tblPr>
      <w:tblGrid>
        <w:gridCol w:w="8016"/>
        <w:gridCol w:w="1166"/>
        <w:gridCol w:w="1024"/>
      </w:tblGrid>
      <w:tr w:rsidR="00BD77D8" w:rsidRPr="00BD77D8" w14:paraId="474471E4" w14:textId="77777777" w:rsidTr="003057FB">
        <w:trPr>
          <w:trHeight w:val="268"/>
        </w:trPr>
        <w:tc>
          <w:tcPr>
            <w:tcW w:w="8048" w:type="dxa"/>
            <w:vMerge w:val="restart"/>
            <w:tcBorders>
              <w:top w:val="nil"/>
              <w:left w:val="nil"/>
              <w:bottom w:val="nil"/>
              <w:right w:val="nil"/>
            </w:tcBorders>
            <w:shd w:val="clear" w:color="auto" w:fill="auto"/>
            <w:vAlign w:val="center"/>
            <w:hideMark/>
          </w:tcPr>
          <w:p w14:paraId="566700C5" w14:textId="77777777" w:rsidR="00B9311E" w:rsidRPr="00BD77D8" w:rsidRDefault="00B9311E" w:rsidP="00B9311E">
            <w:pPr>
              <w:spacing w:after="0" w:line="240" w:lineRule="auto"/>
              <w:rPr>
                <w:rFonts w:ascii="Times New Roman" w:hAnsi="Times New Roman" w:cs="Times New Roman"/>
                <w:sz w:val="24"/>
                <w:szCs w:val="24"/>
              </w:rPr>
            </w:pPr>
          </w:p>
        </w:tc>
        <w:tc>
          <w:tcPr>
            <w:tcW w:w="1150" w:type="dxa"/>
            <w:tcBorders>
              <w:top w:val="nil"/>
              <w:left w:val="nil"/>
              <w:bottom w:val="nil"/>
              <w:right w:val="nil"/>
            </w:tcBorders>
            <w:shd w:val="clear" w:color="auto" w:fill="auto"/>
            <w:noWrap/>
            <w:vAlign w:val="bottom"/>
            <w:hideMark/>
          </w:tcPr>
          <w:p w14:paraId="48956087"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008" w:type="dxa"/>
            <w:tcBorders>
              <w:top w:val="nil"/>
              <w:left w:val="nil"/>
              <w:bottom w:val="nil"/>
              <w:right w:val="nil"/>
            </w:tcBorders>
            <w:shd w:val="clear" w:color="auto" w:fill="auto"/>
            <w:noWrap/>
            <w:vAlign w:val="bottom"/>
            <w:hideMark/>
          </w:tcPr>
          <w:p w14:paraId="25A50884"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472D1BB8" w14:textId="77777777" w:rsidTr="003057FB">
        <w:trPr>
          <w:trHeight w:val="268"/>
        </w:trPr>
        <w:tc>
          <w:tcPr>
            <w:tcW w:w="8048" w:type="dxa"/>
            <w:vMerge/>
            <w:tcBorders>
              <w:top w:val="nil"/>
              <w:left w:val="nil"/>
              <w:bottom w:val="nil"/>
              <w:right w:val="nil"/>
            </w:tcBorders>
            <w:vAlign w:val="center"/>
            <w:hideMark/>
          </w:tcPr>
          <w:p w14:paraId="27D20BAD" w14:textId="77777777" w:rsidR="00B9311E" w:rsidRPr="00BD77D8" w:rsidRDefault="00B9311E" w:rsidP="00B9311E">
            <w:pPr>
              <w:spacing w:after="0" w:line="240" w:lineRule="auto"/>
              <w:rPr>
                <w:rFonts w:ascii="Times New Roman" w:hAnsi="Times New Roman" w:cs="Times New Roman"/>
                <w:sz w:val="24"/>
                <w:szCs w:val="24"/>
              </w:rPr>
            </w:pPr>
          </w:p>
        </w:tc>
        <w:tc>
          <w:tcPr>
            <w:tcW w:w="1150" w:type="dxa"/>
            <w:tcBorders>
              <w:top w:val="nil"/>
              <w:left w:val="nil"/>
              <w:bottom w:val="single" w:sz="4" w:space="0" w:color="auto"/>
              <w:right w:val="nil"/>
            </w:tcBorders>
            <w:shd w:val="clear" w:color="auto" w:fill="auto"/>
            <w:vAlign w:val="center"/>
            <w:hideMark/>
          </w:tcPr>
          <w:p w14:paraId="4016A924"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008" w:type="dxa"/>
            <w:tcBorders>
              <w:top w:val="nil"/>
              <w:left w:val="nil"/>
              <w:bottom w:val="single" w:sz="4" w:space="0" w:color="auto"/>
              <w:right w:val="nil"/>
            </w:tcBorders>
            <w:shd w:val="clear" w:color="auto" w:fill="auto"/>
            <w:vAlign w:val="center"/>
            <w:hideMark/>
          </w:tcPr>
          <w:p w14:paraId="406393E2"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35395B96" w14:textId="77777777" w:rsidTr="003057FB">
        <w:trPr>
          <w:trHeight w:val="268"/>
        </w:trPr>
        <w:tc>
          <w:tcPr>
            <w:tcW w:w="8048" w:type="dxa"/>
            <w:tcBorders>
              <w:top w:val="nil"/>
              <w:left w:val="nil"/>
              <w:bottom w:val="nil"/>
              <w:right w:val="nil"/>
            </w:tcBorders>
            <w:shd w:val="clear" w:color="auto" w:fill="auto"/>
            <w:vAlign w:val="center"/>
            <w:hideMark/>
          </w:tcPr>
          <w:p w14:paraId="288D3AC9" w14:textId="77777777" w:rsidR="00B9311E" w:rsidRPr="00BD77D8" w:rsidRDefault="00B9311E" w:rsidP="00B9311E">
            <w:pPr>
              <w:spacing w:after="0" w:line="240" w:lineRule="auto"/>
              <w:rPr>
                <w:b/>
                <w:bCs/>
                <w:sz w:val="18"/>
                <w:szCs w:val="18"/>
              </w:rPr>
            </w:pPr>
            <w:r w:rsidRPr="00BD77D8">
              <w:rPr>
                <w:b/>
                <w:bCs/>
                <w:sz w:val="18"/>
                <w:szCs w:val="18"/>
              </w:rPr>
              <w:t xml:space="preserve"> Current </w:t>
            </w:r>
          </w:p>
        </w:tc>
        <w:tc>
          <w:tcPr>
            <w:tcW w:w="1150" w:type="dxa"/>
            <w:tcBorders>
              <w:top w:val="nil"/>
              <w:left w:val="nil"/>
              <w:bottom w:val="nil"/>
              <w:right w:val="nil"/>
            </w:tcBorders>
            <w:shd w:val="clear" w:color="auto" w:fill="auto"/>
            <w:vAlign w:val="center"/>
            <w:hideMark/>
          </w:tcPr>
          <w:p w14:paraId="4D14FBCC" w14:textId="77777777" w:rsidR="00B9311E" w:rsidRPr="00BD77D8" w:rsidRDefault="00B9311E" w:rsidP="00B9311E">
            <w:pPr>
              <w:spacing w:after="0" w:line="240" w:lineRule="auto"/>
              <w:rPr>
                <w:b/>
                <w:bCs/>
                <w:sz w:val="18"/>
                <w:szCs w:val="18"/>
              </w:rPr>
            </w:pPr>
          </w:p>
        </w:tc>
        <w:tc>
          <w:tcPr>
            <w:tcW w:w="1008" w:type="dxa"/>
            <w:tcBorders>
              <w:top w:val="nil"/>
              <w:left w:val="nil"/>
              <w:bottom w:val="nil"/>
              <w:right w:val="nil"/>
            </w:tcBorders>
            <w:shd w:val="clear" w:color="auto" w:fill="auto"/>
            <w:vAlign w:val="center"/>
            <w:hideMark/>
          </w:tcPr>
          <w:p w14:paraId="390CA597"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1CBAB86E" w14:textId="77777777" w:rsidTr="003057FB">
        <w:trPr>
          <w:trHeight w:val="268"/>
        </w:trPr>
        <w:tc>
          <w:tcPr>
            <w:tcW w:w="8048" w:type="dxa"/>
            <w:tcBorders>
              <w:top w:val="nil"/>
              <w:left w:val="nil"/>
              <w:bottom w:val="nil"/>
              <w:right w:val="nil"/>
            </w:tcBorders>
            <w:shd w:val="clear" w:color="auto" w:fill="auto"/>
            <w:vAlign w:val="center"/>
            <w:hideMark/>
          </w:tcPr>
          <w:p w14:paraId="747B5923" w14:textId="77777777" w:rsidR="00B9311E" w:rsidRPr="00BD77D8" w:rsidRDefault="00B9311E" w:rsidP="00B9311E">
            <w:pPr>
              <w:spacing w:after="0" w:line="240" w:lineRule="auto"/>
              <w:rPr>
                <w:sz w:val="18"/>
                <w:szCs w:val="18"/>
              </w:rPr>
            </w:pPr>
            <w:r w:rsidRPr="00BD77D8">
              <w:rPr>
                <w:sz w:val="18"/>
                <w:szCs w:val="18"/>
              </w:rPr>
              <w:t xml:space="preserve"> Trade creditors and accruals </w:t>
            </w:r>
          </w:p>
        </w:tc>
        <w:tc>
          <w:tcPr>
            <w:tcW w:w="1150" w:type="dxa"/>
            <w:tcBorders>
              <w:top w:val="nil"/>
              <w:left w:val="nil"/>
              <w:bottom w:val="nil"/>
              <w:right w:val="nil"/>
            </w:tcBorders>
            <w:shd w:val="clear" w:color="auto" w:fill="auto"/>
            <w:vAlign w:val="center"/>
            <w:hideMark/>
          </w:tcPr>
          <w:p w14:paraId="3B179724" w14:textId="77777777" w:rsidR="00B9311E" w:rsidRPr="00BD77D8" w:rsidRDefault="00B9311E" w:rsidP="00B9311E">
            <w:pPr>
              <w:spacing w:after="0" w:line="240" w:lineRule="auto"/>
              <w:jc w:val="right"/>
              <w:rPr>
                <w:sz w:val="18"/>
                <w:szCs w:val="18"/>
              </w:rPr>
            </w:pPr>
            <w:r w:rsidRPr="00BD77D8">
              <w:rPr>
                <w:sz w:val="18"/>
                <w:szCs w:val="18"/>
              </w:rPr>
              <w:t xml:space="preserve">         4,943 </w:t>
            </w:r>
          </w:p>
        </w:tc>
        <w:tc>
          <w:tcPr>
            <w:tcW w:w="1008" w:type="dxa"/>
            <w:tcBorders>
              <w:top w:val="nil"/>
              <w:left w:val="nil"/>
              <w:bottom w:val="nil"/>
              <w:right w:val="nil"/>
            </w:tcBorders>
            <w:shd w:val="clear" w:color="auto" w:fill="auto"/>
            <w:vAlign w:val="center"/>
            <w:hideMark/>
          </w:tcPr>
          <w:p w14:paraId="130E0AA3" w14:textId="77777777" w:rsidR="00B9311E" w:rsidRPr="00BD77D8" w:rsidRDefault="00B9311E" w:rsidP="00B9311E">
            <w:pPr>
              <w:spacing w:after="0" w:line="240" w:lineRule="auto"/>
              <w:jc w:val="right"/>
              <w:rPr>
                <w:sz w:val="18"/>
                <w:szCs w:val="18"/>
              </w:rPr>
            </w:pPr>
            <w:r w:rsidRPr="00BD77D8">
              <w:rPr>
                <w:sz w:val="18"/>
                <w:szCs w:val="18"/>
              </w:rPr>
              <w:t xml:space="preserve">         8,074 </w:t>
            </w:r>
          </w:p>
        </w:tc>
      </w:tr>
      <w:tr w:rsidR="00BD77D8" w:rsidRPr="00BD77D8" w14:paraId="73AF36B9" w14:textId="77777777" w:rsidTr="003057FB">
        <w:trPr>
          <w:trHeight w:val="268"/>
        </w:trPr>
        <w:tc>
          <w:tcPr>
            <w:tcW w:w="8048" w:type="dxa"/>
            <w:tcBorders>
              <w:top w:val="nil"/>
              <w:left w:val="nil"/>
              <w:bottom w:val="nil"/>
              <w:right w:val="nil"/>
            </w:tcBorders>
            <w:shd w:val="clear" w:color="auto" w:fill="auto"/>
            <w:vAlign w:val="center"/>
            <w:hideMark/>
          </w:tcPr>
          <w:p w14:paraId="424203B1" w14:textId="77777777" w:rsidR="00B9311E" w:rsidRPr="00BD77D8" w:rsidRDefault="00B9311E" w:rsidP="00B9311E">
            <w:pPr>
              <w:spacing w:after="0" w:line="240" w:lineRule="auto"/>
              <w:rPr>
                <w:sz w:val="18"/>
                <w:szCs w:val="18"/>
              </w:rPr>
            </w:pPr>
            <w:r w:rsidRPr="00BD77D8">
              <w:rPr>
                <w:sz w:val="18"/>
                <w:szCs w:val="18"/>
              </w:rPr>
              <w:t xml:space="preserve"> Grants and subsidies payable </w:t>
            </w:r>
          </w:p>
        </w:tc>
        <w:tc>
          <w:tcPr>
            <w:tcW w:w="1150" w:type="dxa"/>
            <w:tcBorders>
              <w:top w:val="nil"/>
              <w:left w:val="nil"/>
              <w:bottom w:val="nil"/>
              <w:right w:val="nil"/>
            </w:tcBorders>
            <w:shd w:val="clear" w:color="auto" w:fill="auto"/>
            <w:vAlign w:val="center"/>
            <w:hideMark/>
          </w:tcPr>
          <w:p w14:paraId="79946BD3" w14:textId="77777777" w:rsidR="00B9311E" w:rsidRPr="00BD77D8" w:rsidRDefault="00B9311E" w:rsidP="00B9311E">
            <w:pPr>
              <w:spacing w:after="0" w:line="240" w:lineRule="auto"/>
              <w:jc w:val="right"/>
              <w:rPr>
                <w:sz w:val="18"/>
                <w:szCs w:val="18"/>
              </w:rPr>
            </w:pPr>
            <w:r w:rsidRPr="00BD77D8">
              <w:rPr>
                <w:sz w:val="18"/>
                <w:szCs w:val="18"/>
              </w:rPr>
              <w:t xml:space="preserve">         1,619 </w:t>
            </w:r>
          </w:p>
        </w:tc>
        <w:tc>
          <w:tcPr>
            <w:tcW w:w="1008" w:type="dxa"/>
            <w:tcBorders>
              <w:top w:val="nil"/>
              <w:left w:val="nil"/>
              <w:bottom w:val="nil"/>
              <w:right w:val="nil"/>
            </w:tcBorders>
            <w:shd w:val="clear" w:color="auto" w:fill="auto"/>
            <w:vAlign w:val="center"/>
            <w:hideMark/>
          </w:tcPr>
          <w:p w14:paraId="4DF96547" w14:textId="77777777" w:rsidR="00B9311E" w:rsidRPr="00BD77D8" w:rsidRDefault="00B9311E" w:rsidP="00B9311E">
            <w:pPr>
              <w:spacing w:after="0" w:line="240" w:lineRule="auto"/>
              <w:jc w:val="right"/>
              <w:rPr>
                <w:sz w:val="18"/>
                <w:szCs w:val="18"/>
              </w:rPr>
            </w:pPr>
            <w:r w:rsidRPr="00BD77D8">
              <w:rPr>
                <w:sz w:val="18"/>
                <w:szCs w:val="18"/>
              </w:rPr>
              <w:t xml:space="preserve">         1,359 </w:t>
            </w:r>
          </w:p>
        </w:tc>
      </w:tr>
      <w:tr w:rsidR="00BD77D8" w:rsidRPr="00BD77D8" w14:paraId="0BC43EBE" w14:textId="77777777" w:rsidTr="003057FB">
        <w:trPr>
          <w:trHeight w:val="268"/>
        </w:trPr>
        <w:tc>
          <w:tcPr>
            <w:tcW w:w="8048" w:type="dxa"/>
            <w:tcBorders>
              <w:top w:val="nil"/>
              <w:left w:val="nil"/>
              <w:bottom w:val="nil"/>
              <w:right w:val="nil"/>
            </w:tcBorders>
            <w:shd w:val="clear" w:color="auto" w:fill="auto"/>
            <w:vAlign w:val="center"/>
            <w:hideMark/>
          </w:tcPr>
          <w:p w14:paraId="23D3408F" w14:textId="77777777" w:rsidR="00B9311E" w:rsidRPr="00BD77D8" w:rsidRDefault="00B9311E" w:rsidP="00B9311E">
            <w:pPr>
              <w:spacing w:after="0" w:line="240" w:lineRule="auto"/>
              <w:rPr>
                <w:sz w:val="18"/>
                <w:szCs w:val="18"/>
              </w:rPr>
            </w:pPr>
            <w:r w:rsidRPr="00BD77D8">
              <w:rPr>
                <w:sz w:val="18"/>
                <w:szCs w:val="18"/>
              </w:rPr>
              <w:t xml:space="preserve"> Deferred appropriation payable to Consolidated Fund </w:t>
            </w:r>
          </w:p>
        </w:tc>
        <w:tc>
          <w:tcPr>
            <w:tcW w:w="1150" w:type="dxa"/>
            <w:tcBorders>
              <w:top w:val="nil"/>
              <w:left w:val="nil"/>
              <w:bottom w:val="nil"/>
              <w:right w:val="nil"/>
            </w:tcBorders>
            <w:shd w:val="clear" w:color="auto" w:fill="auto"/>
            <w:vAlign w:val="center"/>
            <w:hideMark/>
          </w:tcPr>
          <w:p w14:paraId="7A607068" w14:textId="77777777" w:rsidR="00B9311E" w:rsidRPr="00BD77D8" w:rsidRDefault="00B9311E" w:rsidP="00B9311E">
            <w:pPr>
              <w:spacing w:after="0" w:line="240" w:lineRule="auto"/>
              <w:jc w:val="right"/>
              <w:rPr>
                <w:sz w:val="18"/>
                <w:szCs w:val="18"/>
              </w:rPr>
            </w:pPr>
            <w:r w:rsidRPr="00BD77D8">
              <w:rPr>
                <w:sz w:val="18"/>
                <w:szCs w:val="18"/>
              </w:rPr>
              <w:t xml:space="preserve">      19,836 </w:t>
            </w:r>
          </w:p>
        </w:tc>
        <w:tc>
          <w:tcPr>
            <w:tcW w:w="1008" w:type="dxa"/>
            <w:tcBorders>
              <w:top w:val="nil"/>
              <w:left w:val="nil"/>
              <w:bottom w:val="nil"/>
              <w:right w:val="nil"/>
            </w:tcBorders>
            <w:shd w:val="clear" w:color="auto" w:fill="auto"/>
            <w:vAlign w:val="center"/>
            <w:hideMark/>
          </w:tcPr>
          <w:p w14:paraId="60C54A67" w14:textId="77777777" w:rsidR="00B9311E" w:rsidRPr="00BD77D8" w:rsidRDefault="00B9311E" w:rsidP="00B9311E">
            <w:pPr>
              <w:spacing w:after="0" w:line="240" w:lineRule="auto"/>
              <w:jc w:val="right"/>
              <w:rPr>
                <w:sz w:val="18"/>
                <w:szCs w:val="18"/>
              </w:rPr>
            </w:pPr>
            <w:r w:rsidRPr="00BD77D8">
              <w:rPr>
                <w:sz w:val="18"/>
                <w:szCs w:val="18"/>
              </w:rPr>
              <w:t xml:space="preserve">       28,263 </w:t>
            </w:r>
          </w:p>
        </w:tc>
      </w:tr>
      <w:tr w:rsidR="00BD77D8" w:rsidRPr="00BD77D8" w14:paraId="1D7E009A" w14:textId="77777777" w:rsidTr="003057FB">
        <w:trPr>
          <w:trHeight w:val="268"/>
        </w:trPr>
        <w:tc>
          <w:tcPr>
            <w:tcW w:w="8048" w:type="dxa"/>
            <w:tcBorders>
              <w:top w:val="nil"/>
              <w:left w:val="nil"/>
              <w:bottom w:val="nil"/>
              <w:right w:val="nil"/>
            </w:tcBorders>
            <w:shd w:val="clear" w:color="auto" w:fill="auto"/>
            <w:vAlign w:val="center"/>
            <w:hideMark/>
          </w:tcPr>
          <w:p w14:paraId="02A7B307" w14:textId="77777777" w:rsidR="00B9311E" w:rsidRPr="00BD77D8" w:rsidRDefault="00B9311E" w:rsidP="00B9311E">
            <w:pPr>
              <w:spacing w:after="0" w:line="240" w:lineRule="auto"/>
              <w:rPr>
                <w:sz w:val="18"/>
                <w:szCs w:val="18"/>
              </w:rPr>
            </w:pPr>
            <w:r w:rsidRPr="00BD77D8">
              <w:rPr>
                <w:sz w:val="18"/>
                <w:szCs w:val="18"/>
              </w:rPr>
              <w:t xml:space="preserve"> Other </w:t>
            </w:r>
          </w:p>
        </w:tc>
        <w:tc>
          <w:tcPr>
            <w:tcW w:w="1150" w:type="dxa"/>
            <w:tcBorders>
              <w:top w:val="nil"/>
              <w:left w:val="nil"/>
              <w:bottom w:val="nil"/>
              <w:right w:val="nil"/>
            </w:tcBorders>
            <w:shd w:val="clear" w:color="auto" w:fill="auto"/>
            <w:vAlign w:val="center"/>
            <w:hideMark/>
          </w:tcPr>
          <w:p w14:paraId="768BC943" w14:textId="77777777" w:rsidR="00B9311E" w:rsidRPr="00BD77D8" w:rsidRDefault="00B9311E" w:rsidP="00B9311E">
            <w:pPr>
              <w:spacing w:after="0" w:line="240" w:lineRule="auto"/>
              <w:jc w:val="right"/>
              <w:rPr>
                <w:sz w:val="18"/>
                <w:szCs w:val="18"/>
              </w:rPr>
            </w:pPr>
            <w:r w:rsidRPr="00BD77D8">
              <w:rPr>
                <w:sz w:val="18"/>
                <w:szCs w:val="18"/>
              </w:rPr>
              <w:t xml:space="preserve">              84 </w:t>
            </w:r>
          </w:p>
        </w:tc>
        <w:tc>
          <w:tcPr>
            <w:tcW w:w="1008" w:type="dxa"/>
            <w:tcBorders>
              <w:top w:val="nil"/>
              <w:left w:val="nil"/>
              <w:bottom w:val="nil"/>
              <w:right w:val="nil"/>
            </w:tcBorders>
            <w:shd w:val="clear" w:color="auto" w:fill="auto"/>
            <w:vAlign w:val="center"/>
            <w:hideMark/>
          </w:tcPr>
          <w:p w14:paraId="6BB5189C" w14:textId="77777777" w:rsidR="00B9311E" w:rsidRPr="00BD77D8" w:rsidRDefault="00B9311E" w:rsidP="00B9311E">
            <w:pPr>
              <w:spacing w:after="0" w:line="240" w:lineRule="auto"/>
              <w:jc w:val="right"/>
              <w:rPr>
                <w:sz w:val="18"/>
                <w:szCs w:val="18"/>
              </w:rPr>
            </w:pPr>
            <w:r w:rsidRPr="00BD77D8">
              <w:rPr>
                <w:sz w:val="18"/>
                <w:szCs w:val="18"/>
              </w:rPr>
              <w:t xml:space="preserve">            230 </w:t>
            </w:r>
          </w:p>
        </w:tc>
      </w:tr>
      <w:tr w:rsidR="00BD77D8" w:rsidRPr="00BD77D8" w14:paraId="1C047A4C" w14:textId="77777777" w:rsidTr="003057FB">
        <w:trPr>
          <w:trHeight w:val="268"/>
        </w:trPr>
        <w:tc>
          <w:tcPr>
            <w:tcW w:w="8048" w:type="dxa"/>
            <w:tcBorders>
              <w:top w:val="nil"/>
              <w:left w:val="nil"/>
              <w:bottom w:val="nil"/>
              <w:right w:val="nil"/>
            </w:tcBorders>
            <w:shd w:val="clear" w:color="auto" w:fill="auto"/>
            <w:vAlign w:val="center"/>
            <w:hideMark/>
          </w:tcPr>
          <w:p w14:paraId="05E9C507"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1150" w:type="dxa"/>
            <w:tcBorders>
              <w:top w:val="single" w:sz="4" w:space="0" w:color="auto"/>
              <w:left w:val="nil"/>
              <w:bottom w:val="single" w:sz="4" w:space="0" w:color="auto"/>
              <w:right w:val="nil"/>
            </w:tcBorders>
            <w:shd w:val="clear" w:color="auto" w:fill="auto"/>
            <w:vAlign w:val="center"/>
            <w:hideMark/>
          </w:tcPr>
          <w:p w14:paraId="7438500B" w14:textId="77777777" w:rsidR="00B9311E" w:rsidRPr="00BD77D8" w:rsidRDefault="00B9311E" w:rsidP="00B9311E">
            <w:pPr>
              <w:spacing w:after="0" w:line="240" w:lineRule="auto"/>
              <w:jc w:val="right"/>
              <w:rPr>
                <w:b/>
                <w:bCs/>
                <w:sz w:val="18"/>
                <w:szCs w:val="18"/>
              </w:rPr>
            </w:pPr>
            <w:r w:rsidRPr="00BD77D8">
              <w:rPr>
                <w:b/>
                <w:bCs/>
                <w:sz w:val="18"/>
                <w:szCs w:val="18"/>
              </w:rPr>
              <w:t xml:space="preserve">      26,482 </w:t>
            </w:r>
          </w:p>
        </w:tc>
        <w:tc>
          <w:tcPr>
            <w:tcW w:w="1008" w:type="dxa"/>
            <w:tcBorders>
              <w:top w:val="single" w:sz="4" w:space="0" w:color="auto"/>
              <w:left w:val="nil"/>
              <w:bottom w:val="single" w:sz="4" w:space="0" w:color="auto"/>
              <w:right w:val="nil"/>
            </w:tcBorders>
            <w:shd w:val="clear" w:color="auto" w:fill="auto"/>
            <w:vAlign w:val="center"/>
            <w:hideMark/>
          </w:tcPr>
          <w:p w14:paraId="2F63A02C" w14:textId="77777777" w:rsidR="00B9311E" w:rsidRPr="00BD77D8" w:rsidRDefault="00B9311E" w:rsidP="00B9311E">
            <w:pPr>
              <w:spacing w:after="0" w:line="240" w:lineRule="auto"/>
              <w:jc w:val="right"/>
              <w:rPr>
                <w:b/>
                <w:bCs/>
                <w:sz w:val="18"/>
                <w:szCs w:val="18"/>
              </w:rPr>
            </w:pPr>
            <w:r w:rsidRPr="00BD77D8">
              <w:rPr>
                <w:b/>
                <w:bCs/>
                <w:sz w:val="18"/>
                <w:szCs w:val="18"/>
              </w:rPr>
              <w:t xml:space="preserve">       37,926 </w:t>
            </w:r>
          </w:p>
        </w:tc>
      </w:tr>
    </w:tbl>
    <w:p w14:paraId="5E22F0DF" w14:textId="77777777" w:rsidR="00B9311E" w:rsidRPr="00BD77D8" w:rsidRDefault="00B9311E" w:rsidP="006226A9">
      <w:pPr>
        <w:spacing w:before="200" w:line="206" w:lineRule="exact"/>
        <w:ind w:right="289"/>
        <w:textAlignment w:val="baseline"/>
        <w:rPr>
          <w:rFonts w:eastAsia="Arial"/>
          <w:b/>
          <w:bCs/>
          <w:spacing w:val="-1"/>
          <w:sz w:val="18"/>
          <w:szCs w:val="18"/>
          <w:lang w:eastAsia="en-US"/>
        </w:rPr>
      </w:pPr>
      <w:r w:rsidRPr="00BD77D8">
        <w:rPr>
          <w:rFonts w:eastAsia="Arial"/>
          <w:b/>
          <w:bCs/>
          <w:spacing w:val="-1"/>
          <w:sz w:val="18"/>
          <w:szCs w:val="18"/>
          <w:lang w:eastAsia="en-US"/>
        </w:rPr>
        <w:t>Accounting policy – Payables</w:t>
      </w:r>
    </w:p>
    <w:p w14:paraId="2155F6F8" w14:textId="77777777" w:rsidR="00B9311E" w:rsidRPr="00BD77D8" w:rsidRDefault="00B9311E" w:rsidP="006226A9">
      <w:pPr>
        <w:spacing w:line="206" w:lineRule="exact"/>
        <w:ind w:right="288"/>
        <w:textAlignment w:val="baseline"/>
        <w:rPr>
          <w:rFonts w:eastAsia="Arial"/>
          <w:b/>
          <w:spacing w:val="-1"/>
          <w:sz w:val="18"/>
          <w:szCs w:val="18"/>
          <w:lang w:eastAsia="en-US"/>
        </w:rPr>
      </w:pPr>
      <w:r w:rsidRPr="00BD77D8">
        <w:rPr>
          <w:rFonts w:eastAsia="Arial"/>
          <w:spacing w:val="-1"/>
          <w:sz w:val="18"/>
          <w:szCs w:val="18"/>
          <w:lang w:eastAsia="en-US"/>
        </w:rPr>
        <w:t>Trade creditors are recognised upon receipt of the goods or services ordered and are measured at the agreed purchase or contract price, gross of applicable trade and other discounts. Amounts owing are unsecured.</w:t>
      </w:r>
    </w:p>
    <w:p w14:paraId="113E154C" w14:textId="77777777" w:rsidR="00B9311E" w:rsidRPr="00BD77D8" w:rsidRDefault="00B9311E" w:rsidP="006226A9">
      <w:pPr>
        <w:spacing w:line="200" w:lineRule="exact"/>
        <w:textAlignment w:val="baseline"/>
        <w:rPr>
          <w:rFonts w:eastAsia="Arial"/>
          <w:b/>
          <w:bCs/>
          <w:sz w:val="18"/>
          <w:szCs w:val="18"/>
          <w:lang w:eastAsia="en-US"/>
        </w:rPr>
      </w:pPr>
      <w:r w:rsidRPr="00BD77D8">
        <w:rPr>
          <w:rFonts w:eastAsia="Arial"/>
          <w:b/>
          <w:bCs/>
          <w:sz w:val="18"/>
          <w:szCs w:val="18"/>
          <w:lang w:eastAsia="en-US"/>
        </w:rPr>
        <w:t>Disclosure - COVID-19 pandemic impact</w:t>
      </w:r>
    </w:p>
    <w:p w14:paraId="146248A9" w14:textId="77777777" w:rsidR="00B9311E" w:rsidRPr="00BD77D8" w:rsidRDefault="00B9311E" w:rsidP="006226A9">
      <w:pPr>
        <w:spacing w:line="208" w:lineRule="exact"/>
        <w:textAlignment w:val="baseline"/>
        <w:rPr>
          <w:rFonts w:eastAsia="Arial"/>
          <w:b/>
          <w:sz w:val="18"/>
          <w:szCs w:val="18"/>
          <w:lang w:eastAsia="en-US"/>
        </w:rPr>
      </w:pPr>
      <w:r w:rsidRPr="00BD77D8">
        <w:rPr>
          <w:rFonts w:eastAsia="Arial"/>
          <w:sz w:val="18"/>
          <w:szCs w:val="18"/>
          <w:lang w:eastAsia="en-US"/>
        </w:rPr>
        <w:t>In response to COVID-19 the State Government announced a new payment policy to assist suppliers with the financial impact of the pandemic. The department now pays suppliers as soon as possible after the goods or services are received and following receipt of a tax invoice. There is no cash risk to the department. The department continues to monitor the financial viability of major non-government suppliers annually to identify risks to provision of government services.</w:t>
      </w:r>
    </w:p>
    <w:p w14:paraId="68B00A97" w14:textId="77777777" w:rsidR="00B9311E" w:rsidRPr="00BD77D8" w:rsidRDefault="00B9311E" w:rsidP="009D387F">
      <w:pPr>
        <w:rPr>
          <w:rFonts w:ascii="Calibri Light" w:hAnsi="Calibri Light" w:cs="Times New Roman"/>
          <w:b/>
          <w:bCs/>
          <w:sz w:val="22"/>
          <w:szCs w:val="22"/>
          <w:lang w:val="en-US" w:eastAsia="en-US"/>
        </w:rPr>
      </w:pPr>
      <w:bookmarkStart w:id="178" w:name="_Toc111494814"/>
      <w:bookmarkStart w:id="179" w:name="_Toc111540686"/>
      <w:bookmarkStart w:id="180" w:name="_Toc111559249"/>
      <w:bookmarkStart w:id="181" w:name="_Toc113196521"/>
      <w:bookmarkStart w:id="182" w:name="_Toc113196869"/>
      <w:bookmarkStart w:id="183" w:name="_Toc113261999"/>
      <w:bookmarkStart w:id="184" w:name="_Toc113349153"/>
      <w:bookmarkStart w:id="185" w:name="_Toc113358078"/>
      <w:r w:rsidRPr="00BD77D8">
        <w:rPr>
          <w:rFonts w:eastAsia="Arial"/>
          <w:b/>
          <w:bCs/>
          <w:sz w:val="22"/>
          <w:szCs w:val="22"/>
          <w:lang w:eastAsia="en-US"/>
        </w:rPr>
        <w:t>C7 Accrued Employee Benefits</w:t>
      </w:r>
      <w:bookmarkEnd w:id="178"/>
      <w:bookmarkEnd w:id="179"/>
      <w:bookmarkEnd w:id="180"/>
      <w:bookmarkEnd w:id="181"/>
      <w:bookmarkEnd w:id="182"/>
      <w:bookmarkEnd w:id="183"/>
      <w:bookmarkEnd w:id="184"/>
      <w:bookmarkEnd w:id="185"/>
    </w:p>
    <w:tbl>
      <w:tblPr>
        <w:tblW w:w="10206" w:type="dxa"/>
        <w:tblCellMar>
          <w:left w:w="0" w:type="dxa"/>
          <w:right w:w="0" w:type="dxa"/>
        </w:tblCellMar>
        <w:tblLook w:val="04A0" w:firstRow="1" w:lastRow="0" w:firstColumn="1" w:lastColumn="0" w:noHBand="0" w:noVBand="1"/>
      </w:tblPr>
      <w:tblGrid>
        <w:gridCol w:w="8016"/>
        <w:gridCol w:w="1166"/>
        <w:gridCol w:w="1024"/>
      </w:tblGrid>
      <w:tr w:rsidR="00BD77D8" w:rsidRPr="00BD77D8" w14:paraId="231C2274" w14:textId="77777777" w:rsidTr="003057FB">
        <w:trPr>
          <w:trHeight w:val="267"/>
        </w:trPr>
        <w:tc>
          <w:tcPr>
            <w:tcW w:w="8048" w:type="dxa"/>
            <w:vMerge w:val="restart"/>
            <w:tcBorders>
              <w:top w:val="nil"/>
              <w:left w:val="nil"/>
              <w:bottom w:val="nil"/>
              <w:right w:val="nil"/>
            </w:tcBorders>
            <w:shd w:val="clear" w:color="auto" w:fill="auto"/>
            <w:vAlign w:val="center"/>
            <w:hideMark/>
          </w:tcPr>
          <w:p w14:paraId="44933712" w14:textId="77777777" w:rsidR="00B9311E" w:rsidRPr="00BD77D8" w:rsidRDefault="00B9311E" w:rsidP="00B9311E">
            <w:pPr>
              <w:spacing w:after="0" w:line="240" w:lineRule="auto"/>
              <w:rPr>
                <w:rFonts w:ascii="Times New Roman" w:hAnsi="Times New Roman" w:cs="Times New Roman"/>
                <w:sz w:val="24"/>
                <w:szCs w:val="24"/>
              </w:rPr>
            </w:pPr>
          </w:p>
        </w:tc>
        <w:tc>
          <w:tcPr>
            <w:tcW w:w="1150" w:type="dxa"/>
            <w:tcBorders>
              <w:top w:val="nil"/>
              <w:left w:val="nil"/>
              <w:bottom w:val="nil"/>
              <w:right w:val="nil"/>
            </w:tcBorders>
            <w:shd w:val="clear" w:color="auto" w:fill="auto"/>
            <w:noWrap/>
            <w:vAlign w:val="bottom"/>
            <w:hideMark/>
          </w:tcPr>
          <w:p w14:paraId="5EB47CD0"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008" w:type="dxa"/>
            <w:tcBorders>
              <w:top w:val="nil"/>
              <w:left w:val="nil"/>
              <w:bottom w:val="nil"/>
              <w:right w:val="nil"/>
            </w:tcBorders>
            <w:shd w:val="clear" w:color="auto" w:fill="auto"/>
            <w:noWrap/>
            <w:vAlign w:val="bottom"/>
            <w:hideMark/>
          </w:tcPr>
          <w:p w14:paraId="4D251825"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706A3AF0" w14:textId="77777777" w:rsidTr="003057FB">
        <w:trPr>
          <w:trHeight w:val="267"/>
        </w:trPr>
        <w:tc>
          <w:tcPr>
            <w:tcW w:w="8048" w:type="dxa"/>
            <w:vMerge/>
            <w:tcBorders>
              <w:top w:val="nil"/>
              <w:left w:val="nil"/>
              <w:bottom w:val="nil"/>
              <w:right w:val="nil"/>
            </w:tcBorders>
            <w:vAlign w:val="center"/>
            <w:hideMark/>
          </w:tcPr>
          <w:p w14:paraId="09627BE9" w14:textId="77777777" w:rsidR="00B9311E" w:rsidRPr="00BD77D8" w:rsidRDefault="00B9311E" w:rsidP="00B9311E">
            <w:pPr>
              <w:spacing w:after="0" w:line="240" w:lineRule="auto"/>
              <w:rPr>
                <w:rFonts w:ascii="Times New Roman" w:hAnsi="Times New Roman" w:cs="Times New Roman"/>
                <w:sz w:val="24"/>
                <w:szCs w:val="24"/>
              </w:rPr>
            </w:pPr>
          </w:p>
        </w:tc>
        <w:tc>
          <w:tcPr>
            <w:tcW w:w="1150" w:type="dxa"/>
            <w:tcBorders>
              <w:top w:val="nil"/>
              <w:left w:val="nil"/>
              <w:bottom w:val="single" w:sz="4" w:space="0" w:color="auto"/>
              <w:right w:val="nil"/>
            </w:tcBorders>
            <w:shd w:val="clear" w:color="auto" w:fill="auto"/>
            <w:vAlign w:val="center"/>
            <w:hideMark/>
          </w:tcPr>
          <w:p w14:paraId="22383CDD"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008" w:type="dxa"/>
            <w:tcBorders>
              <w:top w:val="nil"/>
              <w:left w:val="nil"/>
              <w:bottom w:val="single" w:sz="4" w:space="0" w:color="auto"/>
              <w:right w:val="nil"/>
            </w:tcBorders>
            <w:shd w:val="clear" w:color="auto" w:fill="auto"/>
            <w:vAlign w:val="center"/>
            <w:hideMark/>
          </w:tcPr>
          <w:p w14:paraId="6283ABFF"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20C648A6" w14:textId="77777777" w:rsidTr="003057FB">
        <w:trPr>
          <w:trHeight w:val="267"/>
        </w:trPr>
        <w:tc>
          <w:tcPr>
            <w:tcW w:w="8048" w:type="dxa"/>
            <w:tcBorders>
              <w:top w:val="nil"/>
              <w:left w:val="nil"/>
              <w:bottom w:val="nil"/>
              <w:right w:val="nil"/>
            </w:tcBorders>
            <w:shd w:val="clear" w:color="auto" w:fill="auto"/>
            <w:vAlign w:val="center"/>
            <w:hideMark/>
          </w:tcPr>
          <w:p w14:paraId="3663F935" w14:textId="77777777" w:rsidR="00B9311E" w:rsidRPr="00BD77D8" w:rsidRDefault="00B9311E" w:rsidP="00B9311E">
            <w:pPr>
              <w:spacing w:after="0" w:line="240" w:lineRule="auto"/>
              <w:rPr>
                <w:sz w:val="18"/>
                <w:szCs w:val="18"/>
              </w:rPr>
            </w:pPr>
            <w:r w:rsidRPr="00BD77D8">
              <w:rPr>
                <w:sz w:val="18"/>
                <w:szCs w:val="18"/>
              </w:rPr>
              <w:t xml:space="preserve"> Salaries and wages payable </w:t>
            </w:r>
          </w:p>
        </w:tc>
        <w:tc>
          <w:tcPr>
            <w:tcW w:w="1150" w:type="dxa"/>
            <w:tcBorders>
              <w:top w:val="nil"/>
              <w:left w:val="nil"/>
              <w:bottom w:val="nil"/>
              <w:right w:val="nil"/>
            </w:tcBorders>
            <w:shd w:val="clear" w:color="auto" w:fill="auto"/>
            <w:vAlign w:val="center"/>
            <w:hideMark/>
          </w:tcPr>
          <w:p w14:paraId="345C2F03" w14:textId="77777777" w:rsidR="00B9311E" w:rsidRPr="00BD77D8" w:rsidRDefault="00B9311E" w:rsidP="00B9311E">
            <w:pPr>
              <w:spacing w:after="0" w:line="240" w:lineRule="auto"/>
              <w:jc w:val="right"/>
              <w:rPr>
                <w:sz w:val="18"/>
                <w:szCs w:val="18"/>
              </w:rPr>
            </w:pPr>
            <w:r w:rsidRPr="00BD77D8">
              <w:rPr>
                <w:sz w:val="18"/>
                <w:szCs w:val="18"/>
              </w:rPr>
              <w:t xml:space="preserve">     3,160 </w:t>
            </w:r>
          </w:p>
        </w:tc>
        <w:tc>
          <w:tcPr>
            <w:tcW w:w="1008" w:type="dxa"/>
            <w:tcBorders>
              <w:top w:val="nil"/>
              <w:left w:val="nil"/>
              <w:bottom w:val="nil"/>
              <w:right w:val="nil"/>
            </w:tcBorders>
            <w:shd w:val="clear" w:color="auto" w:fill="auto"/>
            <w:vAlign w:val="center"/>
            <w:hideMark/>
          </w:tcPr>
          <w:p w14:paraId="4F8447E0" w14:textId="77777777" w:rsidR="00B9311E" w:rsidRPr="00BD77D8" w:rsidRDefault="00B9311E" w:rsidP="00B9311E">
            <w:pPr>
              <w:spacing w:after="0" w:line="240" w:lineRule="auto"/>
              <w:jc w:val="right"/>
              <w:rPr>
                <w:sz w:val="18"/>
                <w:szCs w:val="18"/>
              </w:rPr>
            </w:pPr>
            <w:r w:rsidRPr="00BD77D8">
              <w:rPr>
                <w:sz w:val="18"/>
                <w:szCs w:val="18"/>
              </w:rPr>
              <w:t xml:space="preserve">       2,943 </w:t>
            </w:r>
          </w:p>
        </w:tc>
      </w:tr>
      <w:tr w:rsidR="00BD77D8" w:rsidRPr="00BD77D8" w14:paraId="0AE8873F" w14:textId="77777777" w:rsidTr="003057FB">
        <w:trPr>
          <w:trHeight w:val="267"/>
        </w:trPr>
        <w:tc>
          <w:tcPr>
            <w:tcW w:w="8048" w:type="dxa"/>
            <w:tcBorders>
              <w:top w:val="nil"/>
              <w:left w:val="nil"/>
              <w:bottom w:val="nil"/>
              <w:right w:val="nil"/>
            </w:tcBorders>
            <w:shd w:val="clear" w:color="auto" w:fill="auto"/>
            <w:vAlign w:val="center"/>
            <w:hideMark/>
          </w:tcPr>
          <w:p w14:paraId="71DDCDD6" w14:textId="77777777" w:rsidR="00B9311E" w:rsidRPr="00BD77D8" w:rsidRDefault="00B9311E" w:rsidP="00B9311E">
            <w:pPr>
              <w:spacing w:after="0" w:line="240" w:lineRule="auto"/>
              <w:rPr>
                <w:sz w:val="18"/>
                <w:szCs w:val="18"/>
              </w:rPr>
            </w:pPr>
            <w:r w:rsidRPr="00BD77D8">
              <w:rPr>
                <w:sz w:val="18"/>
                <w:szCs w:val="18"/>
              </w:rPr>
              <w:t xml:space="preserve"> Annual leave levy payable </w:t>
            </w:r>
          </w:p>
        </w:tc>
        <w:tc>
          <w:tcPr>
            <w:tcW w:w="1150" w:type="dxa"/>
            <w:tcBorders>
              <w:top w:val="nil"/>
              <w:left w:val="nil"/>
              <w:bottom w:val="nil"/>
              <w:right w:val="nil"/>
            </w:tcBorders>
            <w:shd w:val="clear" w:color="auto" w:fill="auto"/>
            <w:vAlign w:val="center"/>
            <w:hideMark/>
          </w:tcPr>
          <w:p w14:paraId="652E7A29" w14:textId="77777777" w:rsidR="00B9311E" w:rsidRPr="00BD77D8" w:rsidRDefault="00B9311E" w:rsidP="00B9311E">
            <w:pPr>
              <w:spacing w:after="0" w:line="240" w:lineRule="auto"/>
              <w:jc w:val="right"/>
              <w:rPr>
                <w:sz w:val="18"/>
                <w:szCs w:val="18"/>
              </w:rPr>
            </w:pPr>
            <w:r w:rsidRPr="00BD77D8">
              <w:rPr>
                <w:sz w:val="18"/>
                <w:szCs w:val="18"/>
              </w:rPr>
              <w:t xml:space="preserve">     4,862 </w:t>
            </w:r>
          </w:p>
        </w:tc>
        <w:tc>
          <w:tcPr>
            <w:tcW w:w="1008" w:type="dxa"/>
            <w:tcBorders>
              <w:top w:val="nil"/>
              <w:left w:val="nil"/>
              <w:bottom w:val="nil"/>
              <w:right w:val="nil"/>
            </w:tcBorders>
            <w:shd w:val="clear" w:color="auto" w:fill="auto"/>
            <w:vAlign w:val="center"/>
            <w:hideMark/>
          </w:tcPr>
          <w:p w14:paraId="431154A1" w14:textId="77777777" w:rsidR="00B9311E" w:rsidRPr="00BD77D8" w:rsidRDefault="00B9311E" w:rsidP="00B9311E">
            <w:pPr>
              <w:spacing w:after="0" w:line="240" w:lineRule="auto"/>
              <w:jc w:val="right"/>
              <w:rPr>
                <w:sz w:val="18"/>
                <w:szCs w:val="18"/>
              </w:rPr>
            </w:pPr>
            <w:r w:rsidRPr="00BD77D8">
              <w:rPr>
                <w:sz w:val="18"/>
                <w:szCs w:val="18"/>
              </w:rPr>
              <w:t xml:space="preserve">       4,759 </w:t>
            </w:r>
          </w:p>
        </w:tc>
      </w:tr>
      <w:tr w:rsidR="00BD77D8" w:rsidRPr="00BD77D8" w14:paraId="7C3B5A2F" w14:textId="77777777" w:rsidTr="003057FB">
        <w:trPr>
          <w:trHeight w:val="267"/>
        </w:trPr>
        <w:tc>
          <w:tcPr>
            <w:tcW w:w="8048" w:type="dxa"/>
            <w:tcBorders>
              <w:top w:val="nil"/>
              <w:left w:val="nil"/>
              <w:bottom w:val="nil"/>
              <w:right w:val="nil"/>
            </w:tcBorders>
            <w:shd w:val="clear" w:color="auto" w:fill="auto"/>
            <w:vAlign w:val="center"/>
            <w:hideMark/>
          </w:tcPr>
          <w:p w14:paraId="15993ECD" w14:textId="77777777" w:rsidR="00B9311E" w:rsidRPr="00BD77D8" w:rsidRDefault="00B9311E" w:rsidP="00B9311E">
            <w:pPr>
              <w:spacing w:after="0" w:line="240" w:lineRule="auto"/>
              <w:rPr>
                <w:sz w:val="18"/>
                <w:szCs w:val="18"/>
              </w:rPr>
            </w:pPr>
            <w:r w:rsidRPr="00BD77D8">
              <w:rPr>
                <w:sz w:val="18"/>
                <w:szCs w:val="18"/>
              </w:rPr>
              <w:t xml:space="preserve"> Long service leave levy payable </w:t>
            </w:r>
          </w:p>
        </w:tc>
        <w:tc>
          <w:tcPr>
            <w:tcW w:w="1150" w:type="dxa"/>
            <w:tcBorders>
              <w:top w:val="nil"/>
              <w:left w:val="nil"/>
              <w:bottom w:val="nil"/>
              <w:right w:val="nil"/>
            </w:tcBorders>
            <w:shd w:val="clear" w:color="auto" w:fill="auto"/>
            <w:vAlign w:val="center"/>
            <w:hideMark/>
          </w:tcPr>
          <w:p w14:paraId="330AF9D1" w14:textId="77777777" w:rsidR="00B9311E" w:rsidRPr="00BD77D8" w:rsidRDefault="00B9311E" w:rsidP="00B9311E">
            <w:pPr>
              <w:spacing w:after="0" w:line="240" w:lineRule="auto"/>
              <w:jc w:val="right"/>
              <w:rPr>
                <w:sz w:val="18"/>
                <w:szCs w:val="18"/>
              </w:rPr>
            </w:pPr>
            <w:r w:rsidRPr="00BD77D8">
              <w:rPr>
                <w:sz w:val="18"/>
                <w:szCs w:val="18"/>
              </w:rPr>
              <w:t xml:space="preserve">     1,239 </w:t>
            </w:r>
          </w:p>
        </w:tc>
        <w:tc>
          <w:tcPr>
            <w:tcW w:w="1008" w:type="dxa"/>
            <w:tcBorders>
              <w:top w:val="nil"/>
              <w:left w:val="nil"/>
              <w:bottom w:val="nil"/>
              <w:right w:val="nil"/>
            </w:tcBorders>
            <w:shd w:val="clear" w:color="auto" w:fill="auto"/>
            <w:vAlign w:val="center"/>
            <w:hideMark/>
          </w:tcPr>
          <w:p w14:paraId="471E9B5F" w14:textId="77777777" w:rsidR="00B9311E" w:rsidRPr="00BD77D8" w:rsidRDefault="00B9311E" w:rsidP="00B9311E">
            <w:pPr>
              <w:spacing w:after="0" w:line="240" w:lineRule="auto"/>
              <w:jc w:val="right"/>
              <w:rPr>
                <w:sz w:val="18"/>
                <w:szCs w:val="18"/>
              </w:rPr>
            </w:pPr>
            <w:r w:rsidRPr="00BD77D8">
              <w:rPr>
                <w:sz w:val="18"/>
                <w:szCs w:val="18"/>
              </w:rPr>
              <w:t xml:space="preserve">       1,109 </w:t>
            </w:r>
          </w:p>
        </w:tc>
      </w:tr>
      <w:tr w:rsidR="00BD77D8" w:rsidRPr="00BD77D8" w14:paraId="4D825316" w14:textId="77777777" w:rsidTr="003057FB">
        <w:trPr>
          <w:trHeight w:val="267"/>
        </w:trPr>
        <w:tc>
          <w:tcPr>
            <w:tcW w:w="8048" w:type="dxa"/>
            <w:tcBorders>
              <w:top w:val="nil"/>
              <w:left w:val="nil"/>
              <w:bottom w:val="nil"/>
              <w:right w:val="nil"/>
            </w:tcBorders>
            <w:shd w:val="clear" w:color="auto" w:fill="auto"/>
            <w:vAlign w:val="center"/>
            <w:hideMark/>
          </w:tcPr>
          <w:p w14:paraId="0BFFB2A4"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1150" w:type="dxa"/>
            <w:tcBorders>
              <w:top w:val="single" w:sz="4" w:space="0" w:color="auto"/>
              <w:left w:val="nil"/>
              <w:bottom w:val="single" w:sz="4" w:space="0" w:color="auto"/>
              <w:right w:val="nil"/>
            </w:tcBorders>
            <w:shd w:val="clear" w:color="auto" w:fill="auto"/>
            <w:vAlign w:val="center"/>
            <w:hideMark/>
          </w:tcPr>
          <w:p w14:paraId="6B74F0E7" w14:textId="77777777" w:rsidR="00B9311E" w:rsidRPr="00BD77D8" w:rsidRDefault="00B9311E" w:rsidP="00B9311E">
            <w:pPr>
              <w:spacing w:after="0" w:line="240" w:lineRule="auto"/>
              <w:jc w:val="right"/>
              <w:rPr>
                <w:b/>
                <w:bCs/>
                <w:sz w:val="18"/>
                <w:szCs w:val="18"/>
              </w:rPr>
            </w:pPr>
            <w:r w:rsidRPr="00BD77D8">
              <w:rPr>
                <w:b/>
                <w:bCs/>
                <w:sz w:val="18"/>
                <w:szCs w:val="18"/>
              </w:rPr>
              <w:t xml:space="preserve">     9,261 </w:t>
            </w:r>
          </w:p>
        </w:tc>
        <w:tc>
          <w:tcPr>
            <w:tcW w:w="1008" w:type="dxa"/>
            <w:tcBorders>
              <w:top w:val="single" w:sz="4" w:space="0" w:color="auto"/>
              <w:left w:val="nil"/>
              <w:bottom w:val="single" w:sz="4" w:space="0" w:color="auto"/>
              <w:right w:val="nil"/>
            </w:tcBorders>
            <w:shd w:val="clear" w:color="auto" w:fill="auto"/>
            <w:vAlign w:val="center"/>
            <w:hideMark/>
          </w:tcPr>
          <w:p w14:paraId="004AB805" w14:textId="77777777" w:rsidR="00B9311E" w:rsidRPr="00BD77D8" w:rsidRDefault="00B9311E" w:rsidP="00B9311E">
            <w:pPr>
              <w:spacing w:after="0" w:line="240" w:lineRule="auto"/>
              <w:jc w:val="right"/>
              <w:rPr>
                <w:b/>
                <w:bCs/>
                <w:sz w:val="18"/>
                <w:szCs w:val="18"/>
              </w:rPr>
            </w:pPr>
            <w:r w:rsidRPr="00BD77D8">
              <w:rPr>
                <w:b/>
                <w:bCs/>
                <w:sz w:val="18"/>
                <w:szCs w:val="18"/>
              </w:rPr>
              <w:t xml:space="preserve">       8,811 </w:t>
            </w:r>
          </w:p>
        </w:tc>
      </w:tr>
    </w:tbl>
    <w:p w14:paraId="1084C853" w14:textId="77777777" w:rsidR="00B9311E" w:rsidRPr="00BD77D8" w:rsidRDefault="00B9311E" w:rsidP="006226A9">
      <w:pPr>
        <w:spacing w:before="360" w:line="180" w:lineRule="atLeast"/>
        <w:textAlignment w:val="baseline"/>
        <w:rPr>
          <w:rFonts w:eastAsia="Arial"/>
          <w:b/>
          <w:bCs/>
          <w:sz w:val="18"/>
          <w:szCs w:val="18"/>
          <w:lang w:eastAsia="en-US"/>
        </w:rPr>
      </w:pPr>
      <w:r w:rsidRPr="00BD77D8">
        <w:rPr>
          <w:rFonts w:eastAsia="Arial"/>
          <w:b/>
          <w:bCs/>
          <w:sz w:val="18"/>
          <w:szCs w:val="18"/>
          <w:lang w:eastAsia="en-US"/>
        </w:rPr>
        <w:t>Accounting policy - Accrued Employee Benefits</w:t>
      </w:r>
    </w:p>
    <w:p w14:paraId="690812A3" w14:textId="77777777" w:rsidR="00B9311E" w:rsidRPr="00BD77D8" w:rsidRDefault="00B9311E" w:rsidP="00B9311E">
      <w:pPr>
        <w:spacing w:after="0" w:line="180" w:lineRule="atLeast"/>
        <w:ind w:right="72"/>
        <w:textAlignment w:val="baseline"/>
        <w:rPr>
          <w:rFonts w:eastAsia="Arial"/>
          <w:b/>
          <w:sz w:val="18"/>
          <w:szCs w:val="18"/>
          <w:lang w:eastAsia="en-US"/>
        </w:rPr>
      </w:pPr>
      <w:r w:rsidRPr="00BD77D8">
        <w:rPr>
          <w:rFonts w:eastAsia="Arial"/>
          <w:sz w:val="18"/>
          <w:szCs w:val="18"/>
          <w:lang w:eastAsia="en-US"/>
        </w:rPr>
        <w:t xml:space="preserve">No provision for annual leave or long service leave is recognised in the department's financial statements as the liability is held </w:t>
      </w:r>
    </w:p>
    <w:p w14:paraId="75BFE97A" w14:textId="77777777" w:rsidR="00B9311E" w:rsidRPr="00BD77D8" w:rsidRDefault="00B9311E" w:rsidP="00B9311E">
      <w:pPr>
        <w:spacing w:after="0" w:line="180" w:lineRule="atLeast"/>
        <w:ind w:right="72"/>
        <w:textAlignment w:val="baseline"/>
        <w:rPr>
          <w:rFonts w:eastAsia="Arial"/>
          <w:b/>
          <w:i/>
          <w:iCs/>
          <w:sz w:val="18"/>
          <w:szCs w:val="18"/>
          <w:lang w:eastAsia="en-US"/>
        </w:rPr>
      </w:pPr>
      <w:r w:rsidRPr="00BD77D8">
        <w:rPr>
          <w:rFonts w:eastAsia="Arial"/>
          <w:sz w:val="18"/>
          <w:szCs w:val="18"/>
          <w:lang w:eastAsia="en-US"/>
        </w:rPr>
        <w:t xml:space="preserve">on a whole-of-government basis and reported in those financial statements pursuant to AASB 1049 </w:t>
      </w:r>
      <w:r w:rsidRPr="00BD77D8">
        <w:rPr>
          <w:rFonts w:eastAsia="Arial"/>
          <w:i/>
          <w:iCs/>
          <w:sz w:val="18"/>
          <w:szCs w:val="18"/>
          <w:lang w:eastAsia="en-US"/>
        </w:rPr>
        <w:t xml:space="preserve">Whole of Government and </w:t>
      </w:r>
    </w:p>
    <w:p w14:paraId="5E6CED99" w14:textId="77777777" w:rsidR="00B9311E" w:rsidRPr="00BD77D8" w:rsidRDefault="00B9311E" w:rsidP="006226A9">
      <w:pPr>
        <w:spacing w:line="180" w:lineRule="atLeast"/>
        <w:ind w:right="72"/>
        <w:textAlignment w:val="baseline"/>
        <w:rPr>
          <w:rFonts w:eastAsia="Arial"/>
          <w:b/>
          <w:i/>
          <w:iCs/>
          <w:sz w:val="18"/>
          <w:szCs w:val="18"/>
          <w:lang w:eastAsia="en-US"/>
        </w:rPr>
      </w:pPr>
      <w:r w:rsidRPr="00BD77D8">
        <w:rPr>
          <w:rFonts w:eastAsia="Arial"/>
          <w:i/>
          <w:iCs/>
          <w:sz w:val="18"/>
          <w:szCs w:val="18"/>
          <w:lang w:eastAsia="en-US"/>
        </w:rPr>
        <w:t>General Government Sector Financial Reporting.</w:t>
      </w:r>
    </w:p>
    <w:p w14:paraId="27F762FA" w14:textId="77777777" w:rsidR="00B9311E" w:rsidRPr="00BD77D8" w:rsidRDefault="00B9311E" w:rsidP="009D387F">
      <w:pPr>
        <w:rPr>
          <w:rFonts w:eastAsia="Arial"/>
          <w:b/>
          <w:bCs/>
          <w:sz w:val="22"/>
          <w:szCs w:val="22"/>
          <w:lang w:eastAsia="en-US"/>
        </w:rPr>
      </w:pPr>
      <w:bookmarkStart w:id="186" w:name="_Toc111494815"/>
      <w:bookmarkStart w:id="187" w:name="_Toc111540687"/>
      <w:bookmarkStart w:id="188" w:name="_Toc111559250"/>
      <w:bookmarkStart w:id="189" w:name="_Toc113196522"/>
      <w:bookmarkStart w:id="190" w:name="_Toc113196870"/>
      <w:bookmarkStart w:id="191" w:name="_Toc113262000"/>
      <w:bookmarkStart w:id="192" w:name="_Toc113349154"/>
      <w:bookmarkStart w:id="193" w:name="_Toc113358079"/>
      <w:r w:rsidRPr="00BD77D8">
        <w:rPr>
          <w:rFonts w:eastAsia="Arial"/>
          <w:b/>
          <w:bCs/>
          <w:sz w:val="22"/>
          <w:szCs w:val="22"/>
          <w:lang w:eastAsia="en-US"/>
        </w:rPr>
        <w:t>C8 Equity</w:t>
      </w:r>
      <w:bookmarkEnd w:id="186"/>
      <w:bookmarkEnd w:id="187"/>
      <w:bookmarkEnd w:id="188"/>
      <w:bookmarkEnd w:id="189"/>
      <w:bookmarkEnd w:id="190"/>
      <w:bookmarkEnd w:id="191"/>
      <w:bookmarkEnd w:id="192"/>
      <w:bookmarkEnd w:id="193"/>
    </w:p>
    <w:p w14:paraId="7F2AF802" w14:textId="77777777" w:rsidR="006226A9" w:rsidRPr="00BD77D8" w:rsidRDefault="00B9311E" w:rsidP="006226A9">
      <w:pPr>
        <w:spacing w:line="180" w:lineRule="atLeast"/>
        <w:textAlignment w:val="baseline"/>
        <w:rPr>
          <w:rFonts w:eastAsia="Arial"/>
          <w:b/>
          <w:bCs/>
          <w:sz w:val="18"/>
          <w:szCs w:val="18"/>
          <w:lang w:eastAsia="en-US"/>
        </w:rPr>
      </w:pPr>
      <w:r w:rsidRPr="00BD77D8">
        <w:rPr>
          <w:rFonts w:eastAsia="Arial"/>
          <w:b/>
          <w:bCs/>
          <w:sz w:val="18"/>
          <w:szCs w:val="18"/>
          <w:lang w:eastAsia="en-US"/>
        </w:rPr>
        <w:t xml:space="preserve">C8-1 Contributed Equity </w:t>
      </w:r>
    </w:p>
    <w:p w14:paraId="061C84F8" w14:textId="761ADA05" w:rsidR="00B9311E" w:rsidRPr="00BD77D8" w:rsidRDefault="00B9311E" w:rsidP="006226A9">
      <w:pPr>
        <w:spacing w:line="180" w:lineRule="atLeast"/>
        <w:textAlignment w:val="baseline"/>
        <w:rPr>
          <w:rFonts w:eastAsia="PMingLiU"/>
          <w:b/>
          <w:bCs/>
          <w:sz w:val="18"/>
          <w:szCs w:val="22"/>
          <w:lang w:eastAsia="en-US"/>
        </w:rPr>
      </w:pPr>
      <w:r w:rsidRPr="00BD77D8">
        <w:rPr>
          <w:rFonts w:eastAsia="PMingLiU"/>
          <w:sz w:val="18"/>
          <w:szCs w:val="22"/>
          <w:lang w:eastAsia="en-US"/>
        </w:rPr>
        <w:t>Interpretation 1038</w:t>
      </w:r>
      <w:r w:rsidRPr="00BD77D8">
        <w:rPr>
          <w:rFonts w:eastAsia="PMingLiU"/>
          <w:i/>
          <w:iCs/>
          <w:sz w:val="18"/>
          <w:szCs w:val="22"/>
          <w:lang w:eastAsia="en-US"/>
        </w:rPr>
        <w:t xml:space="preserve"> Contributions by Owners Made to Wholly-Owned Public Sector Entities</w:t>
      </w:r>
      <w:r w:rsidRPr="00BD77D8">
        <w:rPr>
          <w:rFonts w:eastAsia="PMingLiU"/>
          <w:sz w:val="18"/>
          <w:szCs w:val="22"/>
          <w:lang w:eastAsia="en-US"/>
        </w:rPr>
        <w:t xml:space="preserve"> specifies the principles for recognising contributed equity by the department. The following items are recognised as contributed equity by the department during the reporting and comparative years:</w:t>
      </w:r>
    </w:p>
    <w:p w14:paraId="3A3BB052" w14:textId="77777777" w:rsidR="00B9311E" w:rsidRPr="00BD77D8" w:rsidRDefault="00B9311E" w:rsidP="003954C5">
      <w:pPr>
        <w:numPr>
          <w:ilvl w:val="0"/>
          <w:numId w:val="78"/>
        </w:numPr>
        <w:spacing w:after="0" w:line="199" w:lineRule="exact"/>
        <w:contextualSpacing/>
        <w:textAlignment w:val="baseline"/>
        <w:rPr>
          <w:rFonts w:eastAsia="Arial"/>
          <w:b/>
          <w:sz w:val="18"/>
          <w:szCs w:val="18"/>
          <w:lang w:eastAsia="en-US"/>
        </w:rPr>
      </w:pPr>
      <w:r w:rsidRPr="00BD77D8">
        <w:rPr>
          <w:rFonts w:eastAsia="Arial"/>
          <w:sz w:val="18"/>
          <w:szCs w:val="18"/>
          <w:lang w:eastAsia="en-US"/>
        </w:rPr>
        <w:t xml:space="preserve">Appropriations for equity adjustments (refer Note C8-2); and </w:t>
      </w:r>
    </w:p>
    <w:p w14:paraId="1EE81B7F" w14:textId="77777777" w:rsidR="00B9311E" w:rsidRPr="00BD77D8" w:rsidRDefault="00B9311E" w:rsidP="003954C5">
      <w:pPr>
        <w:numPr>
          <w:ilvl w:val="0"/>
          <w:numId w:val="78"/>
        </w:numPr>
        <w:spacing w:after="0" w:line="199" w:lineRule="exact"/>
        <w:contextualSpacing/>
        <w:textAlignment w:val="baseline"/>
        <w:rPr>
          <w:rFonts w:eastAsia="Arial"/>
          <w:b/>
          <w:sz w:val="18"/>
          <w:szCs w:val="18"/>
          <w:lang w:eastAsia="en-US"/>
        </w:rPr>
      </w:pPr>
      <w:r w:rsidRPr="00BD77D8">
        <w:rPr>
          <w:rFonts w:eastAsia="Arial"/>
          <w:sz w:val="18"/>
          <w:szCs w:val="18"/>
          <w:lang w:eastAsia="en-US"/>
        </w:rPr>
        <w:t xml:space="preserve">Non-reciprocal transfers of assets and liabilities between Wholly-Owned Queensland State Public Sector entities as a result </w:t>
      </w:r>
    </w:p>
    <w:p w14:paraId="4973AB95" w14:textId="77777777" w:rsidR="00B9311E" w:rsidRPr="00BD77D8" w:rsidRDefault="00B9311E" w:rsidP="00B9311E">
      <w:pPr>
        <w:spacing w:after="0" w:line="199" w:lineRule="exact"/>
        <w:ind w:left="360"/>
        <w:contextualSpacing/>
        <w:textAlignment w:val="baseline"/>
        <w:rPr>
          <w:rFonts w:eastAsia="Arial"/>
          <w:b/>
          <w:sz w:val="18"/>
          <w:szCs w:val="18"/>
          <w:lang w:eastAsia="en-US"/>
        </w:rPr>
      </w:pPr>
      <w:r w:rsidRPr="00BD77D8">
        <w:rPr>
          <w:rFonts w:eastAsia="Arial"/>
          <w:sz w:val="18"/>
          <w:szCs w:val="18"/>
          <w:lang w:eastAsia="en-US"/>
        </w:rPr>
        <w:t>of Machinery-of-Government changes (refer Note A4).</w:t>
      </w:r>
    </w:p>
    <w:p w14:paraId="05430CD3" w14:textId="424F00DE" w:rsidR="00B9311E" w:rsidRPr="00BD77D8" w:rsidRDefault="0040288C" w:rsidP="00C3515C">
      <w:pPr>
        <w:spacing w:before="1080" w:after="0" w:line="240" w:lineRule="auto"/>
        <w:rPr>
          <w:rFonts w:eastAsia="Arial"/>
          <w:bCs/>
          <w:sz w:val="18"/>
          <w:szCs w:val="18"/>
          <w:lang w:eastAsia="en-US"/>
        </w:rPr>
      </w:pP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t>Page 29 of 45</w:t>
      </w:r>
      <w:r w:rsidR="00B9311E" w:rsidRPr="00BD77D8">
        <w:rPr>
          <w:rFonts w:eastAsia="Arial"/>
          <w:sz w:val="18"/>
          <w:szCs w:val="18"/>
          <w:lang w:eastAsia="en-US"/>
        </w:rPr>
        <w:br w:type="page"/>
      </w:r>
    </w:p>
    <w:p w14:paraId="784FA31C"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22316CAC"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5D22D3EE"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1C293C50"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6F024A82" w14:textId="77777777" w:rsidR="00B9311E" w:rsidRPr="00BD77D8" w:rsidRDefault="00B9311E" w:rsidP="00E47A6E">
      <w:pPr>
        <w:spacing w:before="240" w:after="0" w:line="180" w:lineRule="atLeast"/>
        <w:textAlignment w:val="baseline"/>
        <w:rPr>
          <w:rFonts w:eastAsia="Arial"/>
          <w:b/>
          <w:bCs/>
          <w:sz w:val="22"/>
          <w:szCs w:val="22"/>
          <w:lang w:eastAsia="en-US"/>
        </w:rPr>
      </w:pPr>
      <w:r w:rsidRPr="00BD77D8">
        <w:rPr>
          <w:rFonts w:eastAsia="Arial"/>
          <w:b/>
          <w:bCs/>
          <w:sz w:val="22"/>
          <w:szCs w:val="22"/>
          <w:lang w:eastAsia="en-US"/>
        </w:rPr>
        <w:t>C8 Equity (continued)</w:t>
      </w:r>
    </w:p>
    <w:p w14:paraId="571B9C66" w14:textId="77777777" w:rsidR="00B9311E" w:rsidRPr="00BD77D8" w:rsidRDefault="00B9311E" w:rsidP="006226A9">
      <w:pPr>
        <w:spacing w:before="200" w:after="0" w:line="180" w:lineRule="atLeast"/>
        <w:textAlignment w:val="baseline"/>
        <w:rPr>
          <w:rFonts w:eastAsia="PMingLiU"/>
          <w:b/>
          <w:bCs/>
          <w:sz w:val="18"/>
          <w:szCs w:val="22"/>
          <w:lang w:val="en-US" w:eastAsia="en-US"/>
        </w:rPr>
      </w:pPr>
      <w:bookmarkStart w:id="194" w:name="_Hlk110431092"/>
      <w:r w:rsidRPr="00BD77D8">
        <w:rPr>
          <w:rFonts w:eastAsia="Arial"/>
          <w:b/>
          <w:bCs/>
          <w:sz w:val="18"/>
          <w:szCs w:val="18"/>
          <w:lang w:eastAsia="en-US"/>
        </w:rPr>
        <w:t>C8-2 Appropriations Recognised in Equity</w:t>
      </w:r>
    </w:p>
    <w:tbl>
      <w:tblPr>
        <w:tblW w:w="10315" w:type="dxa"/>
        <w:tblCellMar>
          <w:left w:w="28" w:type="dxa"/>
          <w:right w:w="0" w:type="dxa"/>
        </w:tblCellMar>
        <w:tblLook w:val="04A0" w:firstRow="1" w:lastRow="0" w:firstColumn="1" w:lastColumn="0" w:noHBand="0" w:noVBand="1"/>
      </w:tblPr>
      <w:tblGrid>
        <w:gridCol w:w="8385"/>
        <w:gridCol w:w="965"/>
        <w:gridCol w:w="965"/>
      </w:tblGrid>
      <w:tr w:rsidR="00BD77D8" w:rsidRPr="00BD77D8" w14:paraId="623D9353" w14:textId="77777777" w:rsidTr="003057FB">
        <w:trPr>
          <w:trHeight w:val="267"/>
        </w:trPr>
        <w:tc>
          <w:tcPr>
            <w:tcW w:w="0" w:type="auto"/>
            <w:tcBorders>
              <w:top w:val="nil"/>
              <w:left w:val="nil"/>
              <w:bottom w:val="nil"/>
              <w:right w:val="nil"/>
            </w:tcBorders>
            <w:shd w:val="clear" w:color="auto" w:fill="auto"/>
            <w:vAlign w:val="center"/>
            <w:hideMark/>
          </w:tcPr>
          <w:p w14:paraId="594BCAEC" w14:textId="77777777" w:rsidR="00B9311E" w:rsidRPr="00BD77D8" w:rsidRDefault="00B9311E" w:rsidP="00B9311E">
            <w:pPr>
              <w:spacing w:after="0" w:line="240" w:lineRule="auto"/>
              <w:rPr>
                <w:rFonts w:ascii="Times New Roman" w:hAnsi="Times New Roman" w:cs="Times New Roman"/>
                <w:b/>
                <w:bCs/>
                <w:sz w:val="24"/>
                <w:szCs w:val="24"/>
              </w:rPr>
            </w:pPr>
          </w:p>
        </w:tc>
        <w:tc>
          <w:tcPr>
            <w:tcW w:w="0" w:type="auto"/>
            <w:tcBorders>
              <w:top w:val="nil"/>
              <w:left w:val="nil"/>
              <w:bottom w:val="nil"/>
              <w:right w:val="nil"/>
            </w:tcBorders>
            <w:shd w:val="clear" w:color="auto" w:fill="auto"/>
            <w:noWrap/>
            <w:vAlign w:val="bottom"/>
            <w:hideMark/>
          </w:tcPr>
          <w:p w14:paraId="4BB49FB8"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0" w:type="auto"/>
            <w:tcBorders>
              <w:top w:val="nil"/>
              <w:left w:val="nil"/>
              <w:bottom w:val="nil"/>
              <w:right w:val="nil"/>
            </w:tcBorders>
            <w:shd w:val="clear" w:color="auto" w:fill="auto"/>
            <w:noWrap/>
            <w:vAlign w:val="bottom"/>
            <w:hideMark/>
          </w:tcPr>
          <w:p w14:paraId="6B602378"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2A94144A" w14:textId="77777777" w:rsidTr="003057FB">
        <w:trPr>
          <w:trHeight w:val="267"/>
        </w:trPr>
        <w:tc>
          <w:tcPr>
            <w:tcW w:w="0" w:type="auto"/>
            <w:tcBorders>
              <w:top w:val="nil"/>
              <w:left w:val="nil"/>
              <w:bottom w:val="nil"/>
              <w:right w:val="nil"/>
            </w:tcBorders>
            <w:shd w:val="clear" w:color="auto" w:fill="auto"/>
            <w:vAlign w:val="center"/>
            <w:hideMark/>
          </w:tcPr>
          <w:p w14:paraId="6F49C42C" w14:textId="77777777" w:rsidR="00B9311E" w:rsidRPr="00BD77D8" w:rsidRDefault="00B9311E" w:rsidP="00B9311E">
            <w:pPr>
              <w:spacing w:after="0" w:line="240" w:lineRule="auto"/>
              <w:rPr>
                <w:b/>
                <w:bCs/>
                <w:sz w:val="18"/>
                <w:szCs w:val="18"/>
              </w:rPr>
            </w:pPr>
            <w:r w:rsidRPr="00BD77D8">
              <w:rPr>
                <w:b/>
                <w:bCs/>
                <w:sz w:val="18"/>
                <w:szCs w:val="18"/>
              </w:rPr>
              <w:t xml:space="preserve"> Reconciliation of Payments from Consolidated Fund to Equity Adjustment </w:t>
            </w:r>
          </w:p>
        </w:tc>
        <w:tc>
          <w:tcPr>
            <w:tcW w:w="0" w:type="auto"/>
            <w:tcBorders>
              <w:top w:val="nil"/>
              <w:left w:val="nil"/>
              <w:bottom w:val="single" w:sz="4" w:space="0" w:color="auto"/>
              <w:right w:val="nil"/>
            </w:tcBorders>
            <w:shd w:val="clear" w:color="auto" w:fill="auto"/>
            <w:vAlign w:val="center"/>
            <w:hideMark/>
          </w:tcPr>
          <w:p w14:paraId="7BF7B0D6"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vAlign w:val="center"/>
            <w:hideMark/>
          </w:tcPr>
          <w:p w14:paraId="6847EE76"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0CB45DBE" w14:textId="77777777" w:rsidTr="003057FB">
        <w:trPr>
          <w:trHeight w:val="267"/>
        </w:trPr>
        <w:tc>
          <w:tcPr>
            <w:tcW w:w="0" w:type="auto"/>
            <w:tcBorders>
              <w:top w:val="nil"/>
              <w:left w:val="nil"/>
              <w:bottom w:val="nil"/>
              <w:right w:val="nil"/>
            </w:tcBorders>
            <w:shd w:val="clear" w:color="auto" w:fill="auto"/>
            <w:vAlign w:val="center"/>
            <w:hideMark/>
          </w:tcPr>
          <w:p w14:paraId="0DDB122F" w14:textId="77777777" w:rsidR="00B9311E" w:rsidRPr="00BD77D8" w:rsidRDefault="00B9311E" w:rsidP="00B9311E">
            <w:pPr>
              <w:spacing w:after="0" w:line="240" w:lineRule="auto"/>
              <w:rPr>
                <w:sz w:val="18"/>
                <w:szCs w:val="18"/>
              </w:rPr>
            </w:pPr>
            <w:r w:rsidRPr="00BD77D8">
              <w:rPr>
                <w:sz w:val="18"/>
                <w:szCs w:val="18"/>
              </w:rPr>
              <w:t xml:space="preserve"> Budgeted equity adjustment appropriation </w:t>
            </w:r>
          </w:p>
        </w:tc>
        <w:tc>
          <w:tcPr>
            <w:tcW w:w="0" w:type="auto"/>
            <w:tcBorders>
              <w:top w:val="nil"/>
              <w:left w:val="nil"/>
              <w:bottom w:val="nil"/>
              <w:right w:val="nil"/>
            </w:tcBorders>
            <w:shd w:val="clear" w:color="auto" w:fill="auto"/>
            <w:vAlign w:val="center"/>
            <w:hideMark/>
          </w:tcPr>
          <w:p w14:paraId="28554A80" w14:textId="77777777" w:rsidR="00B9311E" w:rsidRPr="00BD77D8" w:rsidRDefault="00B9311E" w:rsidP="00B9311E">
            <w:pPr>
              <w:spacing w:after="0" w:line="240" w:lineRule="auto"/>
              <w:jc w:val="right"/>
              <w:rPr>
                <w:sz w:val="18"/>
                <w:szCs w:val="18"/>
              </w:rPr>
            </w:pPr>
            <w:r w:rsidRPr="00BD77D8">
              <w:rPr>
                <w:sz w:val="18"/>
                <w:szCs w:val="18"/>
              </w:rPr>
              <w:t xml:space="preserve">    6,670 </w:t>
            </w:r>
          </w:p>
        </w:tc>
        <w:tc>
          <w:tcPr>
            <w:tcW w:w="0" w:type="auto"/>
            <w:tcBorders>
              <w:top w:val="nil"/>
              <w:left w:val="nil"/>
              <w:bottom w:val="nil"/>
              <w:right w:val="nil"/>
            </w:tcBorders>
            <w:shd w:val="clear" w:color="auto" w:fill="auto"/>
            <w:vAlign w:val="center"/>
            <w:hideMark/>
          </w:tcPr>
          <w:p w14:paraId="6B17D788" w14:textId="77777777" w:rsidR="00B9311E" w:rsidRPr="00BD77D8" w:rsidRDefault="00B9311E" w:rsidP="00B9311E">
            <w:pPr>
              <w:spacing w:after="0" w:line="240" w:lineRule="auto"/>
              <w:jc w:val="right"/>
              <w:rPr>
                <w:sz w:val="18"/>
                <w:szCs w:val="18"/>
              </w:rPr>
            </w:pPr>
            <w:r w:rsidRPr="00BD77D8">
              <w:rPr>
                <w:sz w:val="18"/>
                <w:szCs w:val="18"/>
              </w:rPr>
              <w:t xml:space="preserve">    9,470 </w:t>
            </w:r>
          </w:p>
        </w:tc>
      </w:tr>
      <w:tr w:rsidR="00BD77D8" w:rsidRPr="00BD77D8" w14:paraId="77C841F9" w14:textId="77777777" w:rsidTr="003057FB">
        <w:trPr>
          <w:trHeight w:val="267"/>
        </w:trPr>
        <w:tc>
          <w:tcPr>
            <w:tcW w:w="0" w:type="auto"/>
            <w:tcBorders>
              <w:top w:val="nil"/>
              <w:left w:val="nil"/>
              <w:bottom w:val="nil"/>
              <w:right w:val="nil"/>
            </w:tcBorders>
            <w:shd w:val="clear" w:color="auto" w:fill="auto"/>
            <w:vAlign w:val="center"/>
            <w:hideMark/>
          </w:tcPr>
          <w:p w14:paraId="7E7CF3B3" w14:textId="77777777" w:rsidR="00B9311E" w:rsidRPr="00BD77D8" w:rsidRDefault="00B9311E" w:rsidP="00B9311E">
            <w:pPr>
              <w:spacing w:after="0" w:line="240" w:lineRule="auto"/>
              <w:rPr>
                <w:sz w:val="18"/>
                <w:szCs w:val="18"/>
              </w:rPr>
            </w:pPr>
            <w:r w:rsidRPr="00BD77D8">
              <w:rPr>
                <w:sz w:val="18"/>
                <w:szCs w:val="18"/>
              </w:rPr>
              <w:t xml:space="preserve"> Lapsed Appropriation s29 </w:t>
            </w:r>
          </w:p>
        </w:tc>
        <w:tc>
          <w:tcPr>
            <w:tcW w:w="0" w:type="auto"/>
            <w:tcBorders>
              <w:top w:val="nil"/>
              <w:left w:val="nil"/>
              <w:bottom w:val="nil"/>
              <w:right w:val="nil"/>
            </w:tcBorders>
            <w:shd w:val="clear" w:color="auto" w:fill="auto"/>
            <w:vAlign w:val="center"/>
            <w:hideMark/>
          </w:tcPr>
          <w:p w14:paraId="1A9E0447" w14:textId="77777777" w:rsidR="00B9311E" w:rsidRPr="00BD77D8" w:rsidRDefault="00B9311E" w:rsidP="00B9311E">
            <w:pPr>
              <w:spacing w:after="0" w:line="240" w:lineRule="auto"/>
              <w:jc w:val="right"/>
              <w:rPr>
                <w:sz w:val="18"/>
                <w:szCs w:val="18"/>
              </w:rPr>
            </w:pPr>
            <w:r w:rsidRPr="00BD77D8">
              <w:rPr>
                <w:sz w:val="18"/>
                <w:szCs w:val="18"/>
              </w:rPr>
              <w:t xml:space="preserve">  (4,609)</w:t>
            </w:r>
          </w:p>
        </w:tc>
        <w:tc>
          <w:tcPr>
            <w:tcW w:w="0" w:type="auto"/>
            <w:tcBorders>
              <w:top w:val="nil"/>
              <w:left w:val="nil"/>
              <w:bottom w:val="nil"/>
              <w:right w:val="nil"/>
            </w:tcBorders>
            <w:shd w:val="clear" w:color="auto" w:fill="auto"/>
            <w:vAlign w:val="center"/>
            <w:hideMark/>
          </w:tcPr>
          <w:p w14:paraId="3B16E126" w14:textId="77777777" w:rsidR="00B9311E" w:rsidRPr="00BD77D8" w:rsidRDefault="00B9311E" w:rsidP="00B9311E">
            <w:pPr>
              <w:spacing w:after="0" w:line="240" w:lineRule="auto"/>
              <w:jc w:val="right"/>
              <w:rPr>
                <w:sz w:val="18"/>
                <w:szCs w:val="18"/>
              </w:rPr>
            </w:pPr>
            <w:r w:rsidRPr="00BD77D8">
              <w:rPr>
                <w:sz w:val="18"/>
                <w:szCs w:val="18"/>
              </w:rPr>
              <w:t xml:space="preserve">  (4,520)</w:t>
            </w:r>
          </w:p>
        </w:tc>
      </w:tr>
      <w:tr w:rsidR="00BD77D8" w:rsidRPr="00BD77D8" w14:paraId="7F8D8A74" w14:textId="77777777" w:rsidTr="003057FB">
        <w:trPr>
          <w:trHeight w:val="267"/>
        </w:trPr>
        <w:tc>
          <w:tcPr>
            <w:tcW w:w="0" w:type="auto"/>
            <w:tcBorders>
              <w:top w:val="nil"/>
              <w:left w:val="nil"/>
              <w:bottom w:val="nil"/>
              <w:right w:val="nil"/>
            </w:tcBorders>
            <w:shd w:val="clear" w:color="auto" w:fill="auto"/>
            <w:vAlign w:val="center"/>
            <w:hideMark/>
          </w:tcPr>
          <w:p w14:paraId="5897DF1F" w14:textId="77777777" w:rsidR="00B9311E" w:rsidRPr="00BD77D8" w:rsidRDefault="00B9311E" w:rsidP="00B9311E">
            <w:pPr>
              <w:spacing w:after="0" w:line="240" w:lineRule="auto"/>
              <w:rPr>
                <w:b/>
                <w:bCs/>
                <w:sz w:val="18"/>
                <w:szCs w:val="18"/>
              </w:rPr>
            </w:pPr>
            <w:r w:rsidRPr="00BD77D8">
              <w:rPr>
                <w:b/>
                <w:bCs/>
                <w:sz w:val="18"/>
                <w:szCs w:val="18"/>
              </w:rPr>
              <w:t xml:space="preserve"> Equity Adjustment Receipts (Payments) </w:t>
            </w:r>
          </w:p>
        </w:tc>
        <w:tc>
          <w:tcPr>
            <w:tcW w:w="0" w:type="auto"/>
            <w:tcBorders>
              <w:top w:val="single" w:sz="4" w:space="0" w:color="auto"/>
              <w:left w:val="nil"/>
              <w:bottom w:val="single" w:sz="4" w:space="0" w:color="auto"/>
              <w:right w:val="nil"/>
            </w:tcBorders>
            <w:shd w:val="clear" w:color="auto" w:fill="auto"/>
            <w:vAlign w:val="center"/>
            <w:hideMark/>
          </w:tcPr>
          <w:p w14:paraId="5557973B" w14:textId="77777777" w:rsidR="00B9311E" w:rsidRPr="00BD77D8" w:rsidRDefault="00B9311E" w:rsidP="00B9311E">
            <w:pPr>
              <w:spacing w:after="0" w:line="240" w:lineRule="auto"/>
              <w:jc w:val="right"/>
              <w:rPr>
                <w:b/>
                <w:bCs/>
                <w:sz w:val="18"/>
                <w:szCs w:val="18"/>
              </w:rPr>
            </w:pPr>
            <w:r w:rsidRPr="00BD77D8">
              <w:rPr>
                <w:b/>
                <w:bCs/>
                <w:sz w:val="18"/>
                <w:szCs w:val="18"/>
              </w:rPr>
              <w:t xml:space="preserve">    2,061 </w:t>
            </w:r>
          </w:p>
        </w:tc>
        <w:tc>
          <w:tcPr>
            <w:tcW w:w="0" w:type="auto"/>
            <w:tcBorders>
              <w:top w:val="single" w:sz="4" w:space="0" w:color="auto"/>
              <w:left w:val="nil"/>
              <w:bottom w:val="single" w:sz="4" w:space="0" w:color="auto"/>
              <w:right w:val="nil"/>
            </w:tcBorders>
            <w:shd w:val="clear" w:color="auto" w:fill="auto"/>
            <w:vAlign w:val="center"/>
            <w:hideMark/>
          </w:tcPr>
          <w:p w14:paraId="1C518CA6" w14:textId="77777777" w:rsidR="00B9311E" w:rsidRPr="00BD77D8" w:rsidRDefault="00B9311E" w:rsidP="00B9311E">
            <w:pPr>
              <w:spacing w:after="0" w:line="240" w:lineRule="auto"/>
              <w:jc w:val="right"/>
              <w:rPr>
                <w:b/>
                <w:bCs/>
                <w:sz w:val="18"/>
                <w:szCs w:val="18"/>
              </w:rPr>
            </w:pPr>
            <w:r w:rsidRPr="00BD77D8">
              <w:rPr>
                <w:b/>
                <w:bCs/>
                <w:sz w:val="18"/>
                <w:szCs w:val="18"/>
              </w:rPr>
              <w:t xml:space="preserve">    4,950 </w:t>
            </w:r>
          </w:p>
        </w:tc>
      </w:tr>
      <w:tr w:rsidR="00BD77D8" w:rsidRPr="00BD77D8" w14:paraId="5C013BFE" w14:textId="77777777" w:rsidTr="003057FB">
        <w:trPr>
          <w:trHeight w:val="267"/>
        </w:trPr>
        <w:tc>
          <w:tcPr>
            <w:tcW w:w="0" w:type="auto"/>
            <w:tcBorders>
              <w:top w:val="nil"/>
              <w:left w:val="nil"/>
              <w:bottom w:val="nil"/>
              <w:right w:val="nil"/>
            </w:tcBorders>
            <w:shd w:val="clear" w:color="auto" w:fill="auto"/>
            <w:vAlign w:val="center"/>
            <w:hideMark/>
          </w:tcPr>
          <w:p w14:paraId="74056F49" w14:textId="77777777" w:rsidR="00B9311E" w:rsidRPr="00BD77D8" w:rsidRDefault="00B9311E" w:rsidP="00B9311E">
            <w:pPr>
              <w:spacing w:after="0" w:line="240" w:lineRule="auto"/>
              <w:rPr>
                <w:sz w:val="18"/>
                <w:szCs w:val="18"/>
              </w:rPr>
            </w:pPr>
            <w:r w:rsidRPr="00BD77D8">
              <w:rPr>
                <w:sz w:val="18"/>
                <w:szCs w:val="18"/>
              </w:rPr>
              <w:t xml:space="preserve"> Plus: Opening balance of equity adjustment payable </w:t>
            </w:r>
          </w:p>
        </w:tc>
        <w:tc>
          <w:tcPr>
            <w:tcW w:w="0" w:type="auto"/>
            <w:tcBorders>
              <w:top w:val="nil"/>
              <w:left w:val="nil"/>
              <w:bottom w:val="nil"/>
              <w:right w:val="nil"/>
            </w:tcBorders>
            <w:shd w:val="clear" w:color="auto" w:fill="auto"/>
            <w:vAlign w:val="center"/>
            <w:hideMark/>
          </w:tcPr>
          <w:p w14:paraId="0F8B3A22" w14:textId="77777777" w:rsidR="00B9311E" w:rsidRPr="00BD77D8" w:rsidRDefault="00B9311E" w:rsidP="00B9311E">
            <w:pPr>
              <w:spacing w:after="0" w:line="240" w:lineRule="auto"/>
              <w:jc w:val="right"/>
              <w:rPr>
                <w:sz w:val="18"/>
                <w:szCs w:val="18"/>
              </w:rPr>
            </w:pPr>
            <w:r w:rsidRPr="00BD77D8">
              <w:rPr>
                <w:sz w:val="18"/>
                <w:szCs w:val="18"/>
              </w:rPr>
              <w:t xml:space="preserve">       449 </w:t>
            </w:r>
          </w:p>
        </w:tc>
        <w:tc>
          <w:tcPr>
            <w:tcW w:w="0" w:type="auto"/>
            <w:tcBorders>
              <w:top w:val="nil"/>
              <w:left w:val="nil"/>
              <w:bottom w:val="nil"/>
              <w:right w:val="nil"/>
            </w:tcBorders>
            <w:shd w:val="clear" w:color="auto" w:fill="auto"/>
            <w:vAlign w:val="center"/>
            <w:hideMark/>
          </w:tcPr>
          <w:p w14:paraId="6B41F281"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372EC4DB" w14:textId="77777777" w:rsidTr="003057FB">
        <w:trPr>
          <w:trHeight w:val="267"/>
        </w:trPr>
        <w:tc>
          <w:tcPr>
            <w:tcW w:w="0" w:type="auto"/>
            <w:tcBorders>
              <w:top w:val="nil"/>
              <w:left w:val="nil"/>
              <w:bottom w:val="nil"/>
              <w:right w:val="nil"/>
            </w:tcBorders>
            <w:shd w:val="clear" w:color="auto" w:fill="auto"/>
            <w:vAlign w:val="center"/>
            <w:hideMark/>
          </w:tcPr>
          <w:p w14:paraId="3667664D" w14:textId="77777777" w:rsidR="00B9311E" w:rsidRPr="00BD77D8" w:rsidRDefault="00B9311E" w:rsidP="00B9311E">
            <w:pPr>
              <w:spacing w:after="0" w:line="240" w:lineRule="auto"/>
              <w:rPr>
                <w:sz w:val="18"/>
                <w:szCs w:val="18"/>
              </w:rPr>
            </w:pPr>
            <w:r w:rsidRPr="00BD77D8">
              <w:rPr>
                <w:sz w:val="18"/>
                <w:szCs w:val="18"/>
              </w:rPr>
              <w:t xml:space="preserve"> Less: Closing balance of equity adjustment payable </w:t>
            </w:r>
          </w:p>
        </w:tc>
        <w:tc>
          <w:tcPr>
            <w:tcW w:w="0" w:type="auto"/>
            <w:tcBorders>
              <w:top w:val="nil"/>
              <w:left w:val="nil"/>
              <w:bottom w:val="nil"/>
              <w:right w:val="nil"/>
            </w:tcBorders>
            <w:shd w:val="clear" w:color="auto" w:fill="auto"/>
            <w:vAlign w:val="center"/>
            <w:hideMark/>
          </w:tcPr>
          <w:p w14:paraId="37CC6872"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bottom"/>
            <w:hideMark/>
          </w:tcPr>
          <w:p w14:paraId="37CFBA67" w14:textId="77777777" w:rsidR="00B9311E" w:rsidRPr="00BD77D8" w:rsidRDefault="00B9311E" w:rsidP="00B9311E">
            <w:pPr>
              <w:spacing w:after="0" w:line="240" w:lineRule="auto"/>
              <w:jc w:val="right"/>
              <w:rPr>
                <w:sz w:val="18"/>
                <w:szCs w:val="18"/>
              </w:rPr>
            </w:pPr>
            <w:r w:rsidRPr="00BD77D8">
              <w:rPr>
                <w:sz w:val="18"/>
                <w:szCs w:val="18"/>
              </w:rPr>
              <w:t xml:space="preserve">     (449)</w:t>
            </w:r>
          </w:p>
        </w:tc>
      </w:tr>
      <w:tr w:rsidR="00BD77D8" w:rsidRPr="00BD77D8" w14:paraId="03315241" w14:textId="77777777" w:rsidTr="003057FB">
        <w:trPr>
          <w:trHeight w:val="267"/>
        </w:trPr>
        <w:tc>
          <w:tcPr>
            <w:tcW w:w="0" w:type="auto"/>
            <w:tcBorders>
              <w:top w:val="nil"/>
              <w:left w:val="nil"/>
              <w:bottom w:val="nil"/>
              <w:right w:val="nil"/>
            </w:tcBorders>
            <w:shd w:val="clear" w:color="auto" w:fill="auto"/>
            <w:vAlign w:val="center"/>
            <w:hideMark/>
          </w:tcPr>
          <w:p w14:paraId="1842CB52" w14:textId="77777777" w:rsidR="00B9311E" w:rsidRPr="00BD77D8" w:rsidRDefault="00B9311E" w:rsidP="00B9311E">
            <w:pPr>
              <w:spacing w:after="0" w:line="240" w:lineRule="auto"/>
              <w:rPr>
                <w:b/>
                <w:bCs/>
                <w:sz w:val="18"/>
                <w:szCs w:val="18"/>
              </w:rPr>
            </w:pPr>
            <w:r w:rsidRPr="00BD77D8">
              <w:rPr>
                <w:b/>
                <w:bCs/>
                <w:sz w:val="18"/>
                <w:szCs w:val="18"/>
              </w:rPr>
              <w:t xml:space="preserve"> Equity Adjustment Recognised in Contributed Equity </w:t>
            </w:r>
          </w:p>
        </w:tc>
        <w:tc>
          <w:tcPr>
            <w:tcW w:w="0" w:type="auto"/>
            <w:tcBorders>
              <w:top w:val="single" w:sz="4" w:space="0" w:color="auto"/>
              <w:left w:val="nil"/>
              <w:bottom w:val="single" w:sz="4" w:space="0" w:color="auto"/>
              <w:right w:val="nil"/>
            </w:tcBorders>
            <w:shd w:val="clear" w:color="auto" w:fill="auto"/>
            <w:vAlign w:val="center"/>
            <w:hideMark/>
          </w:tcPr>
          <w:p w14:paraId="557EC063" w14:textId="77777777" w:rsidR="00B9311E" w:rsidRPr="00BD77D8" w:rsidRDefault="00B9311E" w:rsidP="00B9311E">
            <w:pPr>
              <w:spacing w:after="0" w:line="240" w:lineRule="auto"/>
              <w:jc w:val="right"/>
              <w:rPr>
                <w:b/>
                <w:bCs/>
                <w:sz w:val="18"/>
                <w:szCs w:val="18"/>
              </w:rPr>
            </w:pPr>
            <w:r w:rsidRPr="00BD77D8">
              <w:rPr>
                <w:b/>
                <w:bCs/>
                <w:sz w:val="18"/>
                <w:szCs w:val="18"/>
              </w:rPr>
              <w:t xml:space="preserve">    2,510 </w:t>
            </w:r>
          </w:p>
        </w:tc>
        <w:tc>
          <w:tcPr>
            <w:tcW w:w="0" w:type="auto"/>
            <w:tcBorders>
              <w:top w:val="single" w:sz="4" w:space="0" w:color="auto"/>
              <w:left w:val="nil"/>
              <w:bottom w:val="single" w:sz="4" w:space="0" w:color="auto"/>
              <w:right w:val="nil"/>
            </w:tcBorders>
            <w:shd w:val="clear" w:color="auto" w:fill="auto"/>
            <w:vAlign w:val="center"/>
            <w:hideMark/>
          </w:tcPr>
          <w:p w14:paraId="7AA76742" w14:textId="77777777" w:rsidR="00B9311E" w:rsidRPr="00BD77D8" w:rsidRDefault="00B9311E" w:rsidP="00B9311E">
            <w:pPr>
              <w:spacing w:after="0" w:line="240" w:lineRule="auto"/>
              <w:jc w:val="right"/>
              <w:rPr>
                <w:b/>
                <w:bCs/>
                <w:sz w:val="18"/>
                <w:szCs w:val="18"/>
              </w:rPr>
            </w:pPr>
            <w:r w:rsidRPr="00BD77D8">
              <w:rPr>
                <w:b/>
                <w:bCs/>
                <w:sz w:val="18"/>
                <w:szCs w:val="18"/>
              </w:rPr>
              <w:t xml:space="preserve">    4,501 </w:t>
            </w:r>
          </w:p>
        </w:tc>
      </w:tr>
    </w:tbl>
    <w:p w14:paraId="5E22A6D0" w14:textId="509A36FD" w:rsidR="00B9311E" w:rsidRPr="00BD77D8" w:rsidRDefault="00B9311E" w:rsidP="006226A9">
      <w:pPr>
        <w:spacing w:before="200"/>
        <w:rPr>
          <w:rFonts w:eastAsia="PMingLiU"/>
          <w:sz w:val="18"/>
          <w:szCs w:val="22"/>
          <w:lang w:eastAsia="en-US"/>
        </w:rPr>
      </w:pPr>
      <w:bookmarkStart w:id="195" w:name="_Toc111559251"/>
      <w:bookmarkStart w:id="196" w:name="_Toc113196523"/>
      <w:bookmarkStart w:id="197" w:name="_Toc113196871"/>
      <w:bookmarkStart w:id="198" w:name="_Toc113262001"/>
      <w:bookmarkStart w:id="199" w:name="_Toc113349155"/>
      <w:bookmarkStart w:id="200" w:name="_Toc113358080"/>
      <w:bookmarkEnd w:id="194"/>
      <w:r w:rsidRPr="00BD77D8">
        <w:rPr>
          <w:rFonts w:eastAsia="Arial"/>
          <w:b/>
          <w:bCs/>
          <w:sz w:val="24"/>
          <w:szCs w:val="24"/>
          <w:lang w:eastAsia="en-US"/>
        </w:rPr>
        <w:t>Risks and Other Accounting Uncertainties</w:t>
      </w:r>
      <w:bookmarkEnd w:id="195"/>
      <w:bookmarkEnd w:id="196"/>
      <w:bookmarkEnd w:id="197"/>
      <w:bookmarkEnd w:id="198"/>
      <w:bookmarkEnd w:id="199"/>
      <w:bookmarkEnd w:id="200"/>
    </w:p>
    <w:p w14:paraId="72666BAD" w14:textId="77777777" w:rsidR="00B9311E" w:rsidRPr="00BD77D8" w:rsidRDefault="00B9311E" w:rsidP="009D387F">
      <w:pPr>
        <w:rPr>
          <w:rFonts w:eastAsia="Arial"/>
          <w:b/>
          <w:bCs/>
          <w:sz w:val="22"/>
          <w:szCs w:val="22"/>
          <w:lang w:eastAsia="en-US"/>
        </w:rPr>
      </w:pPr>
      <w:bookmarkStart w:id="201" w:name="_Toc111494816"/>
      <w:bookmarkStart w:id="202" w:name="_Toc111540688"/>
      <w:bookmarkStart w:id="203" w:name="_Toc111559252"/>
      <w:bookmarkStart w:id="204" w:name="_Toc113196524"/>
      <w:bookmarkStart w:id="205" w:name="_Toc113196872"/>
      <w:bookmarkStart w:id="206" w:name="_Toc113262002"/>
      <w:bookmarkStart w:id="207" w:name="_Toc113349156"/>
      <w:bookmarkStart w:id="208" w:name="_Toc113358081"/>
      <w:r w:rsidRPr="00BD77D8">
        <w:rPr>
          <w:rFonts w:eastAsia="Arial"/>
          <w:b/>
          <w:bCs/>
          <w:sz w:val="22"/>
          <w:szCs w:val="22"/>
          <w:lang w:eastAsia="en-US"/>
        </w:rPr>
        <w:t>D1 Financial Risk Disclosures</w:t>
      </w:r>
      <w:bookmarkEnd w:id="201"/>
      <w:bookmarkEnd w:id="202"/>
      <w:bookmarkEnd w:id="203"/>
      <w:bookmarkEnd w:id="204"/>
      <w:bookmarkEnd w:id="205"/>
      <w:bookmarkEnd w:id="206"/>
      <w:bookmarkEnd w:id="207"/>
      <w:bookmarkEnd w:id="208"/>
    </w:p>
    <w:p w14:paraId="01B61879" w14:textId="77777777" w:rsidR="00B9311E" w:rsidRPr="00BD77D8" w:rsidRDefault="00B9311E" w:rsidP="006226A9">
      <w:pPr>
        <w:spacing w:line="205" w:lineRule="exact"/>
        <w:textAlignment w:val="baseline"/>
        <w:rPr>
          <w:rFonts w:eastAsia="Arial"/>
          <w:b/>
          <w:bCs/>
          <w:spacing w:val="1"/>
          <w:sz w:val="18"/>
          <w:szCs w:val="18"/>
          <w:lang w:eastAsia="en-US"/>
        </w:rPr>
      </w:pPr>
      <w:r w:rsidRPr="00BD77D8">
        <w:rPr>
          <w:rFonts w:eastAsia="Arial"/>
          <w:b/>
          <w:bCs/>
          <w:spacing w:val="1"/>
          <w:sz w:val="18"/>
          <w:szCs w:val="18"/>
          <w:lang w:eastAsia="en-US"/>
        </w:rPr>
        <w:t>D1-1 Financial Instrument Categories</w:t>
      </w:r>
    </w:p>
    <w:p w14:paraId="39EA3E20" w14:textId="77777777" w:rsidR="00B9311E" w:rsidRPr="00BD77D8" w:rsidRDefault="00B9311E" w:rsidP="006226A9">
      <w:pPr>
        <w:spacing w:line="206" w:lineRule="exact"/>
        <w:ind w:right="288"/>
        <w:textAlignment w:val="baseline"/>
        <w:rPr>
          <w:rFonts w:eastAsia="Arial"/>
          <w:b/>
          <w:bCs/>
          <w:sz w:val="18"/>
          <w:szCs w:val="18"/>
          <w:lang w:eastAsia="en-US"/>
        </w:rPr>
      </w:pPr>
      <w:r w:rsidRPr="00BD77D8">
        <w:rPr>
          <w:rFonts w:eastAsia="Arial"/>
          <w:sz w:val="18"/>
          <w:szCs w:val="18"/>
          <w:lang w:eastAsia="en-US"/>
        </w:rPr>
        <w:t xml:space="preserve">Financial assets and financial liabilities are recognised in the statement of financial position when the department becomes party to the contractual provisions of the financial instrument. </w:t>
      </w:r>
    </w:p>
    <w:p w14:paraId="3B0F3662" w14:textId="77777777" w:rsidR="00B9311E" w:rsidRPr="00BD77D8" w:rsidRDefault="00B9311E" w:rsidP="00B9311E">
      <w:pPr>
        <w:spacing w:after="0" w:line="206" w:lineRule="exact"/>
        <w:ind w:right="288"/>
        <w:textAlignment w:val="baseline"/>
        <w:rPr>
          <w:rFonts w:eastAsia="PMingLiU"/>
          <w:sz w:val="18"/>
          <w:szCs w:val="22"/>
          <w:lang w:val="en-US" w:eastAsia="en-US"/>
        </w:rPr>
      </w:pPr>
      <w:r w:rsidRPr="00BD77D8">
        <w:rPr>
          <w:rFonts w:eastAsia="Arial"/>
          <w:sz w:val="18"/>
          <w:szCs w:val="18"/>
          <w:lang w:eastAsia="en-US"/>
        </w:rPr>
        <w:t>The department has the following categories of financial assets and financial liabilities:</w:t>
      </w:r>
    </w:p>
    <w:tbl>
      <w:tblPr>
        <w:tblW w:w="10206" w:type="dxa"/>
        <w:tblCellMar>
          <w:left w:w="0" w:type="dxa"/>
          <w:right w:w="0" w:type="dxa"/>
        </w:tblCellMar>
        <w:tblLook w:val="04A0" w:firstRow="1" w:lastRow="0" w:firstColumn="1" w:lastColumn="0" w:noHBand="0" w:noVBand="1"/>
      </w:tblPr>
      <w:tblGrid>
        <w:gridCol w:w="6342"/>
        <w:gridCol w:w="1848"/>
        <w:gridCol w:w="1118"/>
        <w:gridCol w:w="898"/>
      </w:tblGrid>
      <w:tr w:rsidR="00BD77D8" w:rsidRPr="00BD77D8" w14:paraId="2CE5E946" w14:textId="77777777" w:rsidTr="003057FB">
        <w:trPr>
          <w:trHeight w:val="267"/>
        </w:trPr>
        <w:tc>
          <w:tcPr>
            <w:tcW w:w="6367" w:type="dxa"/>
            <w:tcBorders>
              <w:top w:val="nil"/>
              <w:left w:val="nil"/>
              <w:bottom w:val="nil"/>
              <w:right w:val="nil"/>
            </w:tcBorders>
            <w:shd w:val="clear" w:color="auto" w:fill="auto"/>
            <w:vAlign w:val="center"/>
            <w:hideMark/>
          </w:tcPr>
          <w:p w14:paraId="51A62B30" w14:textId="77777777" w:rsidR="00B9311E" w:rsidRPr="00BD77D8" w:rsidRDefault="00B9311E" w:rsidP="00B9311E">
            <w:pPr>
              <w:spacing w:after="0" w:line="240" w:lineRule="auto"/>
              <w:rPr>
                <w:rFonts w:ascii="Times New Roman" w:hAnsi="Times New Roman" w:cs="Times New Roman"/>
                <w:sz w:val="24"/>
                <w:szCs w:val="24"/>
              </w:rPr>
            </w:pPr>
          </w:p>
        </w:tc>
        <w:tc>
          <w:tcPr>
            <w:tcW w:w="1855" w:type="dxa"/>
            <w:tcBorders>
              <w:top w:val="nil"/>
              <w:left w:val="nil"/>
              <w:bottom w:val="nil"/>
              <w:right w:val="nil"/>
            </w:tcBorders>
            <w:shd w:val="clear" w:color="auto" w:fill="auto"/>
            <w:vAlign w:val="center"/>
            <w:hideMark/>
          </w:tcPr>
          <w:p w14:paraId="6ED3A541" w14:textId="77777777" w:rsidR="00B9311E" w:rsidRPr="00BD77D8" w:rsidRDefault="00B9311E" w:rsidP="00B9311E">
            <w:pPr>
              <w:spacing w:after="0" w:line="240" w:lineRule="auto"/>
              <w:rPr>
                <w:rFonts w:ascii="Times New Roman" w:hAnsi="Times New Roman" w:cs="Times New Roman"/>
                <w:b/>
                <w:bCs/>
                <w:sz w:val="20"/>
                <w:szCs w:val="20"/>
              </w:rPr>
            </w:pPr>
          </w:p>
        </w:tc>
        <w:tc>
          <w:tcPr>
            <w:tcW w:w="1102" w:type="dxa"/>
            <w:tcBorders>
              <w:top w:val="nil"/>
              <w:left w:val="nil"/>
              <w:bottom w:val="nil"/>
              <w:right w:val="nil"/>
            </w:tcBorders>
            <w:shd w:val="clear" w:color="auto" w:fill="auto"/>
            <w:noWrap/>
            <w:vAlign w:val="bottom"/>
            <w:hideMark/>
          </w:tcPr>
          <w:p w14:paraId="4877A021"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882" w:type="dxa"/>
            <w:tcBorders>
              <w:top w:val="nil"/>
              <w:left w:val="nil"/>
              <w:bottom w:val="nil"/>
              <w:right w:val="nil"/>
            </w:tcBorders>
            <w:shd w:val="clear" w:color="auto" w:fill="auto"/>
            <w:noWrap/>
            <w:vAlign w:val="bottom"/>
            <w:hideMark/>
          </w:tcPr>
          <w:p w14:paraId="3046F306"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1F485EC7" w14:textId="77777777" w:rsidTr="003057FB">
        <w:trPr>
          <w:trHeight w:val="267"/>
        </w:trPr>
        <w:tc>
          <w:tcPr>
            <w:tcW w:w="6367" w:type="dxa"/>
            <w:tcBorders>
              <w:top w:val="nil"/>
              <w:left w:val="nil"/>
              <w:bottom w:val="nil"/>
              <w:right w:val="nil"/>
            </w:tcBorders>
            <w:shd w:val="clear" w:color="auto" w:fill="auto"/>
            <w:vAlign w:val="center"/>
            <w:hideMark/>
          </w:tcPr>
          <w:p w14:paraId="0B32EFD6" w14:textId="77777777" w:rsidR="00B9311E" w:rsidRPr="00BD77D8" w:rsidRDefault="00B9311E" w:rsidP="00B9311E">
            <w:pPr>
              <w:spacing w:after="0" w:line="240" w:lineRule="auto"/>
              <w:jc w:val="right"/>
              <w:rPr>
                <w:sz w:val="18"/>
                <w:szCs w:val="18"/>
              </w:rPr>
            </w:pPr>
          </w:p>
        </w:tc>
        <w:tc>
          <w:tcPr>
            <w:tcW w:w="1855" w:type="dxa"/>
            <w:tcBorders>
              <w:top w:val="nil"/>
              <w:left w:val="nil"/>
              <w:bottom w:val="nil"/>
              <w:right w:val="nil"/>
            </w:tcBorders>
            <w:shd w:val="clear" w:color="auto" w:fill="auto"/>
            <w:vAlign w:val="center"/>
            <w:hideMark/>
          </w:tcPr>
          <w:p w14:paraId="3C278A35" w14:textId="77777777" w:rsidR="00B9311E" w:rsidRPr="00BD77D8" w:rsidRDefault="00B9311E" w:rsidP="00B9311E">
            <w:pPr>
              <w:spacing w:after="0" w:line="240" w:lineRule="auto"/>
              <w:jc w:val="center"/>
              <w:rPr>
                <w:b/>
                <w:bCs/>
                <w:sz w:val="18"/>
                <w:szCs w:val="18"/>
              </w:rPr>
            </w:pPr>
            <w:r w:rsidRPr="00BD77D8">
              <w:rPr>
                <w:b/>
                <w:bCs/>
                <w:sz w:val="18"/>
                <w:szCs w:val="18"/>
              </w:rPr>
              <w:t xml:space="preserve"> Note </w:t>
            </w:r>
          </w:p>
        </w:tc>
        <w:tc>
          <w:tcPr>
            <w:tcW w:w="1102" w:type="dxa"/>
            <w:tcBorders>
              <w:top w:val="nil"/>
              <w:left w:val="nil"/>
              <w:bottom w:val="single" w:sz="4" w:space="0" w:color="auto"/>
              <w:right w:val="nil"/>
            </w:tcBorders>
            <w:shd w:val="clear" w:color="auto" w:fill="auto"/>
            <w:vAlign w:val="center"/>
            <w:hideMark/>
          </w:tcPr>
          <w:p w14:paraId="53EDE633"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882" w:type="dxa"/>
            <w:tcBorders>
              <w:top w:val="nil"/>
              <w:left w:val="nil"/>
              <w:bottom w:val="single" w:sz="4" w:space="0" w:color="auto"/>
              <w:right w:val="nil"/>
            </w:tcBorders>
            <w:shd w:val="clear" w:color="auto" w:fill="auto"/>
            <w:vAlign w:val="center"/>
            <w:hideMark/>
          </w:tcPr>
          <w:p w14:paraId="68A50F49"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1302A332" w14:textId="77777777" w:rsidTr="003057FB">
        <w:trPr>
          <w:trHeight w:val="267"/>
        </w:trPr>
        <w:tc>
          <w:tcPr>
            <w:tcW w:w="6367" w:type="dxa"/>
            <w:tcBorders>
              <w:top w:val="nil"/>
              <w:left w:val="nil"/>
              <w:bottom w:val="nil"/>
              <w:right w:val="nil"/>
            </w:tcBorders>
            <w:shd w:val="clear" w:color="auto" w:fill="auto"/>
            <w:vAlign w:val="center"/>
            <w:hideMark/>
          </w:tcPr>
          <w:p w14:paraId="3668CA6A" w14:textId="77777777" w:rsidR="00B9311E" w:rsidRPr="00BD77D8" w:rsidRDefault="00B9311E" w:rsidP="00B9311E">
            <w:pPr>
              <w:spacing w:after="0" w:line="240" w:lineRule="auto"/>
              <w:rPr>
                <w:b/>
                <w:bCs/>
                <w:sz w:val="18"/>
                <w:szCs w:val="18"/>
              </w:rPr>
            </w:pPr>
            <w:r w:rsidRPr="00BD77D8">
              <w:rPr>
                <w:b/>
                <w:bCs/>
                <w:sz w:val="18"/>
                <w:szCs w:val="18"/>
              </w:rPr>
              <w:t xml:space="preserve"> Financial Assets </w:t>
            </w:r>
          </w:p>
        </w:tc>
        <w:tc>
          <w:tcPr>
            <w:tcW w:w="1855" w:type="dxa"/>
            <w:tcBorders>
              <w:top w:val="nil"/>
              <w:left w:val="nil"/>
              <w:bottom w:val="nil"/>
              <w:right w:val="nil"/>
            </w:tcBorders>
            <w:shd w:val="clear" w:color="auto" w:fill="auto"/>
            <w:vAlign w:val="center"/>
            <w:hideMark/>
          </w:tcPr>
          <w:p w14:paraId="6D2A2157" w14:textId="77777777" w:rsidR="00B9311E" w:rsidRPr="00BD77D8" w:rsidRDefault="00B9311E" w:rsidP="00B9311E">
            <w:pPr>
              <w:spacing w:after="0" w:line="240" w:lineRule="auto"/>
              <w:rPr>
                <w:b/>
                <w:bCs/>
                <w:sz w:val="18"/>
                <w:szCs w:val="18"/>
              </w:rPr>
            </w:pPr>
          </w:p>
        </w:tc>
        <w:tc>
          <w:tcPr>
            <w:tcW w:w="1102" w:type="dxa"/>
            <w:tcBorders>
              <w:top w:val="nil"/>
              <w:left w:val="nil"/>
              <w:bottom w:val="nil"/>
              <w:right w:val="nil"/>
            </w:tcBorders>
            <w:shd w:val="clear" w:color="auto" w:fill="auto"/>
            <w:vAlign w:val="center"/>
            <w:hideMark/>
          </w:tcPr>
          <w:p w14:paraId="044E08D6"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882" w:type="dxa"/>
            <w:tcBorders>
              <w:top w:val="nil"/>
              <w:left w:val="nil"/>
              <w:bottom w:val="nil"/>
              <w:right w:val="nil"/>
            </w:tcBorders>
            <w:shd w:val="clear" w:color="auto" w:fill="auto"/>
            <w:vAlign w:val="center"/>
            <w:hideMark/>
          </w:tcPr>
          <w:p w14:paraId="40B5A188"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37C43A7E" w14:textId="77777777" w:rsidTr="003057FB">
        <w:trPr>
          <w:trHeight w:val="267"/>
        </w:trPr>
        <w:tc>
          <w:tcPr>
            <w:tcW w:w="6367" w:type="dxa"/>
            <w:tcBorders>
              <w:top w:val="nil"/>
              <w:left w:val="nil"/>
              <w:bottom w:val="nil"/>
              <w:right w:val="nil"/>
            </w:tcBorders>
            <w:shd w:val="clear" w:color="auto" w:fill="auto"/>
            <w:vAlign w:val="center"/>
            <w:hideMark/>
          </w:tcPr>
          <w:p w14:paraId="673B5EE6" w14:textId="77777777" w:rsidR="00B9311E" w:rsidRPr="00BD77D8" w:rsidRDefault="00B9311E" w:rsidP="00B9311E">
            <w:pPr>
              <w:spacing w:after="0" w:line="240" w:lineRule="auto"/>
              <w:rPr>
                <w:sz w:val="18"/>
                <w:szCs w:val="18"/>
              </w:rPr>
            </w:pPr>
            <w:r w:rsidRPr="00BD77D8">
              <w:rPr>
                <w:sz w:val="18"/>
                <w:szCs w:val="18"/>
              </w:rPr>
              <w:t xml:space="preserve"> Cash and cash equivalents </w:t>
            </w:r>
          </w:p>
        </w:tc>
        <w:tc>
          <w:tcPr>
            <w:tcW w:w="1855" w:type="dxa"/>
            <w:tcBorders>
              <w:top w:val="nil"/>
              <w:left w:val="nil"/>
              <w:bottom w:val="nil"/>
              <w:right w:val="nil"/>
            </w:tcBorders>
            <w:shd w:val="clear" w:color="auto" w:fill="auto"/>
            <w:vAlign w:val="center"/>
            <w:hideMark/>
          </w:tcPr>
          <w:p w14:paraId="6BB47E0F" w14:textId="77777777" w:rsidR="00B9311E" w:rsidRPr="00BD77D8" w:rsidRDefault="00B9311E" w:rsidP="00B9311E">
            <w:pPr>
              <w:spacing w:after="0" w:line="240" w:lineRule="auto"/>
              <w:jc w:val="center"/>
              <w:rPr>
                <w:b/>
                <w:bCs/>
                <w:sz w:val="18"/>
                <w:szCs w:val="18"/>
              </w:rPr>
            </w:pPr>
            <w:r w:rsidRPr="00BD77D8">
              <w:rPr>
                <w:b/>
                <w:bCs/>
                <w:sz w:val="18"/>
                <w:szCs w:val="18"/>
              </w:rPr>
              <w:t xml:space="preserve"> C1 </w:t>
            </w:r>
          </w:p>
        </w:tc>
        <w:tc>
          <w:tcPr>
            <w:tcW w:w="1102" w:type="dxa"/>
            <w:tcBorders>
              <w:top w:val="nil"/>
              <w:left w:val="nil"/>
              <w:bottom w:val="nil"/>
              <w:right w:val="nil"/>
            </w:tcBorders>
            <w:shd w:val="clear" w:color="auto" w:fill="auto"/>
            <w:vAlign w:val="center"/>
            <w:hideMark/>
          </w:tcPr>
          <w:p w14:paraId="065503DB" w14:textId="77777777" w:rsidR="00B9311E" w:rsidRPr="00BD77D8" w:rsidRDefault="00B9311E" w:rsidP="00B9311E">
            <w:pPr>
              <w:spacing w:after="0" w:line="240" w:lineRule="auto"/>
              <w:jc w:val="right"/>
              <w:rPr>
                <w:sz w:val="18"/>
                <w:szCs w:val="18"/>
              </w:rPr>
            </w:pPr>
            <w:r w:rsidRPr="00BD77D8">
              <w:rPr>
                <w:sz w:val="18"/>
                <w:szCs w:val="18"/>
              </w:rPr>
              <w:t xml:space="preserve">    51,005 </w:t>
            </w:r>
          </w:p>
        </w:tc>
        <w:tc>
          <w:tcPr>
            <w:tcW w:w="882" w:type="dxa"/>
            <w:tcBorders>
              <w:top w:val="nil"/>
              <w:left w:val="nil"/>
              <w:bottom w:val="nil"/>
              <w:right w:val="nil"/>
            </w:tcBorders>
            <w:shd w:val="clear" w:color="auto" w:fill="auto"/>
            <w:vAlign w:val="center"/>
            <w:hideMark/>
          </w:tcPr>
          <w:p w14:paraId="0681AC86" w14:textId="77777777" w:rsidR="00B9311E" w:rsidRPr="00BD77D8" w:rsidRDefault="00B9311E" w:rsidP="00B9311E">
            <w:pPr>
              <w:spacing w:after="0" w:line="240" w:lineRule="auto"/>
              <w:jc w:val="right"/>
              <w:rPr>
                <w:sz w:val="18"/>
                <w:szCs w:val="18"/>
              </w:rPr>
            </w:pPr>
            <w:r w:rsidRPr="00BD77D8">
              <w:rPr>
                <w:sz w:val="18"/>
                <w:szCs w:val="18"/>
              </w:rPr>
              <w:t xml:space="preserve"> 54,840 </w:t>
            </w:r>
          </w:p>
        </w:tc>
      </w:tr>
      <w:tr w:rsidR="00BD77D8" w:rsidRPr="00BD77D8" w14:paraId="1FC4B71B" w14:textId="77777777" w:rsidTr="003057FB">
        <w:trPr>
          <w:trHeight w:val="267"/>
        </w:trPr>
        <w:tc>
          <w:tcPr>
            <w:tcW w:w="6367" w:type="dxa"/>
            <w:tcBorders>
              <w:top w:val="nil"/>
              <w:left w:val="nil"/>
              <w:bottom w:val="nil"/>
              <w:right w:val="nil"/>
            </w:tcBorders>
            <w:shd w:val="clear" w:color="auto" w:fill="auto"/>
            <w:vAlign w:val="center"/>
            <w:hideMark/>
          </w:tcPr>
          <w:p w14:paraId="7E04B4E2" w14:textId="77777777" w:rsidR="00B9311E" w:rsidRPr="00BD77D8" w:rsidRDefault="00B9311E" w:rsidP="00B9311E">
            <w:pPr>
              <w:spacing w:after="0" w:line="240" w:lineRule="auto"/>
              <w:rPr>
                <w:sz w:val="18"/>
                <w:szCs w:val="18"/>
              </w:rPr>
            </w:pPr>
            <w:r w:rsidRPr="00BD77D8">
              <w:rPr>
                <w:sz w:val="18"/>
                <w:szCs w:val="18"/>
              </w:rPr>
              <w:t xml:space="preserve"> Financial assets at amortised cost: </w:t>
            </w:r>
          </w:p>
        </w:tc>
        <w:tc>
          <w:tcPr>
            <w:tcW w:w="1855" w:type="dxa"/>
            <w:tcBorders>
              <w:top w:val="nil"/>
              <w:left w:val="nil"/>
              <w:bottom w:val="nil"/>
              <w:right w:val="nil"/>
            </w:tcBorders>
            <w:shd w:val="clear" w:color="auto" w:fill="auto"/>
            <w:vAlign w:val="center"/>
            <w:hideMark/>
          </w:tcPr>
          <w:p w14:paraId="159C3C63" w14:textId="77777777" w:rsidR="00B9311E" w:rsidRPr="00BD77D8" w:rsidRDefault="00B9311E" w:rsidP="00B9311E">
            <w:pPr>
              <w:spacing w:after="0" w:line="240" w:lineRule="auto"/>
              <w:rPr>
                <w:b/>
                <w:bCs/>
                <w:sz w:val="18"/>
                <w:szCs w:val="18"/>
              </w:rPr>
            </w:pPr>
          </w:p>
        </w:tc>
        <w:tc>
          <w:tcPr>
            <w:tcW w:w="1102" w:type="dxa"/>
            <w:tcBorders>
              <w:top w:val="nil"/>
              <w:left w:val="nil"/>
              <w:bottom w:val="nil"/>
              <w:right w:val="nil"/>
            </w:tcBorders>
            <w:shd w:val="clear" w:color="auto" w:fill="auto"/>
            <w:vAlign w:val="center"/>
            <w:hideMark/>
          </w:tcPr>
          <w:p w14:paraId="25C5663A"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882" w:type="dxa"/>
            <w:tcBorders>
              <w:top w:val="nil"/>
              <w:left w:val="nil"/>
              <w:bottom w:val="nil"/>
              <w:right w:val="nil"/>
            </w:tcBorders>
            <w:shd w:val="clear" w:color="auto" w:fill="auto"/>
            <w:vAlign w:val="center"/>
            <w:hideMark/>
          </w:tcPr>
          <w:p w14:paraId="20EF84C1"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57B55D73" w14:textId="77777777" w:rsidTr="003057FB">
        <w:trPr>
          <w:trHeight w:val="267"/>
        </w:trPr>
        <w:tc>
          <w:tcPr>
            <w:tcW w:w="6367" w:type="dxa"/>
            <w:tcBorders>
              <w:top w:val="nil"/>
              <w:left w:val="nil"/>
              <w:bottom w:val="nil"/>
              <w:right w:val="nil"/>
            </w:tcBorders>
            <w:shd w:val="clear" w:color="auto" w:fill="auto"/>
            <w:vAlign w:val="center"/>
            <w:hideMark/>
          </w:tcPr>
          <w:p w14:paraId="58B15C3A" w14:textId="77777777" w:rsidR="00B9311E" w:rsidRPr="00BD77D8" w:rsidRDefault="00B9311E" w:rsidP="00B9311E">
            <w:pPr>
              <w:spacing w:after="0" w:line="240" w:lineRule="auto"/>
              <w:rPr>
                <w:sz w:val="18"/>
                <w:szCs w:val="18"/>
              </w:rPr>
            </w:pPr>
            <w:r w:rsidRPr="00BD77D8">
              <w:rPr>
                <w:sz w:val="18"/>
                <w:szCs w:val="18"/>
              </w:rPr>
              <w:t xml:space="preserve"> Current Receivables </w:t>
            </w:r>
          </w:p>
        </w:tc>
        <w:tc>
          <w:tcPr>
            <w:tcW w:w="1855" w:type="dxa"/>
            <w:tcBorders>
              <w:top w:val="nil"/>
              <w:left w:val="nil"/>
              <w:bottom w:val="nil"/>
              <w:right w:val="nil"/>
            </w:tcBorders>
            <w:shd w:val="clear" w:color="auto" w:fill="auto"/>
            <w:vAlign w:val="center"/>
            <w:hideMark/>
          </w:tcPr>
          <w:p w14:paraId="272BF99C" w14:textId="77777777" w:rsidR="00B9311E" w:rsidRPr="00BD77D8" w:rsidRDefault="00B9311E" w:rsidP="00B9311E">
            <w:pPr>
              <w:spacing w:after="0" w:line="240" w:lineRule="auto"/>
              <w:jc w:val="center"/>
              <w:rPr>
                <w:b/>
                <w:bCs/>
                <w:sz w:val="18"/>
                <w:szCs w:val="18"/>
              </w:rPr>
            </w:pPr>
            <w:r w:rsidRPr="00BD77D8">
              <w:rPr>
                <w:b/>
                <w:bCs/>
                <w:sz w:val="18"/>
                <w:szCs w:val="18"/>
              </w:rPr>
              <w:t xml:space="preserve"> C2 </w:t>
            </w:r>
          </w:p>
        </w:tc>
        <w:tc>
          <w:tcPr>
            <w:tcW w:w="1102" w:type="dxa"/>
            <w:tcBorders>
              <w:top w:val="nil"/>
              <w:left w:val="nil"/>
              <w:bottom w:val="nil"/>
              <w:right w:val="nil"/>
            </w:tcBorders>
            <w:shd w:val="clear" w:color="auto" w:fill="auto"/>
            <w:vAlign w:val="center"/>
            <w:hideMark/>
          </w:tcPr>
          <w:p w14:paraId="5D1395A9" w14:textId="77777777" w:rsidR="00B9311E" w:rsidRPr="00BD77D8" w:rsidRDefault="00B9311E" w:rsidP="00B9311E">
            <w:pPr>
              <w:spacing w:after="0" w:line="240" w:lineRule="auto"/>
              <w:jc w:val="right"/>
              <w:rPr>
                <w:sz w:val="18"/>
                <w:szCs w:val="18"/>
              </w:rPr>
            </w:pPr>
            <w:r w:rsidRPr="00BD77D8">
              <w:rPr>
                <w:sz w:val="18"/>
                <w:szCs w:val="18"/>
              </w:rPr>
              <w:t xml:space="preserve">      7,510 </w:t>
            </w:r>
          </w:p>
        </w:tc>
        <w:tc>
          <w:tcPr>
            <w:tcW w:w="882" w:type="dxa"/>
            <w:tcBorders>
              <w:top w:val="nil"/>
              <w:left w:val="nil"/>
              <w:bottom w:val="nil"/>
              <w:right w:val="nil"/>
            </w:tcBorders>
            <w:shd w:val="clear" w:color="auto" w:fill="auto"/>
            <w:vAlign w:val="center"/>
            <w:hideMark/>
          </w:tcPr>
          <w:p w14:paraId="536152E1" w14:textId="77777777" w:rsidR="00B9311E" w:rsidRPr="00BD77D8" w:rsidRDefault="00B9311E" w:rsidP="00B9311E">
            <w:pPr>
              <w:spacing w:after="0" w:line="240" w:lineRule="auto"/>
              <w:jc w:val="right"/>
              <w:rPr>
                <w:sz w:val="18"/>
                <w:szCs w:val="18"/>
              </w:rPr>
            </w:pPr>
            <w:r w:rsidRPr="00BD77D8">
              <w:rPr>
                <w:sz w:val="18"/>
                <w:szCs w:val="18"/>
              </w:rPr>
              <w:t xml:space="preserve">    6,009 </w:t>
            </w:r>
          </w:p>
        </w:tc>
      </w:tr>
      <w:tr w:rsidR="00BD77D8" w:rsidRPr="00BD77D8" w14:paraId="2416F5AF" w14:textId="77777777" w:rsidTr="003057FB">
        <w:trPr>
          <w:trHeight w:val="267"/>
        </w:trPr>
        <w:tc>
          <w:tcPr>
            <w:tcW w:w="6367" w:type="dxa"/>
            <w:tcBorders>
              <w:top w:val="nil"/>
              <w:left w:val="nil"/>
              <w:bottom w:val="nil"/>
              <w:right w:val="nil"/>
            </w:tcBorders>
            <w:shd w:val="clear" w:color="auto" w:fill="auto"/>
            <w:vAlign w:val="center"/>
            <w:hideMark/>
          </w:tcPr>
          <w:p w14:paraId="63CEEB34" w14:textId="77777777" w:rsidR="00B9311E" w:rsidRPr="00BD77D8" w:rsidRDefault="00B9311E" w:rsidP="00B9311E">
            <w:pPr>
              <w:spacing w:after="0" w:line="240" w:lineRule="auto"/>
              <w:rPr>
                <w:b/>
                <w:bCs/>
                <w:sz w:val="18"/>
                <w:szCs w:val="18"/>
              </w:rPr>
            </w:pPr>
            <w:r w:rsidRPr="00BD77D8">
              <w:rPr>
                <w:b/>
                <w:bCs/>
                <w:sz w:val="18"/>
                <w:szCs w:val="18"/>
              </w:rPr>
              <w:t xml:space="preserve"> Total financial assets </w:t>
            </w:r>
          </w:p>
        </w:tc>
        <w:tc>
          <w:tcPr>
            <w:tcW w:w="1855" w:type="dxa"/>
            <w:tcBorders>
              <w:top w:val="nil"/>
              <w:left w:val="nil"/>
              <w:bottom w:val="nil"/>
              <w:right w:val="nil"/>
            </w:tcBorders>
            <w:shd w:val="clear" w:color="auto" w:fill="auto"/>
            <w:vAlign w:val="center"/>
            <w:hideMark/>
          </w:tcPr>
          <w:p w14:paraId="14220F59" w14:textId="77777777" w:rsidR="00B9311E" w:rsidRPr="00BD77D8" w:rsidRDefault="00B9311E" w:rsidP="00B9311E">
            <w:pPr>
              <w:spacing w:after="0" w:line="240" w:lineRule="auto"/>
              <w:rPr>
                <w:b/>
                <w:bCs/>
                <w:sz w:val="18"/>
                <w:szCs w:val="18"/>
              </w:rPr>
            </w:pPr>
          </w:p>
        </w:tc>
        <w:tc>
          <w:tcPr>
            <w:tcW w:w="1102" w:type="dxa"/>
            <w:tcBorders>
              <w:top w:val="single" w:sz="4" w:space="0" w:color="auto"/>
              <w:left w:val="nil"/>
              <w:bottom w:val="single" w:sz="4" w:space="0" w:color="auto"/>
              <w:right w:val="nil"/>
            </w:tcBorders>
            <w:shd w:val="clear" w:color="auto" w:fill="auto"/>
            <w:vAlign w:val="center"/>
            <w:hideMark/>
          </w:tcPr>
          <w:p w14:paraId="79B37A8F" w14:textId="77777777" w:rsidR="00B9311E" w:rsidRPr="00BD77D8" w:rsidRDefault="00B9311E" w:rsidP="00B9311E">
            <w:pPr>
              <w:spacing w:after="0" w:line="240" w:lineRule="auto"/>
              <w:jc w:val="right"/>
              <w:rPr>
                <w:b/>
                <w:bCs/>
                <w:sz w:val="18"/>
                <w:szCs w:val="18"/>
              </w:rPr>
            </w:pPr>
            <w:r w:rsidRPr="00BD77D8">
              <w:rPr>
                <w:b/>
                <w:bCs/>
                <w:sz w:val="18"/>
                <w:szCs w:val="18"/>
              </w:rPr>
              <w:t xml:space="preserve">    58,515 </w:t>
            </w:r>
          </w:p>
        </w:tc>
        <w:tc>
          <w:tcPr>
            <w:tcW w:w="882" w:type="dxa"/>
            <w:tcBorders>
              <w:top w:val="single" w:sz="4" w:space="0" w:color="auto"/>
              <w:left w:val="nil"/>
              <w:bottom w:val="single" w:sz="4" w:space="0" w:color="auto"/>
              <w:right w:val="nil"/>
            </w:tcBorders>
            <w:shd w:val="clear" w:color="auto" w:fill="auto"/>
            <w:vAlign w:val="center"/>
            <w:hideMark/>
          </w:tcPr>
          <w:p w14:paraId="7571A6BF" w14:textId="77777777" w:rsidR="00B9311E" w:rsidRPr="00BD77D8" w:rsidRDefault="00B9311E" w:rsidP="00B9311E">
            <w:pPr>
              <w:spacing w:after="0" w:line="240" w:lineRule="auto"/>
              <w:jc w:val="right"/>
              <w:rPr>
                <w:b/>
                <w:bCs/>
                <w:sz w:val="18"/>
                <w:szCs w:val="18"/>
              </w:rPr>
            </w:pPr>
            <w:r w:rsidRPr="00BD77D8">
              <w:rPr>
                <w:b/>
                <w:bCs/>
                <w:sz w:val="18"/>
                <w:szCs w:val="18"/>
              </w:rPr>
              <w:t xml:space="preserve"> 60,849 </w:t>
            </w:r>
          </w:p>
        </w:tc>
      </w:tr>
      <w:tr w:rsidR="00BD77D8" w:rsidRPr="00BD77D8" w14:paraId="0277DF11" w14:textId="77777777" w:rsidTr="003057FB">
        <w:trPr>
          <w:trHeight w:val="267"/>
        </w:trPr>
        <w:tc>
          <w:tcPr>
            <w:tcW w:w="6367" w:type="dxa"/>
            <w:tcBorders>
              <w:top w:val="nil"/>
              <w:left w:val="nil"/>
              <w:bottom w:val="nil"/>
              <w:right w:val="nil"/>
            </w:tcBorders>
            <w:shd w:val="clear" w:color="auto" w:fill="auto"/>
            <w:vAlign w:val="center"/>
            <w:hideMark/>
          </w:tcPr>
          <w:p w14:paraId="1FDBFDA3" w14:textId="77777777" w:rsidR="00B9311E" w:rsidRPr="00BD77D8" w:rsidRDefault="00B9311E" w:rsidP="00B9311E">
            <w:pPr>
              <w:spacing w:after="0" w:line="240" w:lineRule="auto"/>
              <w:rPr>
                <w:b/>
                <w:bCs/>
                <w:sz w:val="18"/>
                <w:szCs w:val="18"/>
              </w:rPr>
            </w:pPr>
            <w:r w:rsidRPr="00BD77D8">
              <w:rPr>
                <w:b/>
                <w:bCs/>
                <w:sz w:val="18"/>
                <w:szCs w:val="18"/>
              </w:rPr>
              <w:t xml:space="preserve"> Financial Liabilities </w:t>
            </w:r>
          </w:p>
        </w:tc>
        <w:tc>
          <w:tcPr>
            <w:tcW w:w="1855" w:type="dxa"/>
            <w:tcBorders>
              <w:top w:val="nil"/>
              <w:left w:val="nil"/>
              <w:bottom w:val="nil"/>
              <w:right w:val="nil"/>
            </w:tcBorders>
            <w:shd w:val="clear" w:color="auto" w:fill="auto"/>
            <w:vAlign w:val="center"/>
            <w:hideMark/>
          </w:tcPr>
          <w:p w14:paraId="559E1F7E" w14:textId="77777777" w:rsidR="00B9311E" w:rsidRPr="00BD77D8" w:rsidRDefault="00B9311E" w:rsidP="00B9311E">
            <w:pPr>
              <w:spacing w:after="0" w:line="240" w:lineRule="auto"/>
              <w:rPr>
                <w:b/>
                <w:bCs/>
                <w:sz w:val="18"/>
                <w:szCs w:val="18"/>
              </w:rPr>
            </w:pPr>
          </w:p>
        </w:tc>
        <w:tc>
          <w:tcPr>
            <w:tcW w:w="1102" w:type="dxa"/>
            <w:tcBorders>
              <w:top w:val="nil"/>
              <w:left w:val="nil"/>
              <w:bottom w:val="nil"/>
              <w:right w:val="nil"/>
            </w:tcBorders>
            <w:shd w:val="clear" w:color="auto" w:fill="auto"/>
            <w:vAlign w:val="center"/>
            <w:hideMark/>
          </w:tcPr>
          <w:p w14:paraId="2E2B1757"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882" w:type="dxa"/>
            <w:tcBorders>
              <w:top w:val="nil"/>
              <w:left w:val="nil"/>
              <w:bottom w:val="nil"/>
              <w:right w:val="nil"/>
            </w:tcBorders>
            <w:shd w:val="clear" w:color="auto" w:fill="auto"/>
            <w:vAlign w:val="center"/>
            <w:hideMark/>
          </w:tcPr>
          <w:p w14:paraId="462B3408"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5C2F7F6B" w14:textId="77777777" w:rsidTr="003057FB">
        <w:trPr>
          <w:trHeight w:val="267"/>
        </w:trPr>
        <w:tc>
          <w:tcPr>
            <w:tcW w:w="6367" w:type="dxa"/>
            <w:tcBorders>
              <w:top w:val="nil"/>
              <w:left w:val="nil"/>
              <w:bottom w:val="nil"/>
              <w:right w:val="nil"/>
            </w:tcBorders>
            <w:shd w:val="clear" w:color="auto" w:fill="auto"/>
            <w:vAlign w:val="center"/>
            <w:hideMark/>
          </w:tcPr>
          <w:p w14:paraId="4BB53F94" w14:textId="77777777" w:rsidR="00B9311E" w:rsidRPr="00BD77D8" w:rsidRDefault="00B9311E" w:rsidP="00B9311E">
            <w:pPr>
              <w:spacing w:after="0" w:line="240" w:lineRule="auto"/>
              <w:rPr>
                <w:sz w:val="18"/>
                <w:szCs w:val="18"/>
              </w:rPr>
            </w:pPr>
            <w:r w:rsidRPr="00BD77D8">
              <w:rPr>
                <w:sz w:val="18"/>
                <w:szCs w:val="18"/>
              </w:rPr>
              <w:t xml:space="preserve"> Financial liabilities at amortised cost: </w:t>
            </w:r>
          </w:p>
        </w:tc>
        <w:tc>
          <w:tcPr>
            <w:tcW w:w="1855" w:type="dxa"/>
            <w:tcBorders>
              <w:top w:val="nil"/>
              <w:left w:val="nil"/>
              <w:bottom w:val="nil"/>
              <w:right w:val="nil"/>
            </w:tcBorders>
            <w:shd w:val="clear" w:color="auto" w:fill="auto"/>
            <w:vAlign w:val="center"/>
            <w:hideMark/>
          </w:tcPr>
          <w:p w14:paraId="0354F7A6" w14:textId="77777777" w:rsidR="00B9311E" w:rsidRPr="00BD77D8" w:rsidRDefault="00B9311E" w:rsidP="00B9311E">
            <w:pPr>
              <w:spacing w:after="0" w:line="240" w:lineRule="auto"/>
              <w:rPr>
                <w:b/>
                <w:bCs/>
                <w:sz w:val="18"/>
                <w:szCs w:val="18"/>
              </w:rPr>
            </w:pPr>
          </w:p>
        </w:tc>
        <w:tc>
          <w:tcPr>
            <w:tcW w:w="1102" w:type="dxa"/>
            <w:tcBorders>
              <w:top w:val="nil"/>
              <w:left w:val="nil"/>
              <w:bottom w:val="nil"/>
              <w:right w:val="nil"/>
            </w:tcBorders>
            <w:shd w:val="clear" w:color="auto" w:fill="auto"/>
            <w:vAlign w:val="center"/>
            <w:hideMark/>
          </w:tcPr>
          <w:p w14:paraId="6DAD4E7A"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882" w:type="dxa"/>
            <w:tcBorders>
              <w:top w:val="nil"/>
              <w:left w:val="nil"/>
              <w:bottom w:val="nil"/>
              <w:right w:val="nil"/>
            </w:tcBorders>
            <w:shd w:val="clear" w:color="auto" w:fill="auto"/>
            <w:vAlign w:val="center"/>
            <w:hideMark/>
          </w:tcPr>
          <w:p w14:paraId="2CA8A0D9"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2F46E70C" w14:textId="77777777" w:rsidTr="003057FB">
        <w:trPr>
          <w:trHeight w:val="267"/>
        </w:trPr>
        <w:tc>
          <w:tcPr>
            <w:tcW w:w="6367" w:type="dxa"/>
            <w:tcBorders>
              <w:top w:val="nil"/>
              <w:left w:val="nil"/>
              <w:bottom w:val="nil"/>
              <w:right w:val="nil"/>
            </w:tcBorders>
            <w:shd w:val="clear" w:color="auto" w:fill="auto"/>
            <w:vAlign w:val="center"/>
            <w:hideMark/>
          </w:tcPr>
          <w:p w14:paraId="25381CDD" w14:textId="77777777" w:rsidR="00B9311E" w:rsidRPr="00BD77D8" w:rsidRDefault="00B9311E" w:rsidP="00B9311E">
            <w:pPr>
              <w:spacing w:after="0" w:line="240" w:lineRule="auto"/>
              <w:rPr>
                <w:sz w:val="18"/>
                <w:szCs w:val="18"/>
              </w:rPr>
            </w:pPr>
            <w:r w:rsidRPr="00BD77D8">
              <w:rPr>
                <w:sz w:val="18"/>
                <w:szCs w:val="18"/>
              </w:rPr>
              <w:t xml:space="preserve"> Payables </w:t>
            </w:r>
          </w:p>
        </w:tc>
        <w:tc>
          <w:tcPr>
            <w:tcW w:w="1855" w:type="dxa"/>
            <w:tcBorders>
              <w:top w:val="nil"/>
              <w:left w:val="nil"/>
              <w:bottom w:val="nil"/>
              <w:right w:val="nil"/>
            </w:tcBorders>
            <w:shd w:val="clear" w:color="auto" w:fill="auto"/>
            <w:vAlign w:val="center"/>
            <w:hideMark/>
          </w:tcPr>
          <w:p w14:paraId="74B820D3" w14:textId="77777777" w:rsidR="00B9311E" w:rsidRPr="00BD77D8" w:rsidRDefault="00B9311E" w:rsidP="00B9311E">
            <w:pPr>
              <w:spacing w:after="0" w:line="240" w:lineRule="auto"/>
              <w:jc w:val="center"/>
              <w:rPr>
                <w:b/>
                <w:bCs/>
                <w:sz w:val="18"/>
                <w:szCs w:val="18"/>
              </w:rPr>
            </w:pPr>
            <w:r w:rsidRPr="00BD77D8">
              <w:rPr>
                <w:b/>
                <w:bCs/>
                <w:sz w:val="18"/>
                <w:szCs w:val="18"/>
              </w:rPr>
              <w:t xml:space="preserve"> C6 </w:t>
            </w:r>
          </w:p>
        </w:tc>
        <w:tc>
          <w:tcPr>
            <w:tcW w:w="1102" w:type="dxa"/>
            <w:tcBorders>
              <w:top w:val="nil"/>
              <w:left w:val="nil"/>
              <w:bottom w:val="nil"/>
              <w:right w:val="nil"/>
            </w:tcBorders>
            <w:shd w:val="clear" w:color="auto" w:fill="auto"/>
            <w:vAlign w:val="center"/>
            <w:hideMark/>
          </w:tcPr>
          <w:p w14:paraId="56D036FC" w14:textId="77777777" w:rsidR="00B9311E" w:rsidRPr="00BD77D8" w:rsidRDefault="00B9311E" w:rsidP="00B9311E">
            <w:pPr>
              <w:spacing w:after="0" w:line="240" w:lineRule="auto"/>
              <w:jc w:val="right"/>
              <w:rPr>
                <w:sz w:val="18"/>
                <w:szCs w:val="18"/>
              </w:rPr>
            </w:pPr>
            <w:r w:rsidRPr="00BD77D8">
              <w:rPr>
                <w:sz w:val="18"/>
                <w:szCs w:val="18"/>
              </w:rPr>
              <w:t xml:space="preserve">    26,482 </w:t>
            </w:r>
          </w:p>
        </w:tc>
        <w:tc>
          <w:tcPr>
            <w:tcW w:w="882" w:type="dxa"/>
            <w:tcBorders>
              <w:top w:val="nil"/>
              <w:left w:val="nil"/>
              <w:bottom w:val="nil"/>
              <w:right w:val="nil"/>
            </w:tcBorders>
            <w:shd w:val="clear" w:color="auto" w:fill="auto"/>
            <w:vAlign w:val="center"/>
            <w:hideMark/>
          </w:tcPr>
          <w:p w14:paraId="0CDA56F7" w14:textId="77777777" w:rsidR="00B9311E" w:rsidRPr="00BD77D8" w:rsidRDefault="00B9311E" w:rsidP="00B9311E">
            <w:pPr>
              <w:spacing w:after="0" w:line="240" w:lineRule="auto"/>
              <w:jc w:val="right"/>
              <w:rPr>
                <w:sz w:val="18"/>
                <w:szCs w:val="18"/>
              </w:rPr>
            </w:pPr>
            <w:r w:rsidRPr="00BD77D8">
              <w:rPr>
                <w:sz w:val="18"/>
                <w:szCs w:val="18"/>
              </w:rPr>
              <w:t xml:space="preserve"> 37,926 </w:t>
            </w:r>
          </w:p>
        </w:tc>
      </w:tr>
      <w:tr w:rsidR="00BD77D8" w:rsidRPr="00BD77D8" w14:paraId="69A67DC0" w14:textId="77777777" w:rsidTr="003057FB">
        <w:trPr>
          <w:trHeight w:val="267"/>
        </w:trPr>
        <w:tc>
          <w:tcPr>
            <w:tcW w:w="6367" w:type="dxa"/>
            <w:tcBorders>
              <w:top w:val="nil"/>
              <w:left w:val="nil"/>
              <w:bottom w:val="nil"/>
              <w:right w:val="nil"/>
            </w:tcBorders>
            <w:shd w:val="clear" w:color="auto" w:fill="auto"/>
            <w:vAlign w:val="center"/>
            <w:hideMark/>
          </w:tcPr>
          <w:p w14:paraId="4E1A7C5E" w14:textId="77777777" w:rsidR="00B9311E" w:rsidRPr="00BD77D8" w:rsidRDefault="00B9311E" w:rsidP="00B9311E">
            <w:pPr>
              <w:spacing w:after="0" w:line="240" w:lineRule="auto"/>
              <w:rPr>
                <w:b/>
                <w:bCs/>
                <w:sz w:val="18"/>
                <w:szCs w:val="18"/>
              </w:rPr>
            </w:pPr>
            <w:r w:rsidRPr="00BD77D8">
              <w:rPr>
                <w:b/>
                <w:bCs/>
                <w:sz w:val="18"/>
                <w:szCs w:val="18"/>
              </w:rPr>
              <w:t xml:space="preserve"> Total financial liabilities at amortised cost </w:t>
            </w:r>
          </w:p>
        </w:tc>
        <w:tc>
          <w:tcPr>
            <w:tcW w:w="1855" w:type="dxa"/>
            <w:tcBorders>
              <w:top w:val="nil"/>
              <w:left w:val="nil"/>
              <w:bottom w:val="nil"/>
              <w:right w:val="nil"/>
            </w:tcBorders>
            <w:shd w:val="clear" w:color="auto" w:fill="auto"/>
            <w:vAlign w:val="center"/>
            <w:hideMark/>
          </w:tcPr>
          <w:p w14:paraId="69220726" w14:textId="77777777" w:rsidR="00B9311E" w:rsidRPr="00BD77D8" w:rsidRDefault="00B9311E" w:rsidP="00B9311E">
            <w:pPr>
              <w:spacing w:after="0" w:line="240" w:lineRule="auto"/>
              <w:rPr>
                <w:b/>
                <w:bCs/>
                <w:sz w:val="18"/>
                <w:szCs w:val="18"/>
              </w:rPr>
            </w:pPr>
          </w:p>
        </w:tc>
        <w:tc>
          <w:tcPr>
            <w:tcW w:w="1102" w:type="dxa"/>
            <w:tcBorders>
              <w:top w:val="single" w:sz="4" w:space="0" w:color="auto"/>
              <w:left w:val="nil"/>
              <w:bottom w:val="single" w:sz="4" w:space="0" w:color="auto"/>
              <w:right w:val="nil"/>
            </w:tcBorders>
            <w:shd w:val="clear" w:color="auto" w:fill="auto"/>
            <w:vAlign w:val="center"/>
            <w:hideMark/>
          </w:tcPr>
          <w:p w14:paraId="59793750" w14:textId="77777777" w:rsidR="00B9311E" w:rsidRPr="00BD77D8" w:rsidRDefault="00B9311E" w:rsidP="00B9311E">
            <w:pPr>
              <w:spacing w:after="0" w:line="240" w:lineRule="auto"/>
              <w:jc w:val="right"/>
              <w:rPr>
                <w:b/>
                <w:bCs/>
                <w:sz w:val="18"/>
                <w:szCs w:val="18"/>
              </w:rPr>
            </w:pPr>
            <w:r w:rsidRPr="00BD77D8">
              <w:rPr>
                <w:b/>
                <w:bCs/>
                <w:sz w:val="18"/>
                <w:szCs w:val="18"/>
              </w:rPr>
              <w:t xml:space="preserve">    26,482 </w:t>
            </w:r>
          </w:p>
        </w:tc>
        <w:tc>
          <w:tcPr>
            <w:tcW w:w="882" w:type="dxa"/>
            <w:tcBorders>
              <w:top w:val="single" w:sz="4" w:space="0" w:color="auto"/>
              <w:left w:val="nil"/>
              <w:bottom w:val="single" w:sz="4" w:space="0" w:color="auto"/>
              <w:right w:val="nil"/>
            </w:tcBorders>
            <w:shd w:val="clear" w:color="auto" w:fill="auto"/>
            <w:vAlign w:val="center"/>
            <w:hideMark/>
          </w:tcPr>
          <w:p w14:paraId="1A4BD13B" w14:textId="77777777" w:rsidR="00B9311E" w:rsidRPr="00BD77D8" w:rsidRDefault="00B9311E" w:rsidP="00B9311E">
            <w:pPr>
              <w:spacing w:after="0" w:line="240" w:lineRule="auto"/>
              <w:jc w:val="right"/>
              <w:rPr>
                <w:b/>
                <w:bCs/>
                <w:sz w:val="18"/>
                <w:szCs w:val="18"/>
              </w:rPr>
            </w:pPr>
            <w:r w:rsidRPr="00BD77D8">
              <w:rPr>
                <w:b/>
                <w:bCs/>
                <w:sz w:val="18"/>
                <w:szCs w:val="18"/>
              </w:rPr>
              <w:t xml:space="preserve"> 37,926 </w:t>
            </w:r>
          </w:p>
        </w:tc>
      </w:tr>
    </w:tbl>
    <w:p w14:paraId="4D5AFB49" w14:textId="77777777" w:rsidR="00B9311E" w:rsidRPr="00BD77D8" w:rsidRDefault="00B9311E" w:rsidP="006226A9">
      <w:pPr>
        <w:spacing w:before="200" w:line="206" w:lineRule="exact"/>
        <w:ind w:right="289"/>
        <w:textAlignment w:val="baseline"/>
        <w:rPr>
          <w:rFonts w:eastAsia="Arial"/>
          <w:b/>
          <w:bCs/>
          <w:sz w:val="18"/>
          <w:szCs w:val="18"/>
          <w:lang w:eastAsia="en-US"/>
        </w:rPr>
      </w:pPr>
      <w:r w:rsidRPr="00BD77D8">
        <w:rPr>
          <w:rFonts w:eastAsia="Arial"/>
          <w:b/>
          <w:bCs/>
          <w:sz w:val="18"/>
          <w:szCs w:val="18"/>
          <w:lang w:eastAsia="en-US"/>
        </w:rPr>
        <w:t>D1-2 Risks Arising from Financial Instruments</w:t>
      </w:r>
    </w:p>
    <w:p w14:paraId="2A1C91B4" w14:textId="77777777" w:rsidR="00B9311E" w:rsidRPr="00BD77D8" w:rsidRDefault="00B9311E" w:rsidP="00B9311E">
      <w:pPr>
        <w:spacing w:after="0" w:line="20" w:lineRule="exact"/>
        <w:rPr>
          <w:rFonts w:eastAsia="PMingLiU"/>
          <w:sz w:val="18"/>
          <w:szCs w:val="18"/>
          <w:lang w:eastAsia="en-US"/>
        </w:rPr>
      </w:pPr>
    </w:p>
    <w:p w14:paraId="250E766A" w14:textId="77777777" w:rsidR="00B9311E" w:rsidRPr="00BD77D8" w:rsidRDefault="00B9311E" w:rsidP="00B9311E">
      <w:pPr>
        <w:spacing w:after="0" w:line="203" w:lineRule="exact"/>
        <w:textAlignment w:val="baseline"/>
        <w:rPr>
          <w:rFonts w:eastAsia="Arial"/>
          <w:b/>
          <w:bCs/>
          <w:sz w:val="18"/>
          <w:szCs w:val="18"/>
          <w:lang w:eastAsia="en-US"/>
        </w:rPr>
      </w:pPr>
      <w:r w:rsidRPr="00BD77D8">
        <w:rPr>
          <w:rFonts w:eastAsia="Arial"/>
          <w:sz w:val="18"/>
          <w:szCs w:val="18"/>
          <w:lang w:eastAsia="en-US"/>
        </w:rPr>
        <w:t xml:space="preserve">Financial risk management is implemented pursuant to government and departmental policy. These policies focus on </w:t>
      </w:r>
    </w:p>
    <w:p w14:paraId="36E19A0C" w14:textId="77777777" w:rsidR="00B9311E" w:rsidRPr="00BD77D8" w:rsidRDefault="00B9311E" w:rsidP="00B9311E">
      <w:pPr>
        <w:spacing w:after="0" w:line="203" w:lineRule="exact"/>
        <w:textAlignment w:val="baseline"/>
        <w:rPr>
          <w:rFonts w:eastAsia="Arial"/>
          <w:b/>
          <w:bCs/>
          <w:sz w:val="18"/>
          <w:szCs w:val="18"/>
          <w:lang w:eastAsia="en-US"/>
        </w:rPr>
      </w:pPr>
      <w:r w:rsidRPr="00BD77D8">
        <w:rPr>
          <w:rFonts w:eastAsia="Arial"/>
          <w:sz w:val="18"/>
          <w:szCs w:val="18"/>
          <w:lang w:eastAsia="en-US"/>
        </w:rPr>
        <w:t xml:space="preserve">the unpredictability of financial markets and seek to minimise potential adverse effects on the financial performance of the </w:t>
      </w:r>
    </w:p>
    <w:p w14:paraId="07DF9A86" w14:textId="77777777" w:rsidR="00B9311E" w:rsidRPr="00BD77D8" w:rsidRDefault="00B9311E" w:rsidP="006226A9">
      <w:pPr>
        <w:spacing w:line="203" w:lineRule="exact"/>
        <w:textAlignment w:val="baseline"/>
        <w:rPr>
          <w:rFonts w:eastAsia="Arial"/>
          <w:b/>
          <w:bCs/>
          <w:sz w:val="18"/>
          <w:szCs w:val="18"/>
          <w:lang w:eastAsia="en-US"/>
        </w:rPr>
      </w:pPr>
      <w:r w:rsidRPr="00BD77D8">
        <w:rPr>
          <w:rFonts w:eastAsia="Arial"/>
          <w:sz w:val="18"/>
          <w:szCs w:val="18"/>
          <w:lang w:eastAsia="en-US"/>
        </w:rPr>
        <w:t xml:space="preserve">department. </w:t>
      </w:r>
    </w:p>
    <w:p w14:paraId="7F548686" w14:textId="77777777" w:rsidR="00B9311E" w:rsidRPr="00BD77D8" w:rsidRDefault="00B9311E" w:rsidP="00B9311E">
      <w:pPr>
        <w:spacing w:after="0" w:line="203" w:lineRule="exact"/>
        <w:textAlignment w:val="baseline"/>
        <w:rPr>
          <w:rFonts w:eastAsia="Arial"/>
          <w:b/>
          <w:bCs/>
          <w:sz w:val="18"/>
          <w:szCs w:val="18"/>
          <w:lang w:eastAsia="en-US"/>
        </w:rPr>
      </w:pPr>
      <w:r w:rsidRPr="00BD77D8">
        <w:rPr>
          <w:rFonts w:eastAsia="Arial"/>
          <w:sz w:val="18"/>
          <w:szCs w:val="18"/>
          <w:lang w:eastAsia="en-US"/>
        </w:rPr>
        <w:t xml:space="preserve">All financial risk is managed by the accounting and reporting division under policies approved by the department. </w:t>
      </w:r>
    </w:p>
    <w:p w14:paraId="68B9C2E1" w14:textId="77777777" w:rsidR="00B9311E" w:rsidRPr="00BD77D8" w:rsidRDefault="00B9311E" w:rsidP="006226A9">
      <w:pPr>
        <w:spacing w:line="203" w:lineRule="exact"/>
        <w:textAlignment w:val="baseline"/>
        <w:rPr>
          <w:rFonts w:eastAsia="Arial"/>
          <w:b/>
          <w:bCs/>
          <w:sz w:val="18"/>
          <w:szCs w:val="18"/>
          <w:lang w:eastAsia="en-US"/>
        </w:rPr>
      </w:pPr>
      <w:r w:rsidRPr="00BD77D8">
        <w:rPr>
          <w:rFonts w:eastAsia="Arial"/>
          <w:sz w:val="18"/>
          <w:szCs w:val="18"/>
          <w:lang w:eastAsia="en-US"/>
        </w:rPr>
        <w:t>The department provides written principles for overall risk management, as well as policies covering specific areas.</w:t>
      </w:r>
    </w:p>
    <w:p w14:paraId="05304A32" w14:textId="77777777" w:rsidR="00B9311E" w:rsidRPr="00BD77D8" w:rsidRDefault="00B9311E" w:rsidP="006226A9">
      <w:pPr>
        <w:spacing w:line="203" w:lineRule="exact"/>
        <w:textAlignment w:val="baseline"/>
        <w:rPr>
          <w:rFonts w:eastAsia="Arial"/>
          <w:b/>
          <w:bCs/>
          <w:sz w:val="18"/>
          <w:szCs w:val="18"/>
          <w:lang w:eastAsia="en-US"/>
        </w:rPr>
      </w:pPr>
      <w:r w:rsidRPr="00BD77D8">
        <w:rPr>
          <w:rFonts w:eastAsia="Arial"/>
          <w:sz w:val="18"/>
          <w:szCs w:val="18"/>
          <w:lang w:eastAsia="en-US"/>
        </w:rPr>
        <w:t>The department measures risk exposure using a variety of methods as follows:</w:t>
      </w:r>
    </w:p>
    <w:p w14:paraId="5DF1A768" w14:textId="77777777" w:rsidR="00B9311E" w:rsidRPr="00BD77D8" w:rsidRDefault="00B9311E" w:rsidP="00B9311E">
      <w:pPr>
        <w:tabs>
          <w:tab w:val="left" w:pos="2304"/>
        </w:tabs>
        <w:spacing w:after="0" w:line="203" w:lineRule="exact"/>
        <w:textAlignment w:val="baseline"/>
        <w:rPr>
          <w:rFonts w:eastAsia="Arial"/>
          <w:b/>
          <w:bCs/>
          <w:sz w:val="18"/>
          <w:szCs w:val="18"/>
          <w:lang w:eastAsia="en-US"/>
        </w:rPr>
      </w:pPr>
      <w:r w:rsidRPr="00BD77D8">
        <w:rPr>
          <w:rFonts w:eastAsia="Arial"/>
          <w:b/>
          <w:bCs/>
          <w:sz w:val="18"/>
          <w:szCs w:val="18"/>
          <w:lang w:eastAsia="en-US"/>
        </w:rPr>
        <w:t>Risk Exposure</w:t>
      </w:r>
      <w:r w:rsidRPr="00BD77D8">
        <w:rPr>
          <w:rFonts w:eastAsia="Arial"/>
          <w:b/>
          <w:bCs/>
          <w:sz w:val="18"/>
          <w:szCs w:val="18"/>
          <w:lang w:eastAsia="en-US"/>
        </w:rPr>
        <w:tab/>
        <w:t>Measurement Method</w:t>
      </w:r>
    </w:p>
    <w:p w14:paraId="1AB02F9A" w14:textId="77777777" w:rsidR="00B9311E" w:rsidRPr="00BD77D8" w:rsidRDefault="00B9311E" w:rsidP="00B9311E">
      <w:pPr>
        <w:tabs>
          <w:tab w:val="left" w:pos="2304"/>
        </w:tabs>
        <w:spacing w:after="0" w:line="202" w:lineRule="exact"/>
        <w:textAlignment w:val="baseline"/>
        <w:rPr>
          <w:rFonts w:eastAsia="Arial"/>
          <w:b/>
          <w:bCs/>
          <w:sz w:val="18"/>
          <w:szCs w:val="18"/>
          <w:lang w:eastAsia="en-US"/>
        </w:rPr>
      </w:pPr>
      <w:r w:rsidRPr="00BD77D8">
        <w:rPr>
          <w:rFonts w:eastAsia="Arial"/>
          <w:sz w:val="18"/>
          <w:szCs w:val="18"/>
          <w:lang w:eastAsia="en-US"/>
        </w:rPr>
        <w:t>Credit risk</w:t>
      </w:r>
      <w:r w:rsidRPr="00BD77D8">
        <w:rPr>
          <w:rFonts w:eastAsia="Arial"/>
          <w:sz w:val="18"/>
          <w:szCs w:val="18"/>
          <w:lang w:eastAsia="en-US"/>
        </w:rPr>
        <w:tab/>
        <w:t>Ageing analysis, earnings at risk</w:t>
      </w:r>
    </w:p>
    <w:p w14:paraId="741EF338" w14:textId="77777777" w:rsidR="00B9311E" w:rsidRPr="00BD77D8" w:rsidRDefault="00B9311E" w:rsidP="00B9311E">
      <w:pPr>
        <w:tabs>
          <w:tab w:val="left" w:pos="2304"/>
        </w:tabs>
        <w:spacing w:after="0" w:line="203" w:lineRule="exact"/>
        <w:textAlignment w:val="baseline"/>
        <w:rPr>
          <w:rFonts w:eastAsia="Arial"/>
          <w:b/>
          <w:bCs/>
          <w:sz w:val="18"/>
          <w:szCs w:val="18"/>
          <w:lang w:eastAsia="en-US"/>
        </w:rPr>
      </w:pPr>
      <w:r w:rsidRPr="00BD77D8">
        <w:rPr>
          <w:rFonts w:eastAsia="Arial"/>
          <w:sz w:val="18"/>
          <w:szCs w:val="18"/>
          <w:lang w:eastAsia="en-US"/>
        </w:rPr>
        <w:t>Liquidity risk</w:t>
      </w:r>
      <w:r w:rsidRPr="00BD77D8">
        <w:rPr>
          <w:rFonts w:eastAsia="Arial"/>
          <w:sz w:val="18"/>
          <w:szCs w:val="18"/>
          <w:lang w:eastAsia="en-US"/>
        </w:rPr>
        <w:tab/>
        <w:t xml:space="preserve">Sensitivity analysis, </w:t>
      </w:r>
      <w:proofErr w:type="gramStart"/>
      <w:r w:rsidRPr="00BD77D8">
        <w:rPr>
          <w:rFonts w:eastAsia="Arial"/>
          <w:sz w:val="18"/>
          <w:szCs w:val="18"/>
          <w:lang w:eastAsia="en-US"/>
        </w:rPr>
        <w:t>where</w:t>
      </w:r>
      <w:proofErr w:type="gramEnd"/>
      <w:r w:rsidRPr="00BD77D8">
        <w:rPr>
          <w:rFonts w:eastAsia="Arial"/>
          <w:sz w:val="18"/>
          <w:szCs w:val="18"/>
          <w:lang w:eastAsia="en-US"/>
        </w:rPr>
        <w:t xml:space="preserve"> material</w:t>
      </w:r>
    </w:p>
    <w:p w14:paraId="6265A819" w14:textId="77777777" w:rsidR="00B9311E" w:rsidRPr="00BD77D8" w:rsidRDefault="00B9311E" w:rsidP="00B9311E">
      <w:pPr>
        <w:tabs>
          <w:tab w:val="left" w:pos="2304"/>
        </w:tabs>
        <w:spacing w:after="0" w:line="203" w:lineRule="exact"/>
        <w:textAlignment w:val="baseline"/>
        <w:rPr>
          <w:rFonts w:eastAsia="Arial"/>
          <w:b/>
          <w:bCs/>
          <w:sz w:val="18"/>
          <w:szCs w:val="18"/>
          <w:lang w:eastAsia="en-US"/>
        </w:rPr>
      </w:pPr>
      <w:r w:rsidRPr="00BD77D8">
        <w:rPr>
          <w:rFonts w:eastAsia="Arial"/>
          <w:sz w:val="18"/>
          <w:szCs w:val="18"/>
          <w:lang w:eastAsia="en-US"/>
        </w:rPr>
        <w:t>Market risk</w:t>
      </w:r>
      <w:r w:rsidRPr="00BD77D8">
        <w:rPr>
          <w:rFonts w:eastAsia="Arial"/>
          <w:sz w:val="18"/>
          <w:szCs w:val="18"/>
          <w:lang w:eastAsia="en-US"/>
        </w:rPr>
        <w:tab/>
        <w:t xml:space="preserve">Interest rate sensitivity analysis, </w:t>
      </w:r>
      <w:proofErr w:type="gramStart"/>
      <w:r w:rsidRPr="00BD77D8">
        <w:rPr>
          <w:rFonts w:eastAsia="Arial"/>
          <w:sz w:val="18"/>
          <w:szCs w:val="18"/>
          <w:lang w:eastAsia="en-US"/>
        </w:rPr>
        <w:t>where</w:t>
      </w:r>
      <w:proofErr w:type="gramEnd"/>
      <w:r w:rsidRPr="00BD77D8">
        <w:rPr>
          <w:rFonts w:eastAsia="Arial"/>
          <w:sz w:val="18"/>
          <w:szCs w:val="18"/>
          <w:lang w:eastAsia="en-US"/>
        </w:rPr>
        <w:t xml:space="preserve"> material</w:t>
      </w:r>
    </w:p>
    <w:p w14:paraId="5907F55D" w14:textId="2039011B" w:rsidR="00B9311E" w:rsidRPr="00BD77D8" w:rsidRDefault="0040288C" w:rsidP="00C3515C">
      <w:pPr>
        <w:spacing w:before="1320" w:after="0" w:line="240" w:lineRule="auto"/>
        <w:rPr>
          <w:rFonts w:eastAsia="Arial"/>
          <w:bCs/>
          <w:sz w:val="18"/>
          <w:szCs w:val="18"/>
          <w:lang w:eastAsia="en-US"/>
        </w:rPr>
      </w:pP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t>Page 30 of 45</w:t>
      </w:r>
      <w:r w:rsidR="00B9311E" w:rsidRPr="00BD77D8">
        <w:rPr>
          <w:rFonts w:eastAsia="Arial"/>
          <w:bCs/>
          <w:sz w:val="18"/>
          <w:szCs w:val="18"/>
          <w:lang w:eastAsia="en-US"/>
        </w:rPr>
        <w:br w:type="page"/>
      </w:r>
    </w:p>
    <w:p w14:paraId="215CCA1A"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7FC20EB3"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52BADF43"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6613FF74"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1F920A91" w14:textId="77777777" w:rsidR="00B9311E" w:rsidRPr="00BD77D8" w:rsidRDefault="00B9311E" w:rsidP="00E47A6E">
      <w:pPr>
        <w:spacing w:before="240" w:after="0" w:line="203" w:lineRule="exact"/>
        <w:rPr>
          <w:rFonts w:eastAsia="PMingLiU"/>
          <w:b/>
          <w:bCs/>
          <w:sz w:val="18"/>
          <w:szCs w:val="18"/>
          <w:lang w:eastAsia="en-US"/>
        </w:rPr>
      </w:pPr>
      <w:r w:rsidRPr="00BD77D8">
        <w:rPr>
          <w:rFonts w:eastAsia="PMingLiU"/>
          <w:b/>
          <w:bCs/>
          <w:sz w:val="18"/>
          <w:szCs w:val="18"/>
          <w:lang w:eastAsia="en-US"/>
        </w:rPr>
        <w:t>D1-3 Credit Risk Disclosures</w:t>
      </w:r>
    </w:p>
    <w:p w14:paraId="28E820CF" w14:textId="77777777" w:rsidR="00B9311E" w:rsidRPr="00BD77D8" w:rsidRDefault="00B9311E" w:rsidP="006226A9">
      <w:pPr>
        <w:spacing w:before="200" w:line="203" w:lineRule="exact"/>
        <w:rPr>
          <w:rFonts w:eastAsia="PMingLiU"/>
          <w:b/>
          <w:bCs/>
          <w:sz w:val="18"/>
          <w:szCs w:val="18"/>
          <w:lang w:eastAsia="en-US"/>
        </w:rPr>
      </w:pPr>
      <w:r w:rsidRPr="00BD77D8">
        <w:rPr>
          <w:rFonts w:eastAsia="PMingLiU"/>
          <w:b/>
          <w:bCs/>
          <w:sz w:val="18"/>
          <w:szCs w:val="18"/>
          <w:lang w:eastAsia="en-US"/>
        </w:rPr>
        <w:t>Credit risk management practices</w:t>
      </w:r>
    </w:p>
    <w:p w14:paraId="58C32DC8" w14:textId="77777777" w:rsidR="00B9311E" w:rsidRPr="00BD77D8" w:rsidRDefault="00B9311E" w:rsidP="00B9311E">
      <w:pPr>
        <w:spacing w:after="0" w:line="203" w:lineRule="exact"/>
        <w:rPr>
          <w:rFonts w:eastAsia="PMingLiU"/>
          <w:b/>
          <w:bCs/>
          <w:sz w:val="18"/>
          <w:szCs w:val="18"/>
          <w:lang w:eastAsia="en-US"/>
        </w:rPr>
      </w:pPr>
      <w:r w:rsidRPr="00BD77D8">
        <w:rPr>
          <w:rFonts w:eastAsia="PMingLiU"/>
          <w:sz w:val="18"/>
          <w:szCs w:val="18"/>
          <w:lang w:eastAsia="en-US"/>
        </w:rPr>
        <w:t xml:space="preserve">The department typically considers a financial asset to be in default when it becomes 90 days past due. However, a financial </w:t>
      </w:r>
    </w:p>
    <w:p w14:paraId="52C03157" w14:textId="77777777" w:rsidR="00B9311E" w:rsidRPr="00BD77D8" w:rsidRDefault="00B9311E" w:rsidP="00B9311E">
      <w:pPr>
        <w:spacing w:after="0" w:line="203" w:lineRule="exact"/>
        <w:rPr>
          <w:rFonts w:eastAsia="PMingLiU"/>
          <w:b/>
          <w:bCs/>
          <w:sz w:val="18"/>
          <w:szCs w:val="18"/>
          <w:lang w:eastAsia="en-US"/>
        </w:rPr>
      </w:pPr>
      <w:r w:rsidRPr="00BD77D8">
        <w:rPr>
          <w:rFonts w:eastAsia="PMingLiU"/>
          <w:sz w:val="18"/>
          <w:szCs w:val="18"/>
          <w:lang w:eastAsia="en-US"/>
        </w:rPr>
        <w:t xml:space="preserve">asset can be in default before that point if information indicates that the department is unlikely to receive the outstanding </w:t>
      </w:r>
    </w:p>
    <w:p w14:paraId="3231AEB9" w14:textId="77777777" w:rsidR="00B9311E" w:rsidRPr="00BD77D8" w:rsidRDefault="00B9311E" w:rsidP="006226A9">
      <w:pPr>
        <w:spacing w:line="203" w:lineRule="exact"/>
        <w:rPr>
          <w:rFonts w:eastAsia="PMingLiU"/>
          <w:b/>
          <w:bCs/>
          <w:sz w:val="18"/>
          <w:szCs w:val="18"/>
          <w:lang w:eastAsia="en-US"/>
        </w:rPr>
      </w:pPr>
      <w:r w:rsidRPr="00BD77D8">
        <w:rPr>
          <w:rFonts w:eastAsia="PMingLiU"/>
          <w:sz w:val="18"/>
          <w:szCs w:val="18"/>
          <w:lang w:eastAsia="en-US"/>
        </w:rPr>
        <w:t>amounts in full. The department’s assessment of default does not take into account any collateral or other credit enhancements</w:t>
      </w:r>
    </w:p>
    <w:p w14:paraId="64D6BCE5" w14:textId="77777777" w:rsidR="00B9311E" w:rsidRPr="00BD77D8" w:rsidRDefault="00B9311E" w:rsidP="006226A9">
      <w:pPr>
        <w:spacing w:line="203" w:lineRule="exact"/>
        <w:rPr>
          <w:rFonts w:eastAsia="PMingLiU"/>
          <w:b/>
          <w:bCs/>
          <w:sz w:val="18"/>
          <w:szCs w:val="18"/>
          <w:lang w:eastAsia="en-US"/>
        </w:rPr>
      </w:pPr>
      <w:r w:rsidRPr="00BD77D8">
        <w:rPr>
          <w:rFonts w:eastAsia="PMingLiU"/>
          <w:b/>
          <w:bCs/>
          <w:sz w:val="18"/>
          <w:szCs w:val="18"/>
          <w:lang w:eastAsia="en-US"/>
        </w:rPr>
        <w:t>Credit risk exposure</w:t>
      </w:r>
    </w:p>
    <w:p w14:paraId="77AFE047" w14:textId="77777777" w:rsidR="00B9311E" w:rsidRPr="00BD77D8" w:rsidRDefault="00B9311E" w:rsidP="006226A9">
      <w:pPr>
        <w:spacing w:line="203" w:lineRule="exact"/>
        <w:rPr>
          <w:rFonts w:eastAsia="PMingLiU"/>
          <w:b/>
          <w:bCs/>
          <w:sz w:val="18"/>
          <w:szCs w:val="18"/>
          <w:lang w:eastAsia="en-US"/>
        </w:rPr>
      </w:pPr>
      <w:r w:rsidRPr="00BD77D8">
        <w:rPr>
          <w:rFonts w:eastAsia="PMingLiU"/>
          <w:sz w:val="18"/>
          <w:szCs w:val="22"/>
          <w:lang w:eastAsia="en-US"/>
        </w:rPr>
        <w:t>Credit risk exposure relating to receivables is disclosed in Note C2.</w:t>
      </w:r>
    </w:p>
    <w:p w14:paraId="66669FE6" w14:textId="77777777" w:rsidR="00B9311E" w:rsidRPr="00BD77D8" w:rsidRDefault="00B9311E" w:rsidP="006226A9">
      <w:pPr>
        <w:spacing w:line="207" w:lineRule="exact"/>
        <w:ind w:right="720"/>
        <w:textAlignment w:val="baseline"/>
        <w:rPr>
          <w:rFonts w:eastAsia="Arial"/>
          <w:b/>
          <w:bCs/>
          <w:sz w:val="18"/>
          <w:szCs w:val="18"/>
          <w:lang w:eastAsia="en-US"/>
        </w:rPr>
      </w:pPr>
      <w:r w:rsidRPr="00BD77D8">
        <w:rPr>
          <w:rFonts w:eastAsia="Arial"/>
          <w:b/>
          <w:bCs/>
          <w:sz w:val="18"/>
          <w:szCs w:val="18"/>
          <w:lang w:eastAsia="en-US"/>
        </w:rPr>
        <w:t>D1-4 Liquidity Risk</w:t>
      </w:r>
    </w:p>
    <w:p w14:paraId="4FBAB0A9" w14:textId="77777777" w:rsidR="00B9311E" w:rsidRPr="00BD77D8" w:rsidRDefault="00B9311E" w:rsidP="006226A9">
      <w:pPr>
        <w:spacing w:line="207" w:lineRule="exact"/>
        <w:ind w:right="720"/>
        <w:textAlignment w:val="baseline"/>
        <w:rPr>
          <w:rFonts w:eastAsia="Arial"/>
          <w:b/>
          <w:bCs/>
          <w:sz w:val="18"/>
          <w:szCs w:val="18"/>
          <w:lang w:eastAsia="en-US"/>
        </w:rPr>
      </w:pPr>
      <w:r w:rsidRPr="00BD77D8">
        <w:rPr>
          <w:rFonts w:eastAsia="Arial"/>
          <w:sz w:val="18"/>
          <w:szCs w:val="18"/>
          <w:lang w:eastAsia="en-US"/>
        </w:rPr>
        <w:t>There are no material liquidity, market and credit risks for the department. A sensitivity analysis has not been undertaken for the interest rate risk of the department as it has been determined that the possible impact on income from fluctuations in interest rates is immaterial.</w:t>
      </w:r>
    </w:p>
    <w:p w14:paraId="6034B7D2" w14:textId="77777777" w:rsidR="00B9311E" w:rsidRPr="00BD77D8" w:rsidRDefault="00B9311E" w:rsidP="006226A9">
      <w:pPr>
        <w:spacing w:line="207" w:lineRule="exact"/>
        <w:ind w:right="1152"/>
        <w:textAlignment w:val="baseline"/>
        <w:rPr>
          <w:rFonts w:eastAsia="Arial"/>
          <w:b/>
          <w:bCs/>
          <w:sz w:val="18"/>
          <w:szCs w:val="18"/>
          <w:lang w:eastAsia="en-US"/>
        </w:rPr>
      </w:pPr>
      <w:r w:rsidRPr="00BD77D8">
        <w:rPr>
          <w:rFonts w:eastAsia="Arial"/>
          <w:sz w:val="18"/>
          <w:szCs w:val="18"/>
          <w:lang w:eastAsia="en-US"/>
        </w:rPr>
        <w:t>Management review and follow up aged receivables monthly to minimise the credit risk exposure of the department.</w:t>
      </w:r>
    </w:p>
    <w:p w14:paraId="0E6E3ECA" w14:textId="77777777" w:rsidR="00B9311E" w:rsidRPr="00BD77D8" w:rsidRDefault="00B9311E" w:rsidP="009D387F">
      <w:pPr>
        <w:rPr>
          <w:rFonts w:eastAsia="Arial"/>
          <w:b/>
          <w:bCs/>
          <w:sz w:val="22"/>
          <w:szCs w:val="22"/>
          <w:lang w:eastAsia="en-US"/>
        </w:rPr>
      </w:pPr>
      <w:bookmarkStart w:id="209" w:name="_Toc111494817"/>
      <w:bookmarkStart w:id="210" w:name="_Toc111540689"/>
      <w:bookmarkStart w:id="211" w:name="_Toc111559253"/>
      <w:bookmarkStart w:id="212" w:name="_Toc113196525"/>
      <w:bookmarkStart w:id="213" w:name="_Toc113196873"/>
      <w:bookmarkStart w:id="214" w:name="_Toc113262003"/>
      <w:bookmarkStart w:id="215" w:name="_Toc113349157"/>
      <w:bookmarkStart w:id="216" w:name="_Toc113358082"/>
      <w:r w:rsidRPr="00BD77D8">
        <w:rPr>
          <w:rFonts w:eastAsia="Arial"/>
          <w:b/>
          <w:bCs/>
          <w:sz w:val="22"/>
          <w:szCs w:val="22"/>
          <w:lang w:eastAsia="en-US"/>
        </w:rPr>
        <w:t>D2 Contingencies</w:t>
      </w:r>
      <w:bookmarkEnd w:id="209"/>
      <w:bookmarkEnd w:id="210"/>
      <w:bookmarkEnd w:id="211"/>
      <w:bookmarkEnd w:id="212"/>
      <w:bookmarkEnd w:id="213"/>
      <w:bookmarkEnd w:id="214"/>
      <w:bookmarkEnd w:id="215"/>
      <w:bookmarkEnd w:id="216"/>
    </w:p>
    <w:p w14:paraId="55EE6415" w14:textId="77777777" w:rsidR="00B9311E" w:rsidRPr="00BD77D8" w:rsidRDefault="00B9311E" w:rsidP="006226A9">
      <w:pPr>
        <w:spacing w:line="180" w:lineRule="atLeast"/>
        <w:ind w:right="720"/>
        <w:textAlignment w:val="baseline"/>
        <w:rPr>
          <w:rFonts w:eastAsia="PMingLiU"/>
          <w:b/>
          <w:bCs/>
          <w:sz w:val="18"/>
          <w:szCs w:val="22"/>
          <w:lang w:eastAsia="en-US"/>
        </w:rPr>
      </w:pPr>
      <w:r w:rsidRPr="00BD77D8">
        <w:rPr>
          <w:rFonts w:eastAsia="PMingLiU"/>
          <w:b/>
          <w:bCs/>
          <w:sz w:val="18"/>
          <w:szCs w:val="22"/>
          <w:lang w:eastAsia="en-US"/>
        </w:rPr>
        <w:t>D2-1 Contingent Asset</w:t>
      </w:r>
    </w:p>
    <w:p w14:paraId="663E77F1" w14:textId="77777777" w:rsidR="00B9311E" w:rsidRPr="00BD77D8" w:rsidRDefault="00B9311E" w:rsidP="006226A9">
      <w:pPr>
        <w:spacing w:line="180" w:lineRule="atLeast"/>
        <w:ind w:right="720"/>
        <w:textAlignment w:val="baseline"/>
        <w:rPr>
          <w:rFonts w:eastAsia="PMingLiU"/>
          <w:b/>
          <w:bCs/>
          <w:sz w:val="18"/>
          <w:szCs w:val="22"/>
          <w:lang w:eastAsia="en-US"/>
        </w:rPr>
      </w:pPr>
      <w:r w:rsidRPr="00BD77D8">
        <w:rPr>
          <w:rFonts w:eastAsia="PMingLiU"/>
          <w:sz w:val="18"/>
          <w:szCs w:val="22"/>
          <w:lang w:eastAsia="en-US"/>
        </w:rPr>
        <w:t>Prior to the introduction of the NDIS, the department provided capital grant funds to some Non-Government Organisations (NGOs) for the purpose of provisioning property and facilities to support the delivery of disability services. Under these capital grant funding agreements, the Department retains a mortgage over the property to secure the payment of any money that may become owing to the Department should the conditions of the funding agreement not be met. The likelihood of these Agreements being breached is considered low and cannot be reliably measured.</w:t>
      </w:r>
    </w:p>
    <w:p w14:paraId="711F3959" w14:textId="77777777" w:rsidR="00B9311E" w:rsidRPr="00BD77D8" w:rsidRDefault="00B9311E" w:rsidP="006226A9">
      <w:pPr>
        <w:spacing w:line="180" w:lineRule="atLeast"/>
        <w:textAlignment w:val="baseline"/>
        <w:rPr>
          <w:rFonts w:eastAsia="Arial"/>
          <w:b/>
          <w:bCs/>
          <w:spacing w:val="1"/>
          <w:sz w:val="18"/>
          <w:szCs w:val="18"/>
          <w:lang w:eastAsia="en-US"/>
        </w:rPr>
      </w:pPr>
      <w:r w:rsidRPr="00BD77D8">
        <w:rPr>
          <w:rFonts w:eastAsia="Arial"/>
          <w:b/>
          <w:bCs/>
          <w:spacing w:val="1"/>
          <w:sz w:val="18"/>
          <w:szCs w:val="18"/>
          <w:lang w:eastAsia="en-US"/>
        </w:rPr>
        <w:t xml:space="preserve">D2-2 </w:t>
      </w:r>
      <w:bookmarkStart w:id="217" w:name="_Hlk107241491"/>
      <w:r w:rsidRPr="00BD77D8">
        <w:rPr>
          <w:rFonts w:eastAsia="Arial"/>
          <w:b/>
          <w:bCs/>
          <w:spacing w:val="1"/>
          <w:sz w:val="18"/>
          <w:szCs w:val="18"/>
          <w:lang w:eastAsia="en-US"/>
        </w:rPr>
        <w:t>Native Title Claims over Departmental Assets</w:t>
      </w:r>
      <w:bookmarkEnd w:id="217"/>
    </w:p>
    <w:p w14:paraId="3F5A97C2" w14:textId="77777777" w:rsidR="00B9311E" w:rsidRPr="00BD77D8" w:rsidRDefault="00B9311E" w:rsidP="006226A9">
      <w:pPr>
        <w:spacing w:line="180" w:lineRule="atLeast"/>
        <w:ind w:right="720"/>
        <w:textAlignment w:val="baseline"/>
        <w:rPr>
          <w:rFonts w:eastAsia="Arial"/>
          <w:b/>
          <w:bCs/>
          <w:sz w:val="18"/>
          <w:szCs w:val="18"/>
          <w:lang w:eastAsia="en-US"/>
        </w:rPr>
      </w:pPr>
      <w:r w:rsidRPr="00BD77D8">
        <w:rPr>
          <w:rFonts w:eastAsia="Arial"/>
          <w:sz w:val="18"/>
          <w:szCs w:val="18"/>
          <w:lang w:eastAsia="en-US"/>
        </w:rPr>
        <w:t>As at reporting date native title claims exist that covers departmental land with buildings and site improvements totalling $0.160M. At the reporting date it is not possible to make an estimate of any probable outcome of these claims, or any financial effects.</w:t>
      </w:r>
    </w:p>
    <w:p w14:paraId="7C58D030" w14:textId="77777777" w:rsidR="00B9311E" w:rsidRPr="00BD77D8" w:rsidRDefault="00B9311E" w:rsidP="009D387F">
      <w:pPr>
        <w:rPr>
          <w:rFonts w:eastAsia="Arial"/>
          <w:b/>
          <w:bCs/>
          <w:sz w:val="22"/>
          <w:szCs w:val="22"/>
          <w:lang w:eastAsia="en-US"/>
        </w:rPr>
      </w:pPr>
      <w:bookmarkStart w:id="218" w:name="_Toc111494818"/>
      <w:bookmarkStart w:id="219" w:name="_Toc111540690"/>
      <w:bookmarkStart w:id="220" w:name="_Toc111559254"/>
      <w:bookmarkStart w:id="221" w:name="_Toc113196526"/>
      <w:bookmarkStart w:id="222" w:name="_Toc113196874"/>
      <w:bookmarkStart w:id="223" w:name="_Toc113262004"/>
      <w:bookmarkStart w:id="224" w:name="_Toc113349158"/>
      <w:bookmarkStart w:id="225" w:name="_Toc113358083"/>
      <w:r w:rsidRPr="00BD77D8">
        <w:rPr>
          <w:rFonts w:eastAsia="Arial"/>
          <w:b/>
          <w:bCs/>
          <w:sz w:val="22"/>
          <w:szCs w:val="22"/>
          <w:lang w:eastAsia="en-US"/>
        </w:rPr>
        <w:t>D3 Commitments</w:t>
      </w:r>
      <w:bookmarkEnd w:id="218"/>
      <w:bookmarkEnd w:id="219"/>
      <w:bookmarkEnd w:id="220"/>
      <w:bookmarkEnd w:id="221"/>
      <w:bookmarkEnd w:id="222"/>
      <w:bookmarkEnd w:id="223"/>
      <w:bookmarkEnd w:id="224"/>
      <w:bookmarkEnd w:id="225"/>
    </w:p>
    <w:p w14:paraId="52C1F11F" w14:textId="77777777" w:rsidR="00B9311E" w:rsidRPr="00BD77D8" w:rsidRDefault="00B9311E" w:rsidP="006226A9">
      <w:pPr>
        <w:spacing w:line="180" w:lineRule="atLeast"/>
        <w:textAlignment w:val="baseline"/>
        <w:rPr>
          <w:rFonts w:eastAsia="Arial"/>
          <w:b/>
          <w:bCs/>
          <w:spacing w:val="1"/>
          <w:sz w:val="18"/>
          <w:szCs w:val="18"/>
          <w:lang w:eastAsia="en-US"/>
        </w:rPr>
      </w:pPr>
      <w:r w:rsidRPr="00BD77D8">
        <w:rPr>
          <w:rFonts w:eastAsia="Arial"/>
          <w:b/>
          <w:bCs/>
          <w:spacing w:val="1"/>
          <w:sz w:val="18"/>
          <w:szCs w:val="18"/>
          <w:lang w:eastAsia="en-US"/>
        </w:rPr>
        <w:t>D3-1 Capital Commitments</w:t>
      </w:r>
    </w:p>
    <w:p w14:paraId="0372FC5C" w14:textId="77777777" w:rsidR="00B9311E" w:rsidRPr="00BD77D8" w:rsidRDefault="00B9311E" w:rsidP="006226A9">
      <w:pPr>
        <w:spacing w:line="180" w:lineRule="atLeast"/>
        <w:textAlignment w:val="baseline"/>
        <w:rPr>
          <w:rFonts w:eastAsia="Arial"/>
          <w:b/>
          <w:bCs/>
          <w:spacing w:val="1"/>
          <w:sz w:val="18"/>
          <w:szCs w:val="18"/>
          <w:lang w:eastAsia="en-US"/>
        </w:rPr>
      </w:pPr>
      <w:r w:rsidRPr="00BD77D8">
        <w:rPr>
          <w:rFonts w:eastAsia="Arial"/>
          <w:spacing w:val="1"/>
          <w:sz w:val="18"/>
          <w:szCs w:val="18"/>
          <w:lang w:eastAsia="en-US"/>
        </w:rPr>
        <w:t>Commitments for capital expenditure at reporting date (inclusive of non-recoverable GST input tax credits) are payable:</w:t>
      </w:r>
    </w:p>
    <w:tbl>
      <w:tblPr>
        <w:tblW w:w="10051" w:type="dxa"/>
        <w:tblCellMar>
          <w:left w:w="0" w:type="dxa"/>
          <w:right w:w="0" w:type="dxa"/>
        </w:tblCellMar>
        <w:tblLook w:val="04A0" w:firstRow="1" w:lastRow="0" w:firstColumn="1" w:lastColumn="0" w:noHBand="0" w:noVBand="1"/>
      </w:tblPr>
      <w:tblGrid>
        <w:gridCol w:w="2450"/>
        <w:gridCol w:w="1126"/>
        <w:gridCol w:w="1137"/>
        <w:gridCol w:w="1281"/>
        <w:gridCol w:w="864"/>
        <w:gridCol w:w="885"/>
        <w:gridCol w:w="908"/>
        <w:gridCol w:w="751"/>
        <w:gridCol w:w="761"/>
      </w:tblGrid>
      <w:tr w:rsidR="00BD77D8" w:rsidRPr="00BD77D8" w14:paraId="6179A449" w14:textId="77777777" w:rsidTr="006226A9">
        <w:trPr>
          <w:trHeight w:val="500"/>
        </w:trPr>
        <w:tc>
          <w:tcPr>
            <w:tcW w:w="2434" w:type="dxa"/>
            <w:tcBorders>
              <w:top w:val="nil"/>
              <w:left w:val="nil"/>
              <w:bottom w:val="nil"/>
              <w:right w:val="nil"/>
            </w:tcBorders>
            <w:shd w:val="clear" w:color="auto" w:fill="auto"/>
            <w:noWrap/>
            <w:vAlign w:val="center"/>
            <w:hideMark/>
          </w:tcPr>
          <w:p w14:paraId="0008AB8A" w14:textId="77777777" w:rsidR="00B9311E" w:rsidRPr="00BD77D8" w:rsidRDefault="00B9311E" w:rsidP="00B9311E">
            <w:pPr>
              <w:spacing w:after="0" w:line="240" w:lineRule="auto"/>
              <w:rPr>
                <w:rFonts w:ascii="Times New Roman" w:hAnsi="Times New Roman" w:cs="Times New Roman"/>
                <w:sz w:val="24"/>
                <w:szCs w:val="24"/>
              </w:rPr>
            </w:pPr>
          </w:p>
        </w:tc>
        <w:tc>
          <w:tcPr>
            <w:tcW w:w="2231" w:type="dxa"/>
            <w:gridSpan w:val="2"/>
            <w:tcBorders>
              <w:top w:val="nil"/>
              <w:left w:val="nil"/>
              <w:bottom w:val="nil"/>
              <w:right w:val="nil"/>
            </w:tcBorders>
            <w:shd w:val="clear" w:color="auto" w:fill="auto"/>
            <w:vAlign w:val="center"/>
            <w:hideMark/>
          </w:tcPr>
          <w:p w14:paraId="67A98ACC" w14:textId="77777777" w:rsidR="00B9311E" w:rsidRPr="00BD77D8" w:rsidRDefault="00B9311E" w:rsidP="00B9311E">
            <w:pPr>
              <w:spacing w:after="0" w:line="240" w:lineRule="auto"/>
              <w:jc w:val="center"/>
              <w:rPr>
                <w:b/>
                <w:bCs/>
                <w:sz w:val="18"/>
                <w:szCs w:val="18"/>
              </w:rPr>
            </w:pPr>
            <w:r w:rsidRPr="00BD77D8">
              <w:rPr>
                <w:b/>
                <w:bCs/>
                <w:sz w:val="18"/>
                <w:szCs w:val="18"/>
              </w:rPr>
              <w:t xml:space="preserve"> No later than one year </w:t>
            </w:r>
          </w:p>
        </w:tc>
        <w:tc>
          <w:tcPr>
            <w:tcW w:w="2113" w:type="dxa"/>
            <w:gridSpan w:val="2"/>
            <w:tcBorders>
              <w:top w:val="nil"/>
              <w:left w:val="nil"/>
              <w:bottom w:val="nil"/>
              <w:right w:val="nil"/>
            </w:tcBorders>
            <w:shd w:val="clear" w:color="auto" w:fill="auto"/>
            <w:vAlign w:val="center"/>
            <w:hideMark/>
          </w:tcPr>
          <w:p w14:paraId="6E3EA0C1" w14:textId="77777777" w:rsidR="00B9311E" w:rsidRPr="00BD77D8" w:rsidRDefault="00B9311E" w:rsidP="00B9311E">
            <w:pPr>
              <w:spacing w:after="0" w:line="240" w:lineRule="auto"/>
              <w:jc w:val="center"/>
              <w:rPr>
                <w:b/>
                <w:bCs/>
                <w:sz w:val="18"/>
                <w:szCs w:val="18"/>
              </w:rPr>
            </w:pPr>
            <w:r w:rsidRPr="00BD77D8">
              <w:rPr>
                <w:b/>
                <w:bCs/>
                <w:sz w:val="18"/>
                <w:szCs w:val="18"/>
              </w:rPr>
              <w:t xml:space="preserve"> Later than one year and not later than five years </w:t>
            </w:r>
          </w:p>
        </w:tc>
        <w:tc>
          <w:tcPr>
            <w:tcW w:w="1761" w:type="dxa"/>
            <w:gridSpan w:val="2"/>
            <w:tcBorders>
              <w:top w:val="nil"/>
              <w:left w:val="nil"/>
              <w:bottom w:val="nil"/>
              <w:right w:val="nil"/>
            </w:tcBorders>
            <w:shd w:val="clear" w:color="auto" w:fill="auto"/>
            <w:vAlign w:val="center"/>
            <w:hideMark/>
          </w:tcPr>
          <w:p w14:paraId="73AA021F" w14:textId="77777777" w:rsidR="00B9311E" w:rsidRPr="00BD77D8" w:rsidRDefault="00B9311E" w:rsidP="00B9311E">
            <w:pPr>
              <w:spacing w:after="0" w:line="240" w:lineRule="auto"/>
              <w:jc w:val="center"/>
              <w:rPr>
                <w:b/>
                <w:bCs/>
                <w:sz w:val="18"/>
                <w:szCs w:val="18"/>
              </w:rPr>
            </w:pPr>
            <w:r w:rsidRPr="00BD77D8">
              <w:rPr>
                <w:b/>
                <w:bCs/>
                <w:sz w:val="18"/>
                <w:szCs w:val="18"/>
              </w:rPr>
              <w:t xml:space="preserve"> Longer than five years </w:t>
            </w:r>
          </w:p>
        </w:tc>
        <w:tc>
          <w:tcPr>
            <w:tcW w:w="0" w:type="auto"/>
            <w:gridSpan w:val="2"/>
            <w:tcBorders>
              <w:top w:val="nil"/>
              <w:left w:val="nil"/>
              <w:bottom w:val="nil"/>
              <w:right w:val="nil"/>
            </w:tcBorders>
            <w:shd w:val="clear" w:color="auto" w:fill="auto"/>
            <w:vAlign w:val="center"/>
            <w:hideMark/>
          </w:tcPr>
          <w:p w14:paraId="5C2062C2" w14:textId="77777777" w:rsidR="00B9311E" w:rsidRPr="00BD77D8" w:rsidRDefault="00B9311E" w:rsidP="00B9311E">
            <w:pPr>
              <w:spacing w:after="0" w:line="240" w:lineRule="auto"/>
              <w:jc w:val="center"/>
              <w:rPr>
                <w:b/>
                <w:bCs/>
                <w:sz w:val="18"/>
                <w:szCs w:val="18"/>
              </w:rPr>
            </w:pPr>
            <w:r w:rsidRPr="00BD77D8">
              <w:rPr>
                <w:b/>
                <w:bCs/>
                <w:sz w:val="18"/>
                <w:szCs w:val="18"/>
              </w:rPr>
              <w:t xml:space="preserve"> Total </w:t>
            </w:r>
          </w:p>
        </w:tc>
      </w:tr>
      <w:tr w:rsidR="00BD77D8" w:rsidRPr="00BD77D8" w14:paraId="268F0641" w14:textId="77777777" w:rsidTr="006226A9">
        <w:trPr>
          <w:trHeight w:val="255"/>
        </w:trPr>
        <w:tc>
          <w:tcPr>
            <w:tcW w:w="2434" w:type="dxa"/>
            <w:tcBorders>
              <w:top w:val="nil"/>
              <w:left w:val="nil"/>
              <w:bottom w:val="nil"/>
              <w:right w:val="nil"/>
            </w:tcBorders>
            <w:shd w:val="clear" w:color="auto" w:fill="auto"/>
            <w:noWrap/>
            <w:vAlign w:val="center"/>
            <w:hideMark/>
          </w:tcPr>
          <w:p w14:paraId="12A06F5F" w14:textId="77777777" w:rsidR="00B9311E" w:rsidRPr="00BD77D8" w:rsidRDefault="00B9311E" w:rsidP="00B9311E">
            <w:pPr>
              <w:spacing w:after="0" w:line="240" w:lineRule="auto"/>
              <w:jc w:val="center"/>
              <w:rPr>
                <w:sz w:val="18"/>
                <w:szCs w:val="18"/>
              </w:rPr>
            </w:pPr>
          </w:p>
        </w:tc>
        <w:tc>
          <w:tcPr>
            <w:tcW w:w="1110" w:type="dxa"/>
            <w:tcBorders>
              <w:top w:val="nil"/>
              <w:left w:val="nil"/>
              <w:bottom w:val="nil"/>
              <w:right w:val="nil"/>
            </w:tcBorders>
            <w:shd w:val="clear" w:color="auto" w:fill="auto"/>
            <w:noWrap/>
            <w:vAlign w:val="center"/>
            <w:hideMark/>
          </w:tcPr>
          <w:p w14:paraId="2FDD43BD"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121" w:type="dxa"/>
            <w:tcBorders>
              <w:top w:val="nil"/>
              <w:left w:val="nil"/>
              <w:bottom w:val="nil"/>
              <w:right w:val="nil"/>
            </w:tcBorders>
            <w:shd w:val="clear" w:color="auto" w:fill="auto"/>
            <w:noWrap/>
            <w:vAlign w:val="center"/>
            <w:hideMark/>
          </w:tcPr>
          <w:p w14:paraId="567C744A" w14:textId="77777777" w:rsidR="00B9311E" w:rsidRPr="00BD77D8" w:rsidRDefault="00B9311E" w:rsidP="00B9311E">
            <w:pPr>
              <w:spacing w:after="0" w:line="240" w:lineRule="auto"/>
              <w:jc w:val="right"/>
              <w:rPr>
                <w:sz w:val="18"/>
                <w:szCs w:val="18"/>
              </w:rPr>
            </w:pPr>
            <w:r w:rsidRPr="00BD77D8">
              <w:rPr>
                <w:sz w:val="18"/>
                <w:szCs w:val="18"/>
              </w:rPr>
              <w:t>2021</w:t>
            </w:r>
          </w:p>
        </w:tc>
        <w:tc>
          <w:tcPr>
            <w:tcW w:w="1265" w:type="dxa"/>
            <w:tcBorders>
              <w:top w:val="nil"/>
              <w:left w:val="nil"/>
              <w:bottom w:val="nil"/>
              <w:right w:val="nil"/>
            </w:tcBorders>
            <w:shd w:val="clear" w:color="auto" w:fill="auto"/>
            <w:noWrap/>
            <w:vAlign w:val="center"/>
            <w:hideMark/>
          </w:tcPr>
          <w:p w14:paraId="7F86116C"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848" w:type="dxa"/>
            <w:tcBorders>
              <w:top w:val="nil"/>
              <w:left w:val="nil"/>
              <w:bottom w:val="nil"/>
              <w:right w:val="nil"/>
            </w:tcBorders>
            <w:shd w:val="clear" w:color="auto" w:fill="auto"/>
            <w:noWrap/>
            <w:vAlign w:val="center"/>
            <w:hideMark/>
          </w:tcPr>
          <w:p w14:paraId="55575491" w14:textId="77777777" w:rsidR="00B9311E" w:rsidRPr="00BD77D8" w:rsidRDefault="00B9311E" w:rsidP="00B9311E">
            <w:pPr>
              <w:spacing w:after="0" w:line="240" w:lineRule="auto"/>
              <w:jc w:val="right"/>
              <w:rPr>
                <w:sz w:val="18"/>
                <w:szCs w:val="18"/>
              </w:rPr>
            </w:pPr>
            <w:r w:rsidRPr="00BD77D8">
              <w:rPr>
                <w:sz w:val="18"/>
                <w:szCs w:val="18"/>
              </w:rPr>
              <w:t>2021</w:t>
            </w:r>
          </w:p>
        </w:tc>
        <w:tc>
          <w:tcPr>
            <w:tcW w:w="869" w:type="dxa"/>
            <w:tcBorders>
              <w:top w:val="nil"/>
              <w:left w:val="nil"/>
              <w:bottom w:val="nil"/>
              <w:right w:val="nil"/>
            </w:tcBorders>
            <w:shd w:val="clear" w:color="auto" w:fill="auto"/>
            <w:noWrap/>
            <w:vAlign w:val="center"/>
            <w:hideMark/>
          </w:tcPr>
          <w:p w14:paraId="12543417"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892" w:type="dxa"/>
            <w:tcBorders>
              <w:top w:val="nil"/>
              <w:left w:val="nil"/>
              <w:bottom w:val="nil"/>
              <w:right w:val="nil"/>
            </w:tcBorders>
            <w:shd w:val="clear" w:color="auto" w:fill="auto"/>
            <w:noWrap/>
            <w:vAlign w:val="center"/>
            <w:hideMark/>
          </w:tcPr>
          <w:p w14:paraId="435F2208" w14:textId="77777777" w:rsidR="00B9311E" w:rsidRPr="00BD77D8" w:rsidRDefault="00B9311E" w:rsidP="00B9311E">
            <w:pPr>
              <w:spacing w:after="0" w:line="240" w:lineRule="auto"/>
              <w:jc w:val="right"/>
              <w:rPr>
                <w:sz w:val="18"/>
                <w:szCs w:val="18"/>
              </w:rPr>
            </w:pPr>
            <w:r w:rsidRPr="00BD77D8">
              <w:rPr>
                <w:sz w:val="18"/>
                <w:szCs w:val="18"/>
              </w:rPr>
              <w:t>2021</w:t>
            </w:r>
          </w:p>
        </w:tc>
        <w:tc>
          <w:tcPr>
            <w:tcW w:w="0" w:type="auto"/>
            <w:tcBorders>
              <w:top w:val="nil"/>
              <w:left w:val="nil"/>
              <w:bottom w:val="nil"/>
              <w:right w:val="nil"/>
            </w:tcBorders>
            <w:shd w:val="clear" w:color="auto" w:fill="auto"/>
            <w:noWrap/>
            <w:vAlign w:val="center"/>
            <w:hideMark/>
          </w:tcPr>
          <w:p w14:paraId="33A97848"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0" w:type="auto"/>
            <w:tcBorders>
              <w:top w:val="nil"/>
              <w:left w:val="nil"/>
              <w:bottom w:val="nil"/>
              <w:right w:val="nil"/>
            </w:tcBorders>
            <w:shd w:val="clear" w:color="auto" w:fill="auto"/>
            <w:noWrap/>
            <w:vAlign w:val="center"/>
            <w:hideMark/>
          </w:tcPr>
          <w:p w14:paraId="077820CD" w14:textId="77777777" w:rsidR="00B9311E" w:rsidRPr="00BD77D8" w:rsidRDefault="00B9311E" w:rsidP="00B9311E">
            <w:pPr>
              <w:spacing w:after="0" w:line="240" w:lineRule="auto"/>
              <w:jc w:val="right"/>
              <w:rPr>
                <w:sz w:val="18"/>
                <w:szCs w:val="18"/>
              </w:rPr>
            </w:pPr>
            <w:r w:rsidRPr="00BD77D8">
              <w:rPr>
                <w:sz w:val="18"/>
                <w:szCs w:val="18"/>
              </w:rPr>
              <w:t>2021</w:t>
            </w:r>
          </w:p>
        </w:tc>
      </w:tr>
      <w:tr w:rsidR="00BD77D8" w:rsidRPr="00BD77D8" w14:paraId="1E84D6DF" w14:textId="77777777" w:rsidTr="006226A9">
        <w:trPr>
          <w:trHeight w:val="255"/>
        </w:trPr>
        <w:tc>
          <w:tcPr>
            <w:tcW w:w="2434" w:type="dxa"/>
            <w:tcBorders>
              <w:top w:val="nil"/>
              <w:left w:val="nil"/>
              <w:bottom w:val="nil"/>
              <w:right w:val="nil"/>
            </w:tcBorders>
            <w:shd w:val="clear" w:color="auto" w:fill="auto"/>
            <w:noWrap/>
            <w:vAlign w:val="center"/>
            <w:hideMark/>
          </w:tcPr>
          <w:p w14:paraId="57EFC4C7" w14:textId="77777777" w:rsidR="00B9311E" w:rsidRPr="00BD77D8" w:rsidRDefault="00B9311E" w:rsidP="00B9311E">
            <w:pPr>
              <w:spacing w:after="0" w:line="240" w:lineRule="auto"/>
              <w:jc w:val="right"/>
              <w:rPr>
                <w:sz w:val="18"/>
                <w:szCs w:val="18"/>
              </w:rPr>
            </w:pPr>
          </w:p>
        </w:tc>
        <w:tc>
          <w:tcPr>
            <w:tcW w:w="1110" w:type="dxa"/>
            <w:tcBorders>
              <w:top w:val="nil"/>
              <w:left w:val="nil"/>
              <w:bottom w:val="nil"/>
              <w:right w:val="nil"/>
            </w:tcBorders>
            <w:shd w:val="clear" w:color="auto" w:fill="auto"/>
            <w:vAlign w:val="center"/>
            <w:hideMark/>
          </w:tcPr>
          <w:p w14:paraId="245CE5FA"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121" w:type="dxa"/>
            <w:tcBorders>
              <w:top w:val="nil"/>
              <w:left w:val="nil"/>
              <w:bottom w:val="nil"/>
              <w:right w:val="nil"/>
            </w:tcBorders>
            <w:shd w:val="clear" w:color="auto" w:fill="auto"/>
            <w:vAlign w:val="center"/>
            <w:hideMark/>
          </w:tcPr>
          <w:p w14:paraId="1AEF7FF0" w14:textId="77777777" w:rsidR="00B9311E" w:rsidRPr="00BD77D8" w:rsidRDefault="00B9311E" w:rsidP="00B9311E">
            <w:pPr>
              <w:spacing w:after="0" w:line="240" w:lineRule="auto"/>
              <w:jc w:val="right"/>
              <w:rPr>
                <w:sz w:val="18"/>
                <w:szCs w:val="18"/>
              </w:rPr>
            </w:pPr>
            <w:r w:rsidRPr="00BD77D8">
              <w:rPr>
                <w:sz w:val="18"/>
                <w:szCs w:val="18"/>
              </w:rPr>
              <w:t xml:space="preserve"> $'000  </w:t>
            </w:r>
          </w:p>
        </w:tc>
        <w:tc>
          <w:tcPr>
            <w:tcW w:w="1265" w:type="dxa"/>
            <w:tcBorders>
              <w:top w:val="nil"/>
              <w:left w:val="nil"/>
              <w:bottom w:val="nil"/>
              <w:right w:val="nil"/>
            </w:tcBorders>
            <w:shd w:val="clear" w:color="auto" w:fill="auto"/>
            <w:vAlign w:val="center"/>
            <w:hideMark/>
          </w:tcPr>
          <w:p w14:paraId="710BE50A"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848" w:type="dxa"/>
            <w:tcBorders>
              <w:top w:val="nil"/>
              <w:left w:val="nil"/>
              <w:bottom w:val="nil"/>
              <w:right w:val="nil"/>
            </w:tcBorders>
            <w:shd w:val="clear" w:color="auto" w:fill="auto"/>
            <w:vAlign w:val="center"/>
            <w:hideMark/>
          </w:tcPr>
          <w:p w14:paraId="705E9C14" w14:textId="77777777" w:rsidR="00B9311E" w:rsidRPr="00BD77D8" w:rsidRDefault="00B9311E" w:rsidP="00B9311E">
            <w:pPr>
              <w:spacing w:after="0" w:line="240" w:lineRule="auto"/>
              <w:jc w:val="right"/>
              <w:rPr>
                <w:sz w:val="18"/>
                <w:szCs w:val="18"/>
              </w:rPr>
            </w:pPr>
            <w:r w:rsidRPr="00BD77D8">
              <w:rPr>
                <w:sz w:val="18"/>
                <w:szCs w:val="18"/>
              </w:rPr>
              <w:t xml:space="preserve">  $'000  </w:t>
            </w:r>
          </w:p>
        </w:tc>
        <w:tc>
          <w:tcPr>
            <w:tcW w:w="869" w:type="dxa"/>
            <w:tcBorders>
              <w:top w:val="nil"/>
              <w:left w:val="nil"/>
              <w:bottom w:val="nil"/>
              <w:right w:val="nil"/>
            </w:tcBorders>
            <w:shd w:val="clear" w:color="auto" w:fill="auto"/>
            <w:vAlign w:val="center"/>
            <w:hideMark/>
          </w:tcPr>
          <w:p w14:paraId="78969762"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892" w:type="dxa"/>
            <w:tcBorders>
              <w:top w:val="nil"/>
              <w:left w:val="nil"/>
              <w:bottom w:val="nil"/>
              <w:right w:val="nil"/>
            </w:tcBorders>
            <w:shd w:val="clear" w:color="auto" w:fill="auto"/>
            <w:vAlign w:val="center"/>
            <w:hideMark/>
          </w:tcPr>
          <w:p w14:paraId="443A8F00" w14:textId="77777777" w:rsidR="00B9311E" w:rsidRPr="00BD77D8" w:rsidRDefault="00B9311E" w:rsidP="00B9311E">
            <w:pPr>
              <w:spacing w:after="0" w:line="240" w:lineRule="auto"/>
              <w:jc w:val="right"/>
              <w:rPr>
                <w:sz w:val="18"/>
                <w:szCs w:val="18"/>
              </w:rPr>
            </w:pPr>
            <w:r w:rsidRPr="00BD77D8">
              <w:rPr>
                <w:sz w:val="18"/>
                <w:szCs w:val="18"/>
              </w:rPr>
              <w:t xml:space="preserve">  $'000  </w:t>
            </w:r>
          </w:p>
        </w:tc>
        <w:tc>
          <w:tcPr>
            <w:tcW w:w="0" w:type="auto"/>
            <w:tcBorders>
              <w:top w:val="nil"/>
              <w:left w:val="nil"/>
              <w:bottom w:val="nil"/>
              <w:right w:val="nil"/>
            </w:tcBorders>
            <w:shd w:val="clear" w:color="auto" w:fill="auto"/>
            <w:vAlign w:val="center"/>
            <w:hideMark/>
          </w:tcPr>
          <w:p w14:paraId="158CCB58"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nil"/>
              <w:right w:val="nil"/>
            </w:tcBorders>
            <w:shd w:val="clear" w:color="auto" w:fill="auto"/>
            <w:vAlign w:val="center"/>
            <w:hideMark/>
          </w:tcPr>
          <w:p w14:paraId="5561A85D" w14:textId="77777777" w:rsidR="00B9311E" w:rsidRPr="00BD77D8" w:rsidRDefault="00B9311E" w:rsidP="00B9311E">
            <w:pPr>
              <w:spacing w:after="0" w:line="240" w:lineRule="auto"/>
              <w:jc w:val="right"/>
              <w:rPr>
                <w:sz w:val="18"/>
                <w:szCs w:val="18"/>
              </w:rPr>
            </w:pPr>
            <w:r w:rsidRPr="00BD77D8">
              <w:rPr>
                <w:sz w:val="18"/>
                <w:szCs w:val="18"/>
              </w:rPr>
              <w:t xml:space="preserve">  $'000  </w:t>
            </w:r>
          </w:p>
        </w:tc>
      </w:tr>
      <w:tr w:rsidR="00BD77D8" w:rsidRPr="00BD77D8" w14:paraId="03227BE5" w14:textId="77777777" w:rsidTr="006226A9">
        <w:trPr>
          <w:trHeight w:val="255"/>
        </w:trPr>
        <w:tc>
          <w:tcPr>
            <w:tcW w:w="2434" w:type="dxa"/>
            <w:tcBorders>
              <w:top w:val="nil"/>
              <w:left w:val="nil"/>
              <w:bottom w:val="nil"/>
              <w:right w:val="nil"/>
            </w:tcBorders>
            <w:shd w:val="clear" w:color="auto" w:fill="auto"/>
            <w:noWrap/>
            <w:vAlign w:val="center"/>
            <w:hideMark/>
          </w:tcPr>
          <w:p w14:paraId="6933EFBE" w14:textId="77777777" w:rsidR="00B9311E" w:rsidRPr="00BD77D8" w:rsidRDefault="00B9311E" w:rsidP="00B9311E">
            <w:pPr>
              <w:spacing w:after="0" w:line="240" w:lineRule="auto"/>
              <w:rPr>
                <w:b/>
                <w:bCs/>
                <w:sz w:val="18"/>
                <w:szCs w:val="18"/>
              </w:rPr>
            </w:pPr>
            <w:r w:rsidRPr="00BD77D8">
              <w:rPr>
                <w:b/>
                <w:bCs/>
                <w:sz w:val="18"/>
                <w:szCs w:val="18"/>
              </w:rPr>
              <w:t xml:space="preserve"> Payable </w:t>
            </w:r>
          </w:p>
        </w:tc>
        <w:tc>
          <w:tcPr>
            <w:tcW w:w="1110" w:type="dxa"/>
            <w:tcBorders>
              <w:top w:val="nil"/>
              <w:left w:val="nil"/>
              <w:bottom w:val="nil"/>
              <w:right w:val="nil"/>
            </w:tcBorders>
            <w:shd w:val="clear" w:color="auto" w:fill="auto"/>
            <w:noWrap/>
            <w:vAlign w:val="center"/>
            <w:hideMark/>
          </w:tcPr>
          <w:p w14:paraId="088137D9" w14:textId="77777777" w:rsidR="00B9311E" w:rsidRPr="00BD77D8" w:rsidRDefault="00B9311E" w:rsidP="00B9311E">
            <w:pPr>
              <w:spacing w:after="0" w:line="240" w:lineRule="auto"/>
              <w:rPr>
                <w:b/>
                <w:bCs/>
                <w:sz w:val="18"/>
                <w:szCs w:val="18"/>
              </w:rPr>
            </w:pPr>
          </w:p>
        </w:tc>
        <w:tc>
          <w:tcPr>
            <w:tcW w:w="1121" w:type="dxa"/>
            <w:tcBorders>
              <w:top w:val="nil"/>
              <w:left w:val="nil"/>
              <w:bottom w:val="nil"/>
              <w:right w:val="nil"/>
            </w:tcBorders>
            <w:shd w:val="clear" w:color="auto" w:fill="auto"/>
            <w:vAlign w:val="center"/>
            <w:hideMark/>
          </w:tcPr>
          <w:p w14:paraId="604841EB" w14:textId="77777777" w:rsidR="00B9311E" w:rsidRPr="00BD77D8" w:rsidRDefault="00B9311E" w:rsidP="00B9311E">
            <w:pPr>
              <w:spacing w:after="0" w:line="240" w:lineRule="auto"/>
              <w:rPr>
                <w:rFonts w:ascii="Times New Roman" w:hAnsi="Times New Roman" w:cs="Times New Roman"/>
                <w:b/>
                <w:bCs/>
                <w:sz w:val="20"/>
                <w:szCs w:val="20"/>
              </w:rPr>
            </w:pPr>
          </w:p>
        </w:tc>
        <w:tc>
          <w:tcPr>
            <w:tcW w:w="1265" w:type="dxa"/>
            <w:tcBorders>
              <w:top w:val="nil"/>
              <w:left w:val="nil"/>
              <w:bottom w:val="nil"/>
              <w:right w:val="nil"/>
            </w:tcBorders>
            <w:shd w:val="clear" w:color="auto" w:fill="auto"/>
            <w:vAlign w:val="center"/>
            <w:hideMark/>
          </w:tcPr>
          <w:p w14:paraId="4F15B627" w14:textId="77777777" w:rsidR="00B9311E" w:rsidRPr="00BD77D8" w:rsidRDefault="00B9311E" w:rsidP="00B9311E">
            <w:pPr>
              <w:spacing w:after="0" w:line="240" w:lineRule="auto"/>
              <w:rPr>
                <w:rFonts w:ascii="Times New Roman" w:hAnsi="Times New Roman" w:cs="Times New Roman"/>
                <w:b/>
                <w:bCs/>
                <w:sz w:val="20"/>
                <w:szCs w:val="20"/>
              </w:rPr>
            </w:pPr>
          </w:p>
        </w:tc>
        <w:tc>
          <w:tcPr>
            <w:tcW w:w="848" w:type="dxa"/>
            <w:tcBorders>
              <w:top w:val="nil"/>
              <w:left w:val="nil"/>
              <w:bottom w:val="nil"/>
              <w:right w:val="nil"/>
            </w:tcBorders>
            <w:shd w:val="clear" w:color="auto" w:fill="auto"/>
            <w:vAlign w:val="center"/>
            <w:hideMark/>
          </w:tcPr>
          <w:p w14:paraId="0EF9D195" w14:textId="77777777" w:rsidR="00B9311E" w:rsidRPr="00BD77D8" w:rsidRDefault="00B9311E" w:rsidP="00B9311E">
            <w:pPr>
              <w:spacing w:after="0" w:line="240" w:lineRule="auto"/>
              <w:rPr>
                <w:rFonts w:ascii="Times New Roman" w:hAnsi="Times New Roman" w:cs="Times New Roman"/>
                <w:b/>
                <w:bCs/>
                <w:sz w:val="20"/>
                <w:szCs w:val="20"/>
              </w:rPr>
            </w:pPr>
          </w:p>
        </w:tc>
        <w:tc>
          <w:tcPr>
            <w:tcW w:w="869" w:type="dxa"/>
            <w:tcBorders>
              <w:top w:val="nil"/>
              <w:left w:val="nil"/>
              <w:bottom w:val="nil"/>
              <w:right w:val="nil"/>
            </w:tcBorders>
            <w:shd w:val="clear" w:color="auto" w:fill="auto"/>
            <w:vAlign w:val="center"/>
            <w:hideMark/>
          </w:tcPr>
          <w:p w14:paraId="20EA0BAF" w14:textId="77777777" w:rsidR="00B9311E" w:rsidRPr="00BD77D8" w:rsidRDefault="00B9311E" w:rsidP="00B9311E">
            <w:pPr>
              <w:spacing w:after="0" w:line="240" w:lineRule="auto"/>
              <w:rPr>
                <w:rFonts w:ascii="Times New Roman" w:hAnsi="Times New Roman" w:cs="Times New Roman"/>
                <w:b/>
                <w:bCs/>
                <w:sz w:val="20"/>
                <w:szCs w:val="20"/>
              </w:rPr>
            </w:pPr>
          </w:p>
        </w:tc>
        <w:tc>
          <w:tcPr>
            <w:tcW w:w="892" w:type="dxa"/>
            <w:tcBorders>
              <w:top w:val="nil"/>
              <w:left w:val="nil"/>
              <w:bottom w:val="nil"/>
              <w:right w:val="nil"/>
            </w:tcBorders>
            <w:shd w:val="clear" w:color="auto" w:fill="auto"/>
            <w:vAlign w:val="center"/>
            <w:hideMark/>
          </w:tcPr>
          <w:p w14:paraId="4DCF0826" w14:textId="77777777" w:rsidR="00B9311E" w:rsidRPr="00BD77D8" w:rsidRDefault="00B9311E" w:rsidP="00B9311E">
            <w:pPr>
              <w:spacing w:after="0" w:line="240" w:lineRule="auto"/>
              <w:rPr>
                <w:rFonts w:ascii="Times New Roman" w:hAnsi="Times New Roman" w:cs="Times New Roman"/>
                <w:b/>
                <w:bCs/>
                <w:sz w:val="20"/>
                <w:szCs w:val="20"/>
              </w:rPr>
            </w:pPr>
          </w:p>
        </w:tc>
        <w:tc>
          <w:tcPr>
            <w:tcW w:w="0" w:type="auto"/>
            <w:tcBorders>
              <w:top w:val="nil"/>
              <w:left w:val="nil"/>
              <w:bottom w:val="nil"/>
              <w:right w:val="nil"/>
            </w:tcBorders>
            <w:shd w:val="clear" w:color="auto" w:fill="auto"/>
            <w:vAlign w:val="center"/>
            <w:hideMark/>
          </w:tcPr>
          <w:p w14:paraId="1A786FE6" w14:textId="77777777" w:rsidR="00B9311E" w:rsidRPr="00BD77D8" w:rsidRDefault="00B9311E" w:rsidP="00B9311E">
            <w:pPr>
              <w:spacing w:after="0" w:line="240" w:lineRule="auto"/>
              <w:rPr>
                <w:rFonts w:ascii="Times New Roman" w:hAnsi="Times New Roman" w:cs="Times New Roman"/>
                <w:b/>
                <w:bCs/>
                <w:sz w:val="20"/>
                <w:szCs w:val="20"/>
              </w:rPr>
            </w:pPr>
          </w:p>
        </w:tc>
        <w:tc>
          <w:tcPr>
            <w:tcW w:w="0" w:type="auto"/>
            <w:tcBorders>
              <w:top w:val="nil"/>
              <w:left w:val="nil"/>
              <w:bottom w:val="nil"/>
              <w:right w:val="nil"/>
            </w:tcBorders>
            <w:shd w:val="clear" w:color="auto" w:fill="auto"/>
            <w:vAlign w:val="center"/>
            <w:hideMark/>
          </w:tcPr>
          <w:p w14:paraId="19699915" w14:textId="77777777" w:rsidR="00B9311E" w:rsidRPr="00BD77D8" w:rsidRDefault="00B9311E" w:rsidP="00B9311E">
            <w:pPr>
              <w:spacing w:after="0" w:line="240" w:lineRule="auto"/>
              <w:rPr>
                <w:rFonts w:ascii="Times New Roman" w:hAnsi="Times New Roman" w:cs="Times New Roman"/>
                <w:sz w:val="20"/>
                <w:szCs w:val="20"/>
              </w:rPr>
            </w:pPr>
          </w:p>
        </w:tc>
      </w:tr>
      <w:tr w:rsidR="00BD77D8" w:rsidRPr="00BD77D8" w14:paraId="32028470" w14:textId="77777777" w:rsidTr="006226A9">
        <w:trPr>
          <w:trHeight w:val="255"/>
        </w:trPr>
        <w:tc>
          <w:tcPr>
            <w:tcW w:w="2434" w:type="dxa"/>
            <w:tcBorders>
              <w:top w:val="nil"/>
              <w:left w:val="nil"/>
              <w:bottom w:val="nil"/>
              <w:right w:val="nil"/>
            </w:tcBorders>
            <w:shd w:val="clear" w:color="auto" w:fill="auto"/>
            <w:noWrap/>
            <w:vAlign w:val="center"/>
            <w:hideMark/>
          </w:tcPr>
          <w:p w14:paraId="5CF7BBAF" w14:textId="77777777" w:rsidR="00B9311E" w:rsidRPr="00BD77D8" w:rsidRDefault="00B9311E" w:rsidP="00B9311E">
            <w:pPr>
              <w:spacing w:after="0" w:line="240" w:lineRule="auto"/>
              <w:rPr>
                <w:sz w:val="18"/>
                <w:szCs w:val="18"/>
              </w:rPr>
            </w:pPr>
            <w:r w:rsidRPr="00BD77D8">
              <w:rPr>
                <w:sz w:val="18"/>
                <w:szCs w:val="18"/>
              </w:rPr>
              <w:t xml:space="preserve"> Land and buildings </w:t>
            </w:r>
          </w:p>
        </w:tc>
        <w:tc>
          <w:tcPr>
            <w:tcW w:w="1110" w:type="dxa"/>
            <w:tcBorders>
              <w:top w:val="nil"/>
              <w:left w:val="nil"/>
              <w:bottom w:val="nil"/>
              <w:right w:val="nil"/>
            </w:tcBorders>
            <w:shd w:val="clear" w:color="auto" w:fill="auto"/>
            <w:noWrap/>
            <w:vAlign w:val="center"/>
            <w:hideMark/>
          </w:tcPr>
          <w:p w14:paraId="26E80AF6" w14:textId="77777777" w:rsidR="00B9311E" w:rsidRPr="00BD77D8" w:rsidRDefault="00B9311E" w:rsidP="00B9311E">
            <w:pPr>
              <w:spacing w:after="0" w:line="240" w:lineRule="auto"/>
              <w:jc w:val="right"/>
              <w:rPr>
                <w:b/>
                <w:bCs/>
                <w:sz w:val="18"/>
                <w:szCs w:val="18"/>
              </w:rPr>
            </w:pPr>
            <w:r w:rsidRPr="00BD77D8">
              <w:rPr>
                <w:b/>
                <w:bCs/>
                <w:sz w:val="18"/>
                <w:szCs w:val="18"/>
              </w:rPr>
              <w:t xml:space="preserve">        257 </w:t>
            </w:r>
          </w:p>
        </w:tc>
        <w:tc>
          <w:tcPr>
            <w:tcW w:w="1121" w:type="dxa"/>
            <w:tcBorders>
              <w:top w:val="nil"/>
              <w:left w:val="nil"/>
              <w:bottom w:val="nil"/>
              <w:right w:val="nil"/>
            </w:tcBorders>
            <w:shd w:val="clear" w:color="auto" w:fill="auto"/>
            <w:noWrap/>
            <w:vAlign w:val="center"/>
            <w:hideMark/>
          </w:tcPr>
          <w:p w14:paraId="2EF93671" w14:textId="77777777" w:rsidR="00B9311E" w:rsidRPr="00BD77D8" w:rsidRDefault="00B9311E" w:rsidP="00B9311E">
            <w:pPr>
              <w:spacing w:after="0" w:line="240" w:lineRule="auto"/>
              <w:jc w:val="right"/>
              <w:rPr>
                <w:sz w:val="18"/>
                <w:szCs w:val="18"/>
              </w:rPr>
            </w:pPr>
            <w:r w:rsidRPr="00BD77D8">
              <w:rPr>
                <w:sz w:val="18"/>
                <w:szCs w:val="18"/>
              </w:rPr>
              <w:t xml:space="preserve">     1,287 </w:t>
            </w:r>
          </w:p>
        </w:tc>
        <w:tc>
          <w:tcPr>
            <w:tcW w:w="1265" w:type="dxa"/>
            <w:tcBorders>
              <w:top w:val="nil"/>
              <w:left w:val="nil"/>
              <w:bottom w:val="nil"/>
              <w:right w:val="nil"/>
            </w:tcBorders>
            <w:shd w:val="clear" w:color="auto" w:fill="auto"/>
            <w:noWrap/>
            <w:vAlign w:val="center"/>
            <w:hideMark/>
          </w:tcPr>
          <w:p w14:paraId="29AA53EF"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848" w:type="dxa"/>
            <w:tcBorders>
              <w:top w:val="nil"/>
              <w:left w:val="nil"/>
              <w:bottom w:val="nil"/>
              <w:right w:val="nil"/>
            </w:tcBorders>
            <w:shd w:val="clear" w:color="auto" w:fill="auto"/>
            <w:noWrap/>
            <w:vAlign w:val="center"/>
            <w:hideMark/>
          </w:tcPr>
          <w:p w14:paraId="0662CB39"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869" w:type="dxa"/>
            <w:tcBorders>
              <w:top w:val="nil"/>
              <w:left w:val="nil"/>
              <w:bottom w:val="nil"/>
              <w:right w:val="nil"/>
            </w:tcBorders>
            <w:shd w:val="clear" w:color="auto" w:fill="auto"/>
            <w:noWrap/>
            <w:vAlign w:val="center"/>
            <w:hideMark/>
          </w:tcPr>
          <w:p w14:paraId="171B038E"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892" w:type="dxa"/>
            <w:tcBorders>
              <w:top w:val="nil"/>
              <w:left w:val="nil"/>
              <w:bottom w:val="nil"/>
              <w:right w:val="nil"/>
            </w:tcBorders>
            <w:shd w:val="clear" w:color="auto" w:fill="auto"/>
            <w:noWrap/>
            <w:vAlign w:val="center"/>
            <w:hideMark/>
          </w:tcPr>
          <w:p w14:paraId="02641AC2"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5563327B" w14:textId="77777777" w:rsidR="00B9311E" w:rsidRPr="00BD77D8" w:rsidRDefault="00B9311E" w:rsidP="00B9311E">
            <w:pPr>
              <w:spacing w:after="0" w:line="240" w:lineRule="auto"/>
              <w:jc w:val="right"/>
              <w:rPr>
                <w:b/>
                <w:bCs/>
                <w:sz w:val="18"/>
                <w:szCs w:val="18"/>
              </w:rPr>
            </w:pPr>
            <w:r w:rsidRPr="00BD77D8">
              <w:rPr>
                <w:b/>
                <w:bCs/>
                <w:sz w:val="18"/>
                <w:szCs w:val="18"/>
              </w:rPr>
              <w:t xml:space="preserve">        257 </w:t>
            </w:r>
          </w:p>
        </w:tc>
        <w:tc>
          <w:tcPr>
            <w:tcW w:w="0" w:type="auto"/>
            <w:tcBorders>
              <w:top w:val="nil"/>
              <w:left w:val="nil"/>
              <w:bottom w:val="nil"/>
              <w:right w:val="nil"/>
            </w:tcBorders>
            <w:shd w:val="clear" w:color="auto" w:fill="auto"/>
            <w:noWrap/>
            <w:vAlign w:val="center"/>
            <w:hideMark/>
          </w:tcPr>
          <w:p w14:paraId="599486C1" w14:textId="77777777" w:rsidR="00B9311E" w:rsidRPr="00BD77D8" w:rsidRDefault="00B9311E" w:rsidP="00B9311E">
            <w:pPr>
              <w:spacing w:after="0" w:line="240" w:lineRule="auto"/>
              <w:jc w:val="right"/>
              <w:rPr>
                <w:sz w:val="18"/>
                <w:szCs w:val="18"/>
              </w:rPr>
            </w:pPr>
            <w:r w:rsidRPr="00BD77D8">
              <w:rPr>
                <w:sz w:val="18"/>
                <w:szCs w:val="18"/>
              </w:rPr>
              <w:t xml:space="preserve">     1,287 </w:t>
            </w:r>
          </w:p>
        </w:tc>
      </w:tr>
      <w:tr w:rsidR="00BD77D8" w:rsidRPr="00BD77D8" w14:paraId="278A5C19" w14:textId="77777777" w:rsidTr="006226A9">
        <w:trPr>
          <w:trHeight w:val="255"/>
        </w:trPr>
        <w:tc>
          <w:tcPr>
            <w:tcW w:w="2434" w:type="dxa"/>
            <w:tcBorders>
              <w:top w:val="nil"/>
              <w:left w:val="nil"/>
              <w:bottom w:val="nil"/>
              <w:right w:val="nil"/>
            </w:tcBorders>
            <w:shd w:val="clear" w:color="auto" w:fill="auto"/>
            <w:noWrap/>
            <w:vAlign w:val="center"/>
            <w:hideMark/>
          </w:tcPr>
          <w:p w14:paraId="259F8CDD" w14:textId="77777777" w:rsidR="00B9311E" w:rsidRPr="00BD77D8" w:rsidRDefault="00B9311E" w:rsidP="00B9311E">
            <w:pPr>
              <w:spacing w:after="0" w:line="240" w:lineRule="auto"/>
              <w:rPr>
                <w:sz w:val="18"/>
                <w:szCs w:val="18"/>
              </w:rPr>
            </w:pPr>
            <w:r w:rsidRPr="00BD77D8">
              <w:rPr>
                <w:sz w:val="18"/>
                <w:szCs w:val="18"/>
              </w:rPr>
              <w:t xml:space="preserve"> Plant and equipment </w:t>
            </w:r>
          </w:p>
        </w:tc>
        <w:tc>
          <w:tcPr>
            <w:tcW w:w="1110" w:type="dxa"/>
            <w:tcBorders>
              <w:top w:val="nil"/>
              <w:left w:val="nil"/>
              <w:bottom w:val="nil"/>
              <w:right w:val="nil"/>
            </w:tcBorders>
            <w:shd w:val="clear" w:color="auto" w:fill="auto"/>
            <w:noWrap/>
            <w:vAlign w:val="center"/>
            <w:hideMark/>
          </w:tcPr>
          <w:p w14:paraId="74EBBB65" w14:textId="77777777" w:rsidR="00B9311E" w:rsidRPr="00BD77D8" w:rsidRDefault="00B9311E" w:rsidP="00B9311E">
            <w:pPr>
              <w:spacing w:after="0" w:line="240" w:lineRule="auto"/>
              <w:jc w:val="right"/>
              <w:rPr>
                <w:b/>
                <w:bCs/>
                <w:sz w:val="18"/>
                <w:szCs w:val="18"/>
              </w:rPr>
            </w:pPr>
            <w:r w:rsidRPr="00BD77D8">
              <w:rPr>
                <w:b/>
                <w:bCs/>
                <w:sz w:val="18"/>
                <w:szCs w:val="18"/>
              </w:rPr>
              <w:t xml:space="preserve">           83 </w:t>
            </w:r>
          </w:p>
        </w:tc>
        <w:tc>
          <w:tcPr>
            <w:tcW w:w="1121" w:type="dxa"/>
            <w:tcBorders>
              <w:top w:val="nil"/>
              <w:left w:val="nil"/>
              <w:bottom w:val="nil"/>
              <w:right w:val="nil"/>
            </w:tcBorders>
            <w:shd w:val="clear" w:color="auto" w:fill="auto"/>
            <w:noWrap/>
            <w:vAlign w:val="center"/>
            <w:hideMark/>
          </w:tcPr>
          <w:p w14:paraId="12810BFA"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265" w:type="dxa"/>
            <w:tcBorders>
              <w:top w:val="nil"/>
              <w:left w:val="nil"/>
              <w:bottom w:val="nil"/>
              <w:right w:val="nil"/>
            </w:tcBorders>
            <w:shd w:val="clear" w:color="auto" w:fill="auto"/>
            <w:noWrap/>
            <w:vAlign w:val="center"/>
            <w:hideMark/>
          </w:tcPr>
          <w:p w14:paraId="7BB53A14"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848" w:type="dxa"/>
            <w:tcBorders>
              <w:top w:val="nil"/>
              <w:left w:val="nil"/>
              <w:bottom w:val="nil"/>
              <w:right w:val="nil"/>
            </w:tcBorders>
            <w:shd w:val="clear" w:color="auto" w:fill="auto"/>
            <w:noWrap/>
            <w:vAlign w:val="center"/>
            <w:hideMark/>
          </w:tcPr>
          <w:p w14:paraId="7281FD4F"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869" w:type="dxa"/>
            <w:tcBorders>
              <w:top w:val="nil"/>
              <w:left w:val="nil"/>
              <w:bottom w:val="nil"/>
              <w:right w:val="nil"/>
            </w:tcBorders>
            <w:shd w:val="clear" w:color="auto" w:fill="auto"/>
            <w:noWrap/>
            <w:vAlign w:val="center"/>
            <w:hideMark/>
          </w:tcPr>
          <w:p w14:paraId="7FDFBD33"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892" w:type="dxa"/>
            <w:tcBorders>
              <w:top w:val="nil"/>
              <w:left w:val="nil"/>
              <w:bottom w:val="nil"/>
              <w:right w:val="nil"/>
            </w:tcBorders>
            <w:shd w:val="clear" w:color="auto" w:fill="auto"/>
            <w:noWrap/>
            <w:vAlign w:val="center"/>
            <w:hideMark/>
          </w:tcPr>
          <w:p w14:paraId="456A5752"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1BA4C021" w14:textId="77777777" w:rsidR="00B9311E" w:rsidRPr="00BD77D8" w:rsidRDefault="00B9311E" w:rsidP="00B9311E">
            <w:pPr>
              <w:spacing w:after="0" w:line="240" w:lineRule="auto"/>
              <w:jc w:val="right"/>
              <w:rPr>
                <w:b/>
                <w:bCs/>
                <w:sz w:val="18"/>
                <w:szCs w:val="18"/>
              </w:rPr>
            </w:pPr>
            <w:r w:rsidRPr="00BD77D8">
              <w:rPr>
                <w:b/>
                <w:bCs/>
                <w:sz w:val="18"/>
                <w:szCs w:val="18"/>
              </w:rPr>
              <w:t xml:space="preserve">           83 </w:t>
            </w:r>
          </w:p>
        </w:tc>
        <w:tc>
          <w:tcPr>
            <w:tcW w:w="0" w:type="auto"/>
            <w:tcBorders>
              <w:top w:val="nil"/>
              <w:left w:val="nil"/>
              <w:bottom w:val="nil"/>
              <w:right w:val="nil"/>
            </w:tcBorders>
            <w:shd w:val="clear" w:color="auto" w:fill="auto"/>
            <w:noWrap/>
            <w:vAlign w:val="center"/>
            <w:hideMark/>
          </w:tcPr>
          <w:p w14:paraId="1A6B7594"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287EFD97" w14:textId="77777777" w:rsidTr="006226A9">
        <w:trPr>
          <w:trHeight w:val="390"/>
        </w:trPr>
        <w:tc>
          <w:tcPr>
            <w:tcW w:w="2434" w:type="dxa"/>
            <w:tcBorders>
              <w:top w:val="nil"/>
              <w:left w:val="nil"/>
              <w:bottom w:val="nil"/>
              <w:right w:val="nil"/>
            </w:tcBorders>
            <w:shd w:val="clear" w:color="auto" w:fill="auto"/>
            <w:noWrap/>
            <w:vAlign w:val="center"/>
            <w:hideMark/>
          </w:tcPr>
          <w:p w14:paraId="01FC00CE"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1110" w:type="dxa"/>
            <w:tcBorders>
              <w:top w:val="single" w:sz="4" w:space="0" w:color="auto"/>
              <w:left w:val="nil"/>
              <w:bottom w:val="single" w:sz="4" w:space="0" w:color="auto"/>
              <w:right w:val="nil"/>
            </w:tcBorders>
            <w:shd w:val="clear" w:color="auto" w:fill="auto"/>
            <w:noWrap/>
            <w:vAlign w:val="center"/>
            <w:hideMark/>
          </w:tcPr>
          <w:p w14:paraId="3BB78A85" w14:textId="77777777" w:rsidR="00B9311E" w:rsidRPr="00BD77D8" w:rsidRDefault="00B9311E" w:rsidP="00B9311E">
            <w:pPr>
              <w:spacing w:after="0" w:line="240" w:lineRule="auto"/>
              <w:jc w:val="right"/>
              <w:rPr>
                <w:b/>
                <w:bCs/>
                <w:sz w:val="18"/>
                <w:szCs w:val="18"/>
              </w:rPr>
            </w:pPr>
            <w:r w:rsidRPr="00BD77D8">
              <w:rPr>
                <w:b/>
                <w:bCs/>
                <w:sz w:val="18"/>
                <w:szCs w:val="18"/>
              </w:rPr>
              <w:t xml:space="preserve">        340 </w:t>
            </w:r>
          </w:p>
        </w:tc>
        <w:tc>
          <w:tcPr>
            <w:tcW w:w="1121" w:type="dxa"/>
            <w:tcBorders>
              <w:top w:val="single" w:sz="4" w:space="0" w:color="auto"/>
              <w:left w:val="nil"/>
              <w:bottom w:val="single" w:sz="4" w:space="0" w:color="auto"/>
              <w:right w:val="nil"/>
            </w:tcBorders>
            <w:shd w:val="clear" w:color="auto" w:fill="auto"/>
            <w:noWrap/>
            <w:vAlign w:val="center"/>
            <w:hideMark/>
          </w:tcPr>
          <w:p w14:paraId="0B49E631" w14:textId="77777777" w:rsidR="00B9311E" w:rsidRPr="00BD77D8" w:rsidRDefault="00B9311E" w:rsidP="00B9311E">
            <w:pPr>
              <w:spacing w:after="0" w:line="240" w:lineRule="auto"/>
              <w:jc w:val="right"/>
              <w:rPr>
                <w:b/>
                <w:bCs/>
                <w:sz w:val="18"/>
                <w:szCs w:val="18"/>
              </w:rPr>
            </w:pPr>
            <w:r w:rsidRPr="00BD77D8">
              <w:rPr>
                <w:b/>
                <w:bCs/>
                <w:sz w:val="18"/>
                <w:szCs w:val="18"/>
              </w:rPr>
              <w:t xml:space="preserve">     1,287 </w:t>
            </w:r>
          </w:p>
        </w:tc>
        <w:tc>
          <w:tcPr>
            <w:tcW w:w="1265" w:type="dxa"/>
            <w:tcBorders>
              <w:top w:val="single" w:sz="4" w:space="0" w:color="auto"/>
              <w:left w:val="nil"/>
              <w:bottom w:val="single" w:sz="4" w:space="0" w:color="auto"/>
              <w:right w:val="nil"/>
            </w:tcBorders>
            <w:shd w:val="clear" w:color="auto" w:fill="auto"/>
            <w:noWrap/>
            <w:vAlign w:val="center"/>
            <w:hideMark/>
          </w:tcPr>
          <w:p w14:paraId="2D109010"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848" w:type="dxa"/>
            <w:tcBorders>
              <w:top w:val="single" w:sz="4" w:space="0" w:color="auto"/>
              <w:left w:val="nil"/>
              <w:bottom w:val="single" w:sz="4" w:space="0" w:color="auto"/>
              <w:right w:val="nil"/>
            </w:tcBorders>
            <w:shd w:val="clear" w:color="auto" w:fill="auto"/>
            <w:noWrap/>
            <w:vAlign w:val="center"/>
            <w:hideMark/>
          </w:tcPr>
          <w:p w14:paraId="6F737A5F"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869" w:type="dxa"/>
            <w:tcBorders>
              <w:top w:val="single" w:sz="4" w:space="0" w:color="auto"/>
              <w:left w:val="nil"/>
              <w:bottom w:val="single" w:sz="4" w:space="0" w:color="auto"/>
              <w:right w:val="nil"/>
            </w:tcBorders>
            <w:shd w:val="clear" w:color="auto" w:fill="auto"/>
            <w:noWrap/>
            <w:vAlign w:val="center"/>
            <w:hideMark/>
          </w:tcPr>
          <w:p w14:paraId="3C2A7012"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892" w:type="dxa"/>
            <w:tcBorders>
              <w:top w:val="single" w:sz="4" w:space="0" w:color="auto"/>
              <w:left w:val="nil"/>
              <w:bottom w:val="single" w:sz="4" w:space="0" w:color="auto"/>
              <w:right w:val="nil"/>
            </w:tcBorders>
            <w:shd w:val="clear" w:color="auto" w:fill="auto"/>
            <w:noWrap/>
            <w:vAlign w:val="center"/>
            <w:hideMark/>
          </w:tcPr>
          <w:p w14:paraId="431A2932"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0" w:type="auto"/>
            <w:tcBorders>
              <w:top w:val="single" w:sz="4" w:space="0" w:color="auto"/>
              <w:left w:val="nil"/>
              <w:bottom w:val="single" w:sz="4" w:space="0" w:color="auto"/>
              <w:right w:val="nil"/>
            </w:tcBorders>
            <w:shd w:val="clear" w:color="auto" w:fill="auto"/>
            <w:noWrap/>
            <w:vAlign w:val="center"/>
            <w:hideMark/>
          </w:tcPr>
          <w:p w14:paraId="5DAB4804" w14:textId="77777777" w:rsidR="00B9311E" w:rsidRPr="00BD77D8" w:rsidRDefault="00B9311E" w:rsidP="00B9311E">
            <w:pPr>
              <w:spacing w:after="0" w:line="240" w:lineRule="auto"/>
              <w:jc w:val="right"/>
              <w:rPr>
                <w:b/>
                <w:bCs/>
                <w:sz w:val="18"/>
                <w:szCs w:val="18"/>
              </w:rPr>
            </w:pPr>
            <w:r w:rsidRPr="00BD77D8">
              <w:rPr>
                <w:b/>
                <w:bCs/>
                <w:sz w:val="18"/>
                <w:szCs w:val="18"/>
              </w:rPr>
              <w:t xml:space="preserve">        340 </w:t>
            </w:r>
          </w:p>
        </w:tc>
        <w:tc>
          <w:tcPr>
            <w:tcW w:w="0" w:type="auto"/>
            <w:tcBorders>
              <w:top w:val="single" w:sz="4" w:space="0" w:color="auto"/>
              <w:left w:val="nil"/>
              <w:bottom w:val="single" w:sz="4" w:space="0" w:color="auto"/>
              <w:right w:val="nil"/>
            </w:tcBorders>
            <w:shd w:val="clear" w:color="auto" w:fill="auto"/>
            <w:noWrap/>
            <w:vAlign w:val="center"/>
            <w:hideMark/>
          </w:tcPr>
          <w:p w14:paraId="0EF6AE07" w14:textId="77777777" w:rsidR="00B9311E" w:rsidRPr="00BD77D8" w:rsidRDefault="00B9311E" w:rsidP="00B9311E">
            <w:pPr>
              <w:spacing w:after="0" w:line="240" w:lineRule="auto"/>
              <w:jc w:val="right"/>
              <w:rPr>
                <w:b/>
                <w:bCs/>
                <w:sz w:val="18"/>
                <w:szCs w:val="18"/>
              </w:rPr>
            </w:pPr>
            <w:r w:rsidRPr="00BD77D8">
              <w:rPr>
                <w:b/>
                <w:bCs/>
                <w:sz w:val="18"/>
                <w:szCs w:val="18"/>
              </w:rPr>
              <w:t xml:space="preserve">     1,287 </w:t>
            </w:r>
          </w:p>
        </w:tc>
      </w:tr>
    </w:tbl>
    <w:p w14:paraId="10D2E03A" w14:textId="381DB138" w:rsidR="00DD09A8" w:rsidRPr="00BD77D8" w:rsidRDefault="00DD09A8" w:rsidP="00C3515C">
      <w:pPr>
        <w:spacing w:before="1320" w:after="0" w:line="199" w:lineRule="exact"/>
        <w:textAlignment w:val="baseline"/>
        <w:rPr>
          <w:rFonts w:eastAsia="Arial"/>
          <w:bCs/>
          <w:sz w:val="18"/>
          <w:szCs w:val="18"/>
          <w:lang w:eastAsia="en-US"/>
        </w:rPr>
      </w:pP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t>Page 31 of 45</w:t>
      </w:r>
    </w:p>
    <w:p w14:paraId="23E5EE56" w14:textId="77777777" w:rsidR="00B9311E" w:rsidRPr="00BD77D8" w:rsidRDefault="00B9311E" w:rsidP="00B9311E">
      <w:pPr>
        <w:spacing w:after="0" w:line="240" w:lineRule="auto"/>
        <w:rPr>
          <w:rFonts w:eastAsia="Arial"/>
          <w:bCs/>
          <w:sz w:val="18"/>
          <w:szCs w:val="18"/>
          <w:lang w:eastAsia="en-US"/>
        </w:rPr>
      </w:pPr>
      <w:r w:rsidRPr="00BD77D8">
        <w:rPr>
          <w:rFonts w:eastAsia="Arial"/>
          <w:bCs/>
          <w:sz w:val="18"/>
          <w:szCs w:val="18"/>
          <w:lang w:eastAsia="en-US"/>
        </w:rPr>
        <w:br w:type="page"/>
      </w:r>
    </w:p>
    <w:p w14:paraId="46F5200D"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44DB5F26"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2EDE1923"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19770F83" w14:textId="77777777" w:rsidR="00B9311E" w:rsidRPr="00BD77D8" w:rsidRDefault="00B9311E" w:rsidP="00B9311E">
      <w:pPr>
        <w:pBdr>
          <w:bottom w:val="single" w:sz="4" w:space="1" w:color="auto"/>
        </w:pBdr>
        <w:spacing w:after="0" w:line="199" w:lineRule="exact"/>
        <w:textAlignment w:val="baseline"/>
        <w:rPr>
          <w:rFonts w:eastAsia="Arial"/>
          <w:bCs/>
          <w:sz w:val="18"/>
          <w:szCs w:val="18"/>
          <w:lang w:eastAsia="en-US"/>
        </w:rPr>
      </w:pPr>
    </w:p>
    <w:p w14:paraId="7A986E10" w14:textId="5617E2C8" w:rsidR="00B9311E" w:rsidRPr="00BD77D8" w:rsidRDefault="00B9311E" w:rsidP="00E47A6E">
      <w:pPr>
        <w:spacing w:before="240"/>
        <w:rPr>
          <w:rFonts w:eastAsia="PMingLiU"/>
          <w:sz w:val="18"/>
          <w:szCs w:val="18"/>
          <w:lang w:eastAsia="en-US"/>
        </w:rPr>
      </w:pPr>
      <w:bookmarkStart w:id="226" w:name="_Toc111494819"/>
      <w:bookmarkStart w:id="227" w:name="_Toc111540691"/>
      <w:bookmarkStart w:id="228" w:name="_Toc111559255"/>
      <w:bookmarkStart w:id="229" w:name="_Toc113196527"/>
      <w:bookmarkStart w:id="230" w:name="_Toc113196875"/>
      <w:bookmarkStart w:id="231" w:name="_Toc113262005"/>
      <w:bookmarkStart w:id="232" w:name="_Toc113349159"/>
      <w:bookmarkStart w:id="233" w:name="_Toc113358084"/>
      <w:r w:rsidRPr="00BD77D8">
        <w:rPr>
          <w:rFonts w:eastAsia="Arial"/>
          <w:b/>
          <w:bCs/>
          <w:sz w:val="22"/>
          <w:szCs w:val="22"/>
          <w:lang w:eastAsia="en-US"/>
        </w:rPr>
        <w:t>Performance compared to Budget</w:t>
      </w:r>
      <w:bookmarkEnd w:id="226"/>
      <w:bookmarkEnd w:id="227"/>
      <w:bookmarkEnd w:id="228"/>
      <w:bookmarkEnd w:id="229"/>
      <w:bookmarkEnd w:id="230"/>
      <w:bookmarkEnd w:id="231"/>
      <w:bookmarkEnd w:id="232"/>
      <w:bookmarkEnd w:id="233"/>
    </w:p>
    <w:p w14:paraId="44C346A9" w14:textId="77777777" w:rsidR="00B9311E" w:rsidRPr="00BD77D8" w:rsidRDefault="00B9311E" w:rsidP="009D387F">
      <w:pPr>
        <w:rPr>
          <w:rFonts w:eastAsia="Arial"/>
          <w:b/>
          <w:bCs/>
          <w:sz w:val="22"/>
          <w:szCs w:val="22"/>
          <w:lang w:eastAsia="en-US"/>
        </w:rPr>
      </w:pPr>
      <w:bookmarkStart w:id="234" w:name="_Toc111494820"/>
      <w:bookmarkStart w:id="235" w:name="_Toc111540692"/>
      <w:bookmarkStart w:id="236" w:name="_Toc111559256"/>
      <w:bookmarkStart w:id="237" w:name="_Toc113196528"/>
      <w:bookmarkStart w:id="238" w:name="_Toc113196876"/>
      <w:bookmarkStart w:id="239" w:name="_Toc113262006"/>
      <w:bookmarkStart w:id="240" w:name="_Toc113349160"/>
      <w:bookmarkStart w:id="241" w:name="_Toc113358085"/>
      <w:r w:rsidRPr="00BD77D8">
        <w:rPr>
          <w:rFonts w:eastAsia="Arial"/>
          <w:b/>
          <w:bCs/>
          <w:sz w:val="22"/>
          <w:szCs w:val="22"/>
          <w:lang w:eastAsia="en-US"/>
        </w:rPr>
        <w:t>E1 Budgetary Reporting Disclosures</w:t>
      </w:r>
      <w:bookmarkEnd w:id="234"/>
      <w:bookmarkEnd w:id="235"/>
      <w:bookmarkEnd w:id="236"/>
      <w:bookmarkEnd w:id="237"/>
      <w:bookmarkEnd w:id="238"/>
      <w:bookmarkEnd w:id="239"/>
      <w:bookmarkEnd w:id="240"/>
      <w:bookmarkEnd w:id="241"/>
    </w:p>
    <w:p w14:paraId="04C49CEC" w14:textId="77777777" w:rsidR="00B9311E" w:rsidRPr="00BD77D8" w:rsidRDefault="00B9311E" w:rsidP="006226A9">
      <w:pPr>
        <w:spacing w:line="180" w:lineRule="atLeast"/>
        <w:textAlignment w:val="baseline"/>
        <w:rPr>
          <w:rFonts w:eastAsia="Arial"/>
          <w:b/>
          <w:bCs/>
          <w:sz w:val="20"/>
          <w:szCs w:val="20"/>
          <w:lang w:eastAsia="en-US"/>
        </w:rPr>
      </w:pPr>
      <w:r w:rsidRPr="00BD77D8">
        <w:rPr>
          <w:rFonts w:eastAsia="Arial"/>
          <w:b/>
          <w:bCs/>
          <w:sz w:val="20"/>
          <w:szCs w:val="20"/>
          <w:lang w:eastAsia="en-US"/>
        </w:rPr>
        <w:t>E1-1 Explanation of Major Variances – Statement of comprehensive income</w:t>
      </w:r>
    </w:p>
    <w:p w14:paraId="7711020B" w14:textId="77777777" w:rsidR="006226A9" w:rsidRPr="00BD77D8" w:rsidRDefault="00B9311E" w:rsidP="006226A9">
      <w:pPr>
        <w:spacing w:line="180" w:lineRule="atLeast"/>
        <w:textAlignment w:val="baseline"/>
        <w:rPr>
          <w:rFonts w:eastAsia="Arial"/>
          <w:b/>
          <w:bCs/>
          <w:i/>
          <w:iCs/>
          <w:sz w:val="18"/>
          <w:szCs w:val="18"/>
          <w:lang w:eastAsia="en-US"/>
        </w:rPr>
      </w:pPr>
      <w:r w:rsidRPr="00BD77D8">
        <w:rPr>
          <w:rFonts w:eastAsia="Arial"/>
          <w:b/>
          <w:bCs/>
          <w:i/>
          <w:iCs/>
          <w:sz w:val="18"/>
          <w:szCs w:val="18"/>
          <w:lang w:eastAsia="en-US"/>
        </w:rPr>
        <w:t>Appropriation Revenue</w:t>
      </w:r>
      <w:bookmarkStart w:id="242" w:name="_Hlk111115373"/>
    </w:p>
    <w:p w14:paraId="7FEC471B" w14:textId="44226888" w:rsidR="00B9311E" w:rsidRPr="00BD77D8" w:rsidRDefault="00B9311E" w:rsidP="006226A9">
      <w:pPr>
        <w:spacing w:line="180" w:lineRule="atLeast"/>
        <w:textAlignment w:val="baseline"/>
        <w:rPr>
          <w:rFonts w:eastAsia="Arial"/>
          <w:b/>
          <w:bCs/>
          <w:sz w:val="18"/>
          <w:szCs w:val="18"/>
          <w:lang w:eastAsia="en-US"/>
        </w:rPr>
      </w:pPr>
      <w:r w:rsidRPr="00BD77D8">
        <w:rPr>
          <w:rFonts w:eastAsia="Arial"/>
          <w:sz w:val="18"/>
          <w:szCs w:val="18"/>
          <w:lang w:eastAsia="en-US"/>
        </w:rPr>
        <w:t xml:space="preserve">Appropriation revenue is $14.176M lower than the budget of $297.144M principally reflecting a reduction of $9M in Appropriation revenue to offset user charges revenue retained to fund the costs associated with the processing of Disability Worker Screening applications for individuals seeking to be engaged in roles that require either a NDIS or state based worker screening clearance; and reflecting a range of timing adjustments for initiatives including splash parks in remote communities and the alcohol management program. </w:t>
      </w:r>
    </w:p>
    <w:bookmarkEnd w:id="242"/>
    <w:p w14:paraId="5311F31C" w14:textId="77777777" w:rsidR="00B9311E" w:rsidRPr="00BD77D8" w:rsidRDefault="00B9311E" w:rsidP="006226A9">
      <w:pPr>
        <w:spacing w:line="180" w:lineRule="atLeast"/>
        <w:ind w:right="360"/>
        <w:textAlignment w:val="baseline"/>
        <w:rPr>
          <w:rFonts w:eastAsia="Arial"/>
          <w:b/>
          <w:bCs/>
          <w:i/>
          <w:sz w:val="18"/>
          <w:szCs w:val="18"/>
          <w:lang w:eastAsia="en-US"/>
        </w:rPr>
      </w:pPr>
      <w:r w:rsidRPr="00BD77D8">
        <w:rPr>
          <w:rFonts w:eastAsia="Arial"/>
          <w:b/>
          <w:bCs/>
          <w:i/>
          <w:sz w:val="18"/>
          <w:szCs w:val="18"/>
          <w:lang w:eastAsia="en-US"/>
        </w:rPr>
        <w:t>User charges and fees</w:t>
      </w:r>
    </w:p>
    <w:p w14:paraId="3CE49E84" w14:textId="77777777" w:rsidR="00B9311E" w:rsidRPr="00BD77D8" w:rsidRDefault="00B9311E" w:rsidP="006226A9">
      <w:pPr>
        <w:spacing w:line="180" w:lineRule="atLeast"/>
        <w:ind w:right="72"/>
        <w:textAlignment w:val="baseline"/>
        <w:rPr>
          <w:rFonts w:eastAsia="Arial"/>
          <w:b/>
          <w:bCs/>
          <w:iCs/>
          <w:sz w:val="18"/>
          <w:szCs w:val="18"/>
          <w:lang w:eastAsia="en-US"/>
        </w:rPr>
      </w:pPr>
      <w:r w:rsidRPr="00BD77D8">
        <w:rPr>
          <w:rFonts w:eastAsia="Arial"/>
          <w:sz w:val="18"/>
          <w:szCs w:val="18"/>
          <w:lang w:eastAsia="en-US"/>
        </w:rPr>
        <w:t>User charges and fees is $9.263M higher than the budget of $1.149M reflecting the retention of revenues to offset costs associated with the processing of Disability Worker Screening applications. The revenue was originally budgeted as Appropriation revenue.</w:t>
      </w:r>
    </w:p>
    <w:p w14:paraId="4C32B688" w14:textId="77777777" w:rsidR="00B9311E" w:rsidRPr="00BD77D8" w:rsidRDefault="00B9311E" w:rsidP="006226A9">
      <w:pPr>
        <w:spacing w:line="180" w:lineRule="atLeast"/>
        <w:textAlignment w:val="baseline"/>
        <w:rPr>
          <w:rFonts w:eastAsia="Arial"/>
          <w:b/>
          <w:bCs/>
          <w:i/>
          <w:sz w:val="18"/>
          <w:szCs w:val="18"/>
          <w:lang w:eastAsia="en-US"/>
        </w:rPr>
      </w:pPr>
      <w:r w:rsidRPr="00BD77D8">
        <w:rPr>
          <w:rFonts w:eastAsia="Arial"/>
          <w:b/>
          <w:bCs/>
          <w:i/>
          <w:sz w:val="18"/>
          <w:szCs w:val="18"/>
          <w:lang w:eastAsia="en-US"/>
        </w:rPr>
        <w:t>Grants and other contributions</w:t>
      </w:r>
    </w:p>
    <w:p w14:paraId="76249482" w14:textId="77777777" w:rsidR="00B9311E" w:rsidRPr="00BD77D8" w:rsidRDefault="00B9311E" w:rsidP="006226A9">
      <w:pPr>
        <w:spacing w:line="180" w:lineRule="atLeast"/>
        <w:textAlignment w:val="baseline"/>
        <w:rPr>
          <w:rFonts w:eastAsia="Arial"/>
          <w:b/>
          <w:bCs/>
          <w:iCs/>
          <w:sz w:val="18"/>
          <w:szCs w:val="18"/>
          <w:lang w:eastAsia="en-US"/>
        </w:rPr>
      </w:pPr>
      <w:r w:rsidRPr="00BD77D8">
        <w:rPr>
          <w:rFonts w:eastAsia="Arial"/>
          <w:iCs/>
          <w:sz w:val="18"/>
          <w:szCs w:val="18"/>
          <w:lang w:eastAsia="en-US"/>
        </w:rPr>
        <w:t xml:space="preserve">Grants and other contributions for 2021-22 includes revenue for the delivery of a range of disability support services for older Australians funded by the Commonwealth government. Revenue is $1.164M below the budget of $12.373M principally due to the number of clients supported by the department declining as they exit the department’s care. </w:t>
      </w:r>
    </w:p>
    <w:p w14:paraId="777318C7" w14:textId="77777777" w:rsidR="00B9311E" w:rsidRPr="00BD77D8" w:rsidRDefault="00B9311E" w:rsidP="006226A9">
      <w:pPr>
        <w:spacing w:line="180" w:lineRule="atLeast"/>
        <w:textAlignment w:val="baseline"/>
        <w:rPr>
          <w:rFonts w:eastAsia="Arial"/>
          <w:b/>
          <w:bCs/>
          <w:i/>
          <w:sz w:val="18"/>
          <w:szCs w:val="18"/>
          <w:lang w:eastAsia="en-US"/>
        </w:rPr>
      </w:pPr>
      <w:r w:rsidRPr="00BD77D8">
        <w:rPr>
          <w:rFonts w:eastAsia="Arial"/>
          <w:b/>
          <w:bCs/>
          <w:i/>
          <w:sz w:val="18"/>
          <w:szCs w:val="18"/>
          <w:lang w:eastAsia="en-US"/>
        </w:rPr>
        <w:t>Reversal of revaluation decrement</w:t>
      </w:r>
    </w:p>
    <w:p w14:paraId="7D8B8BEB" w14:textId="77777777" w:rsidR="00B9311E" w:rsidRPr="00BD77D8" w:rsidRDefault="00B9311E" w:rsidP="006226A9">
      <w:pPr>
        <w:spacing w:line="180" w:lineRule="atLeast"/>
        <w:textAlignment w:val="baseline"/>
        <w:rPr>
          <w:rFonts w:eastAsia="Arial"/>
          <w:b/>
          <w:bCs/>
          <w:iCs/>
          <w:sz w:val="18"/>
          <w:szCs w:val="18"/>
          <w:lang w:eastAsia="en-US"/>
        </w:rPr>
      </w:pPr>
      <w:r w:rsidRPr="00BD77D8">
        <w:rPr>
          <w:rFonts w:eastAsia="Arial"/>
          <w:iCs/>
          <w:sz w:val="18"/>
          <w:szCs w:val="18"/>
          <w:lang w:eastAsia="en-US"/>
        </w:rPr>
        <w:t>The balance of $28.569M represents the increment of the annual revaluation of land and building assets which reverses historical revaluation decrements. These asset movements are not budgeted for due to the uncertain outcomes of asset values across financial years.</w:t>
      </w:r>
    </w:p>
    <w:p w14:paraId="6E11B8FA" w14:textId="77777777" w:rsidR="00B9311E" w:rsidRPr="00BD77D8" w:rsidRDefault="00B9311E" w:rsidP="006226A9">
      <w:pPr>
        <w:spacing w:line="180" w:lineRule="atLeast"/>
        <w:textAlignment w:val="baseline"/>
        <w:rPr>
          <w:rFonts w:eastAsia="Arial"/>
          <w:b/>
          <w:bCs/>
          <w:i/>
          <w:sz w:val="18"/>
          <w:szCs w:val="18"/>
          <w:lang w:eastAsia="en-US"/>
        </w:rPr>
      </w:pPr>
      <w:r w:rsidRPr="00BD77D8">
        <w:rPr>
          <w:rFonts w:eastAsia="Arial"/>
          <w:b/>
          <w:bCs/>
          <w:i/>
          <w:sz w:val="18"/>
          <w:szCs w:val="18"/>
          <w:lang w:eastAsia="en-US"/>
        </w:rPr>
        <w:t>Other revenue</w:t>
      </w:r>
    </w:p>
    <w:p w14:paraId="3F4D9347" w14:textId="77777777" w:rsidR="00B9311E" w:rsidRPr="00BD77D8" w:rsidRDefault="00B9311E" w:rsidP="006226A9">
      <w:pPr>
        <w:spacing w:line="180" w:lineRule="atLeast"/>
        <w:textAlignment w:val="baseline"/>
        <w:rPr>
          <w:rFonts w:eastAsia="Arial"/>
          <w:b/>
          <w:bCs/>
          <w:iCs/>
          <w:sz w:val="18"/>
          <w:szCs w:val="18"/>
          <w:lang w:eastAsia="en-US"/>
        </w:rPr>
      </w:pPr>
      <w:r w:rsidRPr="00BD77D8">
        <w:rPr>
          <w:rFonts w:eastAsia="Arial"/>
          <w:iCs/>
          <w:sz w:val="18"/>
          <w:szCs w:val="18"/>
          <w:lang w:eastAsia="en-US"/>
        </w:rPr>
        <w:t>Other revenue is $2.105M higher than the budget of $0.864M principally reflecting the return of grant funds unspent from prior years of $1.484M and general expenditure recoveries of $0.431M which are not budgeted for due to the variable nature of these events.</w:t>
      </w:r>
    </w:p>
    <w:p w14:paraId="13DC2159" w14:textId="77777777" w:rsidR="00B9311E" w:rsidRPr="00BD77D8" w:rsidRDefault="00B9311E" w:rsidP="006226A9">
      <w:pPr>
        <w:spacing w:line="180" w:lineRule="atLeast"/>
        <w:textAlignment w:val="baseline"/>
        <w:rPr>
          <w:rFonts w:eastAsia="Arial"/>
          <w:b/>
          <w:bCs/>
          <w:i/>
          <w:sz w:val="18"/>
          <w:szCs w:val="18"/>
          <w:lang w:eastAsia="en-US"/>
        </w:rPr>
      </w:pPr>
      <w:r w:rsidRPr="00BD77D8">
        <w:rPr>
          <w:rFonts w:eastAsia="Arial"/>
          <w:b/>
          <w:bCs/>
          <w:i/>
          <w:sz w:val="18"/>
          <w:szCs w:val="18"/>
          <w:lang w:eastAsia="en-US"/>
        </w:rPr>
        <w:t>Employee Expenses</w:t>
      </w:r>
    </w:p>
    <w:p w14:paraId="0DCAD21F" w14:textId="77777777" w:rsidR="00B9311E" w:rsidRPr="00BD77D8" w:rsidRDefault="00B9311E" w:rsidP="006226A9">
      <w:pPr>
        <w:spacing w:line="180" w:lineRule="atLeast"/>
        <w:textAlignment w:val="baseline"/>
        <w:rPr>
          <w:rFonts w:eastAsia="Arial"/>
          <w:iCs/>
          <w:sz w:val="18"/>
          <w:szCs w:val="18"/>
          <w:lang w:eastAsia="en-US"/>
        </w:rPr>
      </w:pPr>
      <w:r w:rsidRPr="00BD77D8">
        <w:rPr>
          <w:rFonts w:eastAsia="Arial"/>
          <w:iCs/>
          <w:sz w:val="18"/>
          <w:szCs w:val="18"/>
          <w:lang w:eastAsia="en-US"/>
        </w:rPr>
        <w:t>Employee expenses are $11.115M higher than the budget of $203.793M principally reflecting Enterprise Bargaining increases which were approved post the publication of the 2021-22 Budget, and the provision of disability support services by employees for older Australians which was originally budgeted for as service procurement.</w:t>
      </w:r>
    </w:p>
    <w:p w14:paraId="453062EA" w14:textId="77777777" w:rsidR="00B9311E" w:rsidRPr="00BD77D8" w:rsidRDefault="00B9311E" w:rsidP="006226A9">
      <w:pPr>
        <w:spacing w:line="180" w:lineRule="atLeast"/>
        <w:textAlignment w:val="baseline"/>
        <w:rPr>
          <w:rFonts w:eastAsia="Arial"/>
          <w:b/>
          <w:bCs/>
          <w:i/>
          <w:sz w:val="18"/>
          <w:szCs w:val="18"/>
          <w:lang w:eastAsia="en-US"/>
        </w:rPr>
      </w:pPr>
      <w:r w:rsidRPr="00BD77D8">
        <w:rPr>
          <w:rFonts w:eastAsia="Arial"/>
          <w:b/>
          <w:bCs/>
          <w:i/>
          <w:sz w:val="18"/>
          <w:szCs w:val="18"/>
          <w:lang w:eastAsia="en-US"/>
        </w:rPr>
        <w:t>Supplies and services</w:t>
      </w:r>
    </w:p>
    <w:p w14:paraId="42E47C47" w14:textId="77777777" w:rsidR="00B9311E" w:rsidRPr="00BD77D8" w:rsidRDefault="00B9311E" w:rsidP="006226A9">
      <w:pPr>
        <w:spacing w:line="180" w:lineRule="atLeast"/>
        <w:textAlignment w:val="baseline"/>
        <w:rPr>
          <w:rFonts w:eastAsia="Arial"/>
          <w:i/>
          <w:sz w:val="18"/>
          <w:szCs w:val="18"/>
          <w:lang w:eastAsia="en-US"/>
        </w:rPr>
      </w:pPr>
      <w:r w:rsidRPr="00BD77D8">
        <w:rPr>
          <w:rFonts w:eastAsia="Arial"/>
          <w:iCs/>
          <w:sz w:val="18"/>
          <w:szCs w:val="18"/>
          <w:lang w:eastAsia="en-US"/>
        </w:rPr>
        <w:t xml:space="preserve">Supplies and services expenses were $22.449M lower than the budget of $90.085M. The original budget included estimated service procurement expenses of $10M for the delivery of disability support services for older Australians that were ultimately delivered by employees. Actual expenses are also lower, reflecting </w:t>
      </w:r>
      <w:r w:rsidRPr="00BD77D8">
        <w:rPr>
          <w:rFonts w:eastAsia="Arial"/>
          <w:sz w:val="18"/>
          <w:szCs w:val="18"/>
          <w:lang w:eastAsia="en-US"/>
        </w:rPr>
        <w:t xml:space="preserve">a range of timing adjustments for initiatives </w:t>
      </w:r>
      <w:r w:rsidRPr="00BD77D8">
        <w:rPr>
          <w:rFonts w:eastAsia="Arial"/>
          <w:iCs/>
          <w:sz w:val="18"/>
          <w:szCs w:val="18"/>
          <w:lang w:eastAsia="en-US"/>
        </w:rPr>
        <w:t xml:space="preserve">including land planning programs, with the ability to engage fully with local community and stakeholders impacted due to the ongoing effects of the COVID-19 pandemic. </w:t>
      </w:r>
      <w:bookmarkStart w:id="243" w:name="_Hlk111192213"/>
      <w:r w:rsidRPr="00BD77D8">
        <w:rPr>
          <w:rFonts w:eastAsia="Arial"/>
          <w:iCs/>
          <w:sz w:val="18"/>
          <w:szCs w:val="18"/>
          <w:lang w:eastAsia="en-US"/>
        </w:rPr>
        <w:t>The reclassification of several programs from supplies and services to grants and subsidies in accordance with accounting policy also reduced actual expenses in this category.</w:t>
      </w:r>
      <w:bookmarkEnd w:id="243"/>
    </w:p>
    <w:p w14:paraId="2929D225" w14:textId="77777777" w:rsidR="00B9311E" w:rsidRPr="00BD77D8" w:rsidRDefault="00B9311E" w:rsidP="006226A9">
      <w:pPr>
        <w:spacing w:line="180" w:lineRule="atLeast"/>
        <w:textAlignment w:val="baseline"/>
        <w:rPr>
          <w:rFonts w:eastAsia="Arial"/>
          <w:b/>
          <w:bCs/>
          <w:i/>
          <w:sz w:val="18"/>
          <w:szCs w:val="18"/>
          <w:lang w:eastAsia="en-US"/>
        </w:rPr>
      </w:pPr>
      <w:r w:rsidRPr="00BD77D8">
        <w:rPr>
          <w:rFonts w:eastAsia="Arial"/>
          <w:b/>
          <w:bCs/>
          <w:i/>
          <w:sz w:val="18"/>
          <w:szCs w:val="18"/>
          <w:lang w:eastAsia="en-US"/>
        </w:rPr>
        <w:t>Grants and subsidies</w:t>
      </w:r>
    </w:p>
    <w:p w14:paraId="08F80D9D" w14:textId="77777777" w:rsidR="00B9311E" w:rsidRPr="00BD77D8" w:rsidRDefault="00B9311E" w:rsidP="00B9311E">
      <w:pPr>
        <w:spacing w:after="0" w:line="180" w:lineRule="atLeast"/>
        <w:textAlignment w:val="baseline"/>
        <w:rPr>
          <w:rFonts w:eastAsia="Arial"/>
          <w:i/>
          <w:sz w:val="18"/>
          <w:szCs w:val="18"/>
          <w:lang w:eastAsia="en-US"/>
        </w:rPr>
      </w:pPr>
      <w:r w:rsidRPr="00BD77D8">
        <w:rPr>
          <w:rFonts w:eastAsia="Arial"/>
          <w:iCs/>
          <w:sz w:val="18"/>
          <w:szCs w:val="18"/>
          <w:lang w:eastAsia="en-US"/>
        </w:rPr>
        <w:t>Grants and subsidies expenses were $6.751M higher than the budget of $9.112M reflecting initiatives rescheduled from 2020-21.  The associated funding was deferred from 2020-21, post the publication of the 2021-22 Budget. These programs were rescheduled because of the COVID-19 pandemic where the ability to engage fully with local communities and operationalise initiatives was affected. Expenses were also higher reflecting the reclassification of several programs from supplies and services to grants and subsidies in accordance with accounting policy.</w:t>
      </w:r>
    </w:p>
    <w:p w14:paraId="34B157C0" w14:textId="01BF4B4B" w:rsidR="00DD09A8" w:rsidRPr="00BD77D8" w:rsidRDefault="00DD09A8" w:rsidP="00B9311E">
      <w:pPr>
        <w:spacing w:after="0" w:line="180" w:lineRule="atLeast"/>
        <w:textAlignment w:val="baseline"/>
        <w:rPr>
          <w:rFonts w:eastAsia="Arial"/>
          <w:iCs/>
          <w:sz w:val="18"/>
          <w:szCs w:val="18"/>
          <w:lang w:eastAsia="en-US"/>
        </w:rPr>
        <w:sectPr w:rsidR="00DD09A8" w:rsidRPr="00BD77D8" w:rsidSect="000160CF">
          <w:type w:val="nextColumn"/>
          <w:pgSz w:w="11909" w:h="16838"/>
          <w:pgMar w:top="794" w:right="794" w:bottom="794" w:left="794" w:header="720" w:footer="720" w:gutter="0"/>
          <w:cols w:space="720"/>
        </w:sectPr>
      </w:pP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r>
      <w:r w:rsidRPr="00BD77D8">
        <w:rPr>
          <w:rFonts w:eastAsia="Arial"/>
          <w:iCs/>
          <w:sz w:val="18"/>
          <w:szCs w:val="18"/>
          <w:lang w:eastAsia="en-US"/>
        </w:rPr>
        <w:tab/>
        <w:t>Page 32 of 45</w:t>
      </w:r>
    </w:p>
    <w:p w14:paraId="128026A9"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5957E6ED"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1C430185"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519E029D" w14:textId="77777777" w:rsidR="00B9311E" w:rsidRPr="00BD77D8" w:rsidRDefault="00B9311E" w:rsidP="00B9311E">
      <w:pPr>
        <w:pBdr>
          <w:bottom w:val="single" w:sz="4" w:space="1" w:color="auto"/>
        </w:pBdr>
        <w:spacing w:after="0" w:line="206" w:lineRule="exact"/>
        <w:textAlignment w:val="baseline"/>
        <w:rPr>
          <w:rFonts w:eastAsia="Arial"/>
          <w:b/>
          <w:sz w:val="18"/>
          <w:szCs w:val="18"/>
          <w:lang w:eastAsia="en-US"/>
        </w:rPr>
      </w:pPr>
    </w:p>
    <w:p w14:paraId="187991B0" w14:textId="77777777" w:rsidR="00B9311E" w:rsidRPr="00BD77D8" w:rsidRDefault="00B9311E" w:rsidP="006226A9">
      <w:pPr>
        <w:spacing w:before="240" w:line="180" w:lineRule="atLeast"/>
        <w:textAlignment w:val="baseline"/>
        <w:rPr>
          <w:rFonts w:eastAsia="Arial"/>
          <w:b/>
          <w:bCs/>
          <w:iCs/>
          <w:sz w:val="22"/>
          <w:szCs w:val="22"/>
          <w:lang w:eastAsia="en-US"/>
        </w:rPr>
      </w:pPr>
      <w:r w:rsidRPr="00BD77D8">
        <w:rPr>
          <w:rFonts w:eastAsia="Arial"/>
          <w:b/>
          <w:bCs/>
          <w:iCs/>
          <w:sz w:val="22"/>
          <w:szCs w:val="22"/>
          <w:lang w:eastAsia="en-US"/>
        </w:rPr>
        <w:t>E1 Budgetary Reporting Disclosures (continued)</w:t>
      </w:r>
    </w:p>
    <w:p w14:paraId="6CBFE73F" w14:textId="77777777" w:rsidR="00B9311E" w:rsidRPr="00BD77D8" w:rsidRDefault="00B9311E" w:rsidP="006226A9">
      <w:pPr>
        <w:spacing w:line="180" w:lineRule="atLeast"/>
        <w:textAlignment w:val="baseline"/>
        <w:rPr>
          <w:rFonts w:eastAsia="Arial"/>
          <w:b/>
          <w:bCs/>
          <w:iCs/>
          <w:sz w:val="20"/>
          <w:szCs w:val="20"/>
          <w:lang w:eastAsia="en-US"/>
        </w:rPr>
      </w:pPr>
      <w:r w:rsidRPr="00BD77D8">
        <w:rPr>
          <w:rFonts w:eastAsia="Arial"/>
          <w:b/>
          <w:bCs/>
          <w:iCs/>
          <w:sz w:val="20"/>
          <w:szCs w:val="20"/>
          <w:lang w:eastAsia="en-US"/>
        </w:rPr>
        <w:t xml:space="preserve">E1-1 Explanation of Major Variances – </w:t>
      </w:r>
      <w:r w:rsidRPr="00BD77D8">
        <w:rPr>
          <w:rFonts w:eastAsia="Arial"/>
          <w:b/>
          <w:bCs/>
          <w:sz w:val="20"/>
          <w:szCs w:val="20"/>
          <w:lang w:eastAsia="en-US"/>
        </w:rPr>
        <w:t>Statement of comprehensive income</w:t>
      </w:r>
      <w:r w:rsidRPr="00BD77D8">
        <w:rPr>
          <w:rFonts w:eastAsia="Arial"/>
          <w:b/>
          <w:bCs/>
          <w:iCs/>
          <w:sz w:val="20"/>
          <w:szCs w:val="20"/>
          <w:lang w:eastAsia="en-US"/>
        </w:rPr>
        <w:t xml:space="preserve"> (continued)</w:t>
      </w:r>
    </w:p>
    <w:p w14:paraId="2BDF2206" w14:textId="77777777" w:rsidR="00B9311E" w:rsidRPr="00BD77D8" w:rsidRDefault="00B9311E" w:rsidP="006226A9">
      <w:pPr>
        <w:spacing w:line="180" w:lineRule="atLeast"/>
        <w:textAlignment w:val="baseline"/>
        <w:rPr>
          <w:rFonts w:eastAsia="Arial"/>
          <w:b/>
          <w:bCs/>
          <w:i/>
          <w:sz w:val="18"/>
          <w:szCs w:val="18"/>
          <w:lang w:eastAsia="en-US"/>
        </w:rPr>
      </w:pPr>
      <w:r w:rsidRPr="00BD77D8">
        <w:rPr>
          <w:rFonts w:eastAsia="Arial"/>
          <w:b/>
          <w:bCs/>
          <w:i/>
          <w:sz w:val="18"/>
          <w:szCs w:val="18"/>
          <w:lang w:eastAsia="en-US"/>
        </w:rPr>
        <w:t>Depreciation and amortisation</w:t>
      </w:r>
    </w:p>
    <w:p w14:paraId="03BE7BAD" w14:textId="77777777" w:rsidR="00B9311E" w:rsidRPr="00BD77D8" w:rsidRDefault="00B9311E" w:rsidP="006226A9">
      <w:pPr>
        <w:spacing w:line="180" w:lineRule="atLeast"/>
        <w:textAlignment w:val="baseline"/>
        <w:rPr>
          <w:rFonts w:eastAsia="Arial"/>
          <w:b/>
          <w:bCs/>
          <w:iCs/>
          <w:sz w:val="18"/>
          <w:szCs w:val="18"/>
          <w:lang w:eastAsia="en-US"/>
        </w:rPr>
      </w:pPr>
      <w:r w:rsidRPr="00BD77D8">
        <w:rPr>
          <w:rFonts w:eastAsia="Arial"/>
          <w:iCs/>
          <w:sz w:val="18"/>
          <w:szCs w:val="18"/>
          <w:lang w:eastAsia="en-US"/>
        </w:rPr>
        <w:t xml:space="preserve">Depreciation and amortisation expenses were $3.176M lower than the budget of $6.960M, reflecting the recalibration of the asset portfolio and commensurate depreciation budget following the December 2020 Machinery-of-Government changes, and the </w:t>
      </w:r>
      <w:proofErr w:type="spellStart"/>
      <w:r w:rsidRPr="00BD77D8">
        <w:rPr>
          <w:rFonts w:eastAsia="Arial"/>
          <w:iCs/>
          <w:sz w:val="18"/>
          <w:szCs w:val="18"/>
          <w:lang w:eastAsia="en-US"/>
        </w:rPr>
        <w:t>relifing</w:t>
      </w:r>
      <w:proofErr w:type="spellEnd"/>
      <w:r w:rsidRPr="00BD77D8">
        <w:rPr>
          <w:rFonts w:eastAsia="Arial"/>
          <w:iCs/>
          <w:sz w:val="18"/>
          <w:szCs w:val="18"/>
          <w:lang w:eastAsia="en-US"/>
        </w:rPr>
        <w:t xml:space="preserve"> of non-current assets in the current year.</w:t>
      </w:r>
    </w:p>
    <w:p w14:paraId="0AAF0FC9" w14:textId="77777777" w:rsidR="00B9311E" w:rsidRPr="00BD77D8" w:rsidRDefault="00B9311E" w:rsidP="006226A9">
      <w:pPr>
        <w:spacing w:line="180" w:lineRule="atLeast"/>
        <w:textAlignment w:val="baseline"/>
        <w:rPr>
          <w:rFonts w:eastAsia="Arial"/>
          <w:b/>
          <w:bCs/>
          <w:i/>
          <w:sz w:val="18"/>
          <w:szCs w:val="18"/>
          <w:lang w:eastAsia="en-US"/>
        </w:rPr>
      </w:pPr>
      <w:r w:rsidRPr="00BD77D8">
        <w:rPr>
          <w:rFonts w:eastAsia="Arial"/>
          <w:b/>
          <w:bCs/>
          <w:i/>
          <w:sz w:val="18"/>
          <w:szCs w:val="18"/>
          <w:lang w:eastAsia="en-US"/>
        </w:rPr>
        <w:t>Other expenses</w:t>
      </w:r>
    </w:p>
    <w:p w14:paraId="2637D822" w14:textId="77777777" w:rsidR="00B9311E" w:rsidRPr="00BD77D8" w:rsidRDefault="00B9311E" w:rsidP="006226A9">
      <w:pPr>
        <w:spacing w:line="180" w:lineRule="atLeast"/>
        <w:textAlignment w:val="baseline"/>
        <w:rPr>
          <w:rFonts w:eastAsia="Arial"/>
          <w:b/>
          <w:bCs/>
          <w:iCs/>
          <w:sz w:val="18"/>
          <w:szCs w:val="18"/>
          <w:lang w:eastAsia="en-US"/>
        </w:rPr>
      </w:pPr>
      <w:r w:rsidRPr="00BD77D8">
        <w:rPr>
          <w:rFonts w:eastAsia="Arial"/>
          <w:iCs/>
          <w:sz w:val="18"/>
          <w:szCs w:val="18"/>
          <w:lang w:eastAsia="en-US"/>
        </w:rPr>
        <w:t>Other expenses are $1.109M higher than the budget of $1.105M principally due to the recognition of a property loss as disclosed in Note B2-5.</w:t>
      </w:r>
    </w:p>
    <w:p w14:paraId="79666A10" w14:textId="77777777" w:rsidR="00B9311E" w:rsidRPr="00BD77D8" w:rsidRDefault="00B9311E" w:rsidP="006226A9">
      <w:pPr>
        <w:spacing w:line="180" w:lineRule="atLeast"/>
        <w:textAlignment w:val="baseline"/>
        <w:rPr>
          <w:rFonts w:eastAsia="Arial"/>
          <w:b/>
          <w:bCs/>
          <w:sz w:val="20"/>
          <w:szCs w:val="20"/>
          <w:lang w:eastAsia="en-US"/>
        </w:rPr>
      </w:pPr>
      <w:r w:rsidRPr="00BD77D8">
        <w:rPr>
          <w:rFonts w:eastAsia="Arial"/>
          <w:b/>
          <w:bCs/>
          <w:sz w:val="20"/>
          <w:szCs w:val="20"/>
          <w:lang w:eastAsia="en-US"/>
        </w:rPr>
        <w:t xml:space="preserve">E1-2 Explanation of Major Variances – </w:t>
      </w:r>
      <w:r w:rsidRPr="00BD77D8">
        <w:rPr>
          <w:rFonts w:eastAsia="Arial"/>
          <w:b/>
          <w:bCs/>
          <w:spacing w:val="3"/>
          <w:sz w:val="20"/>
          <w:szCs w:val="20"/>
          <w:lang w:eastAsia="en-US"/>
        </w:rPr>
        <w:t>Statement of financial performance</w:t>
      </w:r>
    </w:p>
    <w:p w14:paraId="3C57F47E" w14:textId="77777777" w:rsidR="00B9311E" w:rsidRPr="00BD77D8" w:rsidRDefault="00B9311E" w:rsidP="006226A9">
      <w:pPr>
        <w:spacing w:line="180" w:lineRule="atLeast"/>
        <w:textAlignment w:val="baseline"/>
        <w:rPr>
          <w:rFonts w:eastAsia="Arial"/>
          <w:b/>
          <w:bCs/>
          <w:i/>
          <w:sz w:val="18"/>
          <w:szCs w:val="18"/>
          <w:lang w:eastAsia="en-US"/>
        </w:rPr>
      </w:pPr>
      <w:r w:rsidRPr="00BD77D8">
        <w:rPr>
          <w:rFonts w:eastAsia="Arial"/>
          <w:b/>
          <w:bCs/>
          <w:i/>
          <w:sz w:val="18"/>
          <w:szCs w:val="18"/>
          <w:lang w:eastAsia="en-US"/>
        </w:rPr>
        <w:t>Cash</w:t>
      </w:r>
    </w:p>
    <w:p w14:paraId="09072B8C" w14:textId="77777777" w:rsidR="00B9311E" w:rsidRPr="00BD77D8" w:rsidRDefault="00B9311E" w:rsidP="006226A9">
      <w:pPr>
        <w:spacing w:line="180" w:lineRule="atLeast"/>
        <w:textAlignment w:val="baseline"/>
        <w:rPr>
          <w:rFonts w:eastAsia="Arial"/>
          <w:b/>
          <w:bCs/>
          <w:sz w:val="18"/>
          <w:szCs w:val="18"/>
          <w:lang w:eastAsia="en-US"/>
        </w:rPr>
      </w:pPr>
      <w:r w:rsidRPr="00BD77D8">
        <w:rPr>
          <w:rFonts w:eastAsia="Arial"/>
          <w:sz w:val="18"/>
          <w:szCs w:val="18"/>
          <w:lang w:eastAsia="en-US"/>
        </w:rPr>
        <w:t xml:space="preserve">The Cash balance is $26.754M higher than the budget of $24.251M principally reflecting cash held of $19.836M which represents the Appropriation payable to be returned to the Consolidated Fund. </w:t>
      </w:r>
    </w:p>
    <w:p w14:paraId="6A02EB03" w14:textId="77777777" w:rsidR="00B9311E" w:rsidRPr="00BD77D8" w:rsidRDefault="00B9311E" w:rsidP="006226A9">
      <w:pPr>
        <w:spacing w:line="180" w:lineRule="atLeast"/>
        <w:textAlignment w:val="baseline"/>
        <w:rPr>
          <w:rFonts w:eastAsia="Arial"/>
          <w:b/>
          <w:bCs/>
          <w:i/>
          <w:sz w:val="18"/>
          <w:szCs w:val="18"/>
          <w:lang w:eastAsia="en-US"/>
        </w:rPr>
      </w:pPr>
      <w:r w:rsidRPr="00BD77D8">
        <w:rPr>
          <w:rFonts w:eastAsia="Arial"/>
          <w:b/>
          <w:bCs/>
          <w:i/>
          <w:sz w:val="18"/>
          <w:szCs w:val="18"/>
          <w:lang w:eastAsia="en-US"/>
        </w:rPr>
        <w:t>Receivables</w:t>
      </w:r>
    </w:p>
    <w:p w14:paraId="22025088" w14:textId="77777777" w:rsidR="00B9311E" w:rsidRPr="00BD77D8" w:rsidRDefault="00B9311E" w:rsidP="006226A9">
      <w:pPr>
        <w:spacing w:line="180" w:lineRule="atLeast"/>
        <w:textAlignment w:val="baseline"/>
        <w:rPr>
          <w:rFonts w:eastAsia="Arial"/>
          <w:b/>
          <w:bCs/>
          <w:sz w:val="18"/>
          <w:szCs w:val="18"/>
          <w:lang w:eastAsia="en-US"/>
        </w:rPr>
      </w:pPr>
      <w:r w:rsidRPr="00BD77D8">
        <w:rPr>
          <w:rFonts w:eastAsia="Arial"/>
          <w:sz w:val="18"/>
          <w:szCs w:val="18"/>
          <w:lang w:eastAsia="en-US"/>
        </w:rPr>
        <w:t>Receivables are $2.966M higher than the budget of $4.544M principally reflecting a higher level of annual and long service leave claims receivable under the Queensland Government’s Annual Leave Central Scheme than forecast.</w:t>
      </w:r>
    </w:p>
    <w:p w14:paraId="791437DF" w14:textId="77777777" w:rsidR="00B9311E" w:rsidRPr="00BD77D8" w:rsidRDefault="00B9311E" w:rsidP="006226A9">
      <w:pPr>
        <w:spacing w:line="180" w:lineRule="atLeast"/>
        <w:textAlignment w:val="baseline"/>
        <w:rPr>
          <w:rFonts w:eastAsia="Arial"/>
          <w:b/>
          <w:bCs/>
          <w:i/>
          <w:sz w:val="18"/>
          <w:szCs w:val="18"/>
          <w:lang w:eastAsia="en-US"/>
        </w:rPr>
      </w:pPr>
      <w:r w:rsidRPr="00BD77D8">
        <w:rPr>
          <w:rFonts w:eastAsia="Arial"/>
          <w:b/>
          <w:bCs/>
          <w:i/>
          <w:sz w:val="18"/>
          <w:szCs w:val="18"/>
          <w:lang w:eastAsia="en-US"/>
        </w:rPr>
        <w:t>Property, Plant and Equipment</w:t>
      </w:r>
    </w:p>
    <w:p w14:paraId="65E956BE" w14:textId="77777777" w:rsidR="00B9311E" w:rsidRPr="00BD77D8" w:rsidRDefault="00B9311E" w:rsidP="006226A9">
      <w:pPr>
        <w:spacing w:line="180" w:lineRule="atLeast"/>
        <w:textAlignment w:val="baseline"/>
        <w:rPr>
          <w:rFonts w:eastAsia="Arial"/>
          <w:b/>
          <w:bCs/>
          <w:sz w:val="18"/>
          <w:szCs w:val="18"/>
          <w:lang w:eastAsia="en-US"/>
        </w:rPr>
      </w:pPr>
      <w:r w:rsidRPr="00BD77D8">
        <w:rPr>
          <w:rFonts w:eastAsia="Arial"/>
          <w:iCs/>
          <w:sz w:val="18"/>
          <w:szCs w:val="18"/>
          <w:lang w:eastAsia="en-US"/>
        </w:rPr>
        <w:t xml:space="preserve">Property, Plant </w:t>
      </w:r>
      <w:r w:rsidRPr="00BD77D8">
        <w:rPr>
          <w:rFonts w:eastAsia="Arial"/>
          <w:sz w:val="18"/>
          <w:szCs w:val="18"/>
          <w:lang w:eastAsia="en-US"/>
        </w:rPr>
        <w:t>and equipment is $21.385M higher than the budget of $183.788M reflecting asset revaluation increases as summarised in Note C4-1.</w:t>
      </w:r>
    </w:p>
    <w:p w14:paraId="102E8785" w14:textId="77777777" w:rsidR="00B9311E" w:rsidRPr="00BD77D8" w:rsidRDefault="00B9311E" w:rsidP="006226A9">
      <w:pPr>
        <w:spacing w:line="180" w:lineRule="atLeast"/>
        <w:textAlignment w:val="baseline"/>
        <w:rPr>
          <w:rFonts w:eastAsia="Arial"/>
          <w:b/>
          <w:bCs/>
          <w:i/>
          <w:iCs/>
          <w:sz w:val="18"/>
          <w:szCs w:val="18"/>
          <w:lang w:eastAsia="en-US"/>
        </w:rPr>
      </w:pPr>
      <w:r w:rsidRPr="00BD77D8">
        <w:rPr>
          <w:rFonts w:eastAsia="Arial"/>
          <w:b/>
          <w:bCs/>
          <w:i/>
          <w:iCs/>
          <w:sz w:val="18"/>
          <w:szCs w:val="18"/>
          <w:lang w:eastAsia="en-US"/>
        </w:rPr>
        <w:t>Payables</w:t>
      </w:r>
    </w:p>
    <w:p w14:paraId="134FEE3E" w14:textId="77777777" w:rsidR="00B9311E" w:rsidRPr="00BD77D8" w:rsidRDefault="00B9311E" w:rsidP="006226A9">
      <w:pPr>
        <w:spacing w:line="180" w:lineRule="atLeast"/>
        <w:textAlignment w:val="baseline"/>
        <w:rPr>
          <w:rFonts w:eastAsia="Arial"/>
          <w:b/>
          <w:bCs/>
          <w:sz w:val="18"/>
          <w:szCs w:val="18"/>
          <w:lang w:eastAsia="en-US"/>
        </w:rPr>
      </w:pPr>
      <w:r w:rsidRPr="00BD77D8">
        <w:rPr>
          <w:rFonts w:eastAsia="Arial"/>
          <w:iCs/>
          <w:sz w:val="18"/>
          <w:szCs w:val="18"/>
          <w:lang w:eastAsia="en-US"/>
        </w:rPr>
        <w:t>Payables are $22.092M higher than the budget of $4.390M principally reflecting the</w:t>
      </w:r>
      <w:r w:rsidRPr="00BD77D8">
        <w:rPr>
          <w:rFonts w:eastAsia="Arial"/>
          <w:sz w:val="18"/>
          <w:szCs w:val="18"/>
          <w:lang w:eastAsia="en-US"/>
        </w:rPr>
        <w:t xml:space="preserve"> $19.836M Appropriation payable to be returned to the Consolidated Fund.</w:t>
      </w:r>
    </w:p>
    <w:p w14:paraId="75D6C2EB" w14:textId="77777777" w:rsidR="00B9311E" w:rsidRPr="00BD77D8" w:rsidRDefault="00B9311E" w:rsidP="006226A9">
      <w:pPr>
        <w:spacing w:line="206" w:lineRule="exact"/>
        <w:rPr>
          <w:rFonts w:eastAsia="Arial"/>
          <w:b/>
          <w:bCs/>
          <w:sz w:val="20"/>
          <w:szCs w:val="20"/>
          <w:lang w:eastAsia="en-US"/>
        </w:rPr>
      </w:pPr>
      <w:r w:rsidRPr="00BD77D8">
        <w:rPr>
          <w:rFonts w:eastAsia="Arial"/>
          <w:b/>
          <w:bCs/>
          <w:sz w:val="20"/>
          <w:szCs w:val="20"/>
          <w:lang w:eastAsia="en-US"/>
        </w:rPr>
        <w:t>E1-3 Explanation of Major Variances – Statement of Cash Flows</w:t>
      </w:r>
    </w:p>
    <w:p w14:paraId="714ACCF2" w14:textId="77777777" w:rsidR="00B9311E" w:rsidRPr="00BD77D8" w:rsidRDefault="00B9311E" w:rsidP="006226A9">
      <w:pPr>
        <w:spacing w:line="240" w:lineRule="auto"/>
        <w:rPr>
          <w:rFonts w:eastAsia="PMingLiU"/>
          <w:b/>
          <w:bCs/>
          <w:i/>
          <w:iCs/>
          <w:sz w:val="18"/>
          <w:szCs w:val="18"/>
          <w:lang w:eastAsia="en-US"/>
        </w:rPr>
      </w:pPr>
      <w:r w:rsidRPr="00BD77D8">
        <w:rPr>
          <w:rFonts w:eastAsia="PMingLiU"/>
          <w:b/>
          <w:bCs/>
          <w:i/>
          <w:iCs/>
          <w:sz w:val="18"/>
          <w:szCs w:val="18"/>
          <w:lang w:eastAsia="en-US"/>
        </w:rPr>
        <w:t>Service appropriation receipts</w:t>
      </w:r>
    </w:p>
    <w:p w14:paraId="28ECF8AF" w14:textId="77777777" w:rsidR="00B9311E" w:rsidRPr="00BD77D8" w:rsidRDefault="00B9311E" w:rsidP="00B9311E">
      <w:pPr>
        <w:spacing w:after="0" w:line="180" w:lineRule="atLeast"/>
        <w:ind w:right="360"/>
        <w:textAlignment w:val="baseline"/>
        <w:rPr>
          <w:rFonts w:eastAsia="Arial"/>
          <w:sz w:val="18"/>
          <w:szCs w:val="18"/>
          <w:lang w:eastAsia="en-US"/>
        </w:rPr>
      </w:pPr>
      <w:r w:rsidRPr="00BD77D8">
        <w:rPr>
          <w:rFonts w:eastAsia="Arial"/>
          <w:sz w:val="18"/>
          <w:szCs w:val="18"/>
          <w:lang w:eastAsia="en-US"/>
        </w:rPr>
        <w:t xml:space="preserve">Appropriation receipts are $20.675M lower than budget of $295.216M principally reflecting a reduction of $9M in Appropriation revenue to offset user charges revenue retained to fund the costs associated with the processing of Disability Worker Screening applications for individuals seeking to be engaged in roles that require either a NDIS or state based worker screening clearance, and reflecting a range of timing adjustments for initiatives including splash parks in remote communities and the alcohol management program. </w:t>
      </w:r>
    </w:p>
    <w:p w14:paraId="5FA99150" w14:textId="2AC080A3" w:rsidR="00B9311E" w:rsidRPr="00BD77D8" w:rsidRDefault="00DD09A8" w:rsidP="0089639E">
      <w:pPr>
        <w:spacing w:before="3720" w:after="0" w:line="240" w:lineRule="auto"/>
        <w:rPr>
          <w:rFonts w:eastAsia="Arial"/>
          <w:sz w:val="18"/>
          <w:szCs w:val="18"/>
          <w:lang w:eastAsia="en-US"/>
        </w:rPr>
      </w:pP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t>Page 33 of 45</w:t>
      </w:r>
      <w:r w:rsidR="00B9311E" w:rsidRPr="00BD77D8">
        <w:rPr>
          <w:rFonts w:eastAsia="Arial"/>
          <w:sz w:val="18"/>
          <w:szCs w:val="18"/>
          <w:lang w:eastAsia="en-US"/>
        </w:rPr>
        <w:br w:type="page"/>
      </w:r>
    </w:p>
    <w:p w14:paraId="07388494" w14:textId="77777777" w:rsidR="00B9311E" w:rsidRPr="00BD77D8" w:rsidRDefault="00B9311E" w:rsidP="00B9311E">
      <w:pPr>
        <w:spacing w:after="0" w:line="240" w:lineRule="auto"/>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1E42E56E" w14:textId="77777777" w:rsidR="00B9311E" w:rsidRPr="00BD77D8" w:rsidRDefault="00B9311E" w:rsidP="007150A3">
      <w:pPr>
        <w:spacing w:after="0" w:line="240" w:lineRule="auto"/>
        <w:rPr>
          <w:rFonts w:eastAsia="Arial"/>
          <w:b/>
          <w:bCs/>
          <w:sz w:val="18"/>
          <w:szCs w:val="18"/>
          <w:lang w:eastAsia="en-US"/>
        </w:rPr>
      </w:pPr>
      <w:r w:rsidRPr="00BD77D8">
        <w:rPr>
          <w:rFonts w:eastAsia="Arial"/>
          <w:b/>
          <w:bCs/>
          <w:sz w:val="18"/>
          <w:szCs w:val="18"/>
          <w:lang w:eastAsia="en-US"/>
        </w:rPr>
        <w:t>Notes to the Financial Statements</w:t>
      </w:r>
    </w:p>
    <w:p w14:paraId="07686144"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4A6818F0" w14:textId="77777777" w:rsidR="00B9311E" w:rsidRPr="00BD77D8" w:rsidRDefault="00B9311E" w:rsidP="00B9311E">
      <w:pPr>
        <w:pBdr>
          <w:bottom w:val="single" w:sz="4" w:space="1" w:color="auto"/>
        </w:pBdr>
        <w:spacing w:after="0" w:line="206" w:lineRule="exact"/>
        <w:textAlignment w:val="baseline"/>
        <w:rPr>
          <w:rFonts w:eastAsia="Arial"/>
          <w:b/>
          <w:sz w:val="18"/>
          <w:szCs w:val="18"/>
          <w:lang w:eastAsia="en-US"/>
        </w:rPr>
      </w:pPr>
    </w:p>
    <w:p w14:paraId="67261004" w14:textId="77777777" w:rsidR="00B9311E" w:rsidRPr="00BD77D8" w:rsidRDefault="00B9311E" w:rsidP="00E47A6E">
      <w:pPr>
        <w:spacing w:before="240" w:line="180" w:lineRule="atLeast"/>
        <w:textAlignment w:val="baseline"/>
        <w:rPr>
          <w:rFonts w:eastAsia="Arial"/>
          <w:b/>
          <w:bCs/>
          <w:iCs/>
          <w:sz w:val="22"/>
          <w:szCs w:val="22"/>
          <w:lang w:eastAsia="en-US"/>
        </w:rPr>
      </w:pPr>
      <w:r w:rsidRPr="00BD77D8">
        <w:rPr>
          <w:rFonts w:eastAsia="Arial"/>
          <w:b/>
          <w:bCs/>
          <w:iCs/>
          <w:sz w:val="22"/>
          <w:szCs w:val="22"/>
          <w:lang w:eastAsia="en-US"/>
        </w:rPr>
        <w:t>E1 Budgetary Reporting Disclosures (continued)</w:t>
      </w:r>
    </w:p>
    <w:p w14:paraId="78545CA9" w14:textId="77777777" w:rsidR="00B9311E" w:rsidRPr="00BD77D8" w:rsidRDefault="00B9311E" w:rsidP="00E47A6E">
      <w:pPr>
        <w:spacing w:line="206" w:lineRule="exact"/>
        <w:rPr>
          <w:rFonts w:eastAsia="Arial"/>
          <w:b/>
          <w:bCs/>
          <w:sz w:val="20"/>
          <w:szCs w:val="20"/>
          <w:lang w:eastAsia="en-US"/>
        </w:rPr>
      </w:pPr>
      <w:r w:rsidRPr="00BD77D8">
        <w:rPr>
          <w:rFonts w:eastAsia="Arial"/>
          <w:b/>
          <w:bCs/>
          <w:sz w:val="20"/>
          <w:szCs w:val="20"/>
          <w:lang w:eastAsia="en-US"/>
        </w:rPr>
        <w:t>E1-3 Explanation of Major Variances – Statement of Cash Flows (continued)</w:t>
      </w:r>
    </w:p>
    <w:p w14:paraId="0CEF14C0" w14:textId="77777777" w:rsidR="00B9311E" w:rsidRPr="00BD77D8" w:rsidRDefault="00B9311E" w:rsidP="00E47A6E">
      <w:pPr>
        <w:spacing w:line="240" w:lineRule="auto"/>
        <w:rPr>
          <w:rFonts w:eastAsia="PMingLiU"/>
          <w:b/>
          <w:bCs/>
          <w:i/>
          <w:iCs/>
          <w:sz w:val="18"/>
          <w:szCs w:val="18"/>
          <w:lang w:eastAsia="en-US"/>
        </w:rPr>
      </w:pPr>
      <w:r w:rsidRPr="00BD77D8">
        <w:rPr>
          <w:rFonts w:eastAsia="PMingLiU"/>
          <w:b/>
          <w:bCs/>
          <w:i/>
          <w:iCs/>
          <w:sz w:val="18"/>
          <w:szCs w:val="18"/>
          <w:lang w:eastAsia="en-US"/>
        </w:rPr>
        <w:t>User charges and fees</w:t>
      </w:r>
    </w:p>
    <w:p w14:paraId="3899B498" w14:textId="77777777" w:rsidR="00B9311E" w:rsidRPr="00BD77D8" w:rsidRDefault="00B9311E" w:rsidP="00E47A6E">
      <w:pPr>
        <w:spacing w:line="180" w:lineRule="atLeast"/>
        <w:ind w:right="72"/>
        <w:textAlignment w:val="baseline"/>
        <w:rPr>
          <w:rFonts w:eastAsia="Arial"/>
          <w:b/>
          <w:bCs/>
          <w:iCs/>
          <w:sz w:val="18"/>
          <w:szCs w:val="18"/>
          <w:lang w:eastAsia="en-US"/>
        </w:rPr>
      </w:pPr>
      <w:r w:rsidRPr="00BD77D8">
        <w:rPr>
          <w:rFonts w:eastAsia="Arial"/>
          <w:sz w:val="18"/>
          <w:szCs w:val="18"/>
          <w:lang w:eastAsia="en-US"/>
        </w:rPr>
        <w:t>User charges and fees are $8.800M higher than budget of $1.149M reflecting the retention of revenues to offset costs associated with the processing of Disability Worker Screening applications. The revenue was originally budgeted as Appropriation receipts.</w:t>
      </w:r>
    </w:p>
    <w:p w14:paraId="76175206" w14:textId="77777777" w:rsidR="00B9311E" w:rsidRPr="00BD77D8" w:rsidRDefault="00B9311E" w:rsidP="00E47A6E">
      <w:pPr>
        <w:spacing w:line="240" w:lineRule="auto"/>
        <w:rPr>
          <w:rFonts w:eastAsia="PMingLiU"/>
          <w:b/>
          <w:bCs/>
          <w:i/>
          <w:iCs/>
          <w:sz w:val="18"/>
          <w:szCs w:val="18"/>
          <w:lang w:eastAsia="en-US"/>
        </w:rPr>
      </w:pPr>
      <w:r w:rsidRPr="00BD77D8">
        <w:rPr>
          <w:rFonts w:eastAsia="PMingLiU"/>
          <w:b/>
          <w:bCs/>
          <w:i/>
          <w:iCs/>
          <w:sz w:val="18"/>
          <w:szCs w:val="18"/>
          <w:lang w:eastAsia="en-US"/>
        </w:rPr>
        <w:t>Grants and other contributions</w:t>
      </w:r>
    </w:p>
    <w:p w14:paraId="1E5063E7" w14:textId="77777777" w:rsidR="00B9311E" w:rsidRPr="00BD77D8" w:rsidRDefault="00B9311E" w:rsidP="00E47A6E">
      <w:pPr>
        <w:spacing w:line="180" w:lineRule="atLeast"/>
        <w:textAlignment w:val="baseline"/>
        <w:rPr>
          <w:rFonts w:eastAsia="Arial"/>
          <w:b/>
          <w:bCs/>
          <w:iCs/>
          <w:sz w:val="18"/>
          <w:szCs w:val="18"/>
          <w:lang w:eastAsia="en-US"/>
        </w:rPr>
      </w:pPr>
      <w:r w:rsidRPr="00BD77D8">
        <w:rPr>
          <w:rFonts w:eastAsia="Arial"/>
          <w:iCs/>
          <w:sz w:val="18"/>
          <w:szCs w:val="18"/>
          <w:lang w:eastAsia="en-US"/>
        </w:rPr>
        <w:t xml:space="preserve">Grants and other contributions for 2021-22 includes revenue for the delivery of a range of disability support services for older Australians funded by the Commonwealth government. Revenue is $1.151M below the budget of $12.048M principally due to the number of clients supported by the department is declining as they exit the department’s care. </w:t>
      </w:r>
    </w:p>
    <w:p w14:paraId="04871C5E" w14:textId="77777777" w:rsidR="00B9311E" w:rsidRPr="00BD77D8" w:rsidRDefault="00B9311E" w:rsidP="00E47A6E">
      <w:pPr>
        <w:spacing w:line="240" w:lineRule="auto"/>
        <w:rPr>
          <w:rFonts w:eastAsia="PMingLiU"/>
          <w:b/>
          <w:bCs/>
          <w:i/>
          <w:iCs/>
          <w:sz w:val="18"/>
          <w:szCs w:val="18"/>
          <w:lang w:eastAsia="en-US"/>
        </w:rPr>
      </w:pPr>
      <w:r w:rsidRPr="00BD77D8">
        <w:rPr>
          <w:rFonts w:eastAsia="PMingLiU"/>
          <w:b/>
          <w:bCs/>
          <w:i/>
          <w:iCs/>
          <w:sz w:val="18"/>
          <w:szCs w:val="18"/>
          <w:lang w:eastAsia="en-US"/>
        </w:rPr>
        <w:t>GST Input tax credits received from ATO</w:t>
      </w:r>
    </w:p>
    <w:p w14:paraId="1F658D93" w14:textId="77777777" w:rsidR="00B9311E" w:rsidRPr="00BD77D8" w:rsidRDefault="00B9311E" w:rsidP="00E47A6E">
      <w:pPr>
        <w:spacing w:line="240" w:lineRule="auto"/>
        <w:rPr>
          <w:rFonts w:eastAsia="PMingLiU"/>
          <w:b/>
          <w:bCs/>
          <w:sz w:val="18"/>
          <w:szCs w:val="18"/>
          <w:lang w:eastAsia="en-US"/>
        </w:rPr>
      </w:pPr>
      <w:r w:rsidRPr="00BD77D8">
        <w:rPr>
          <w:rFonts w:eastAsia="PMingLiU"/>
          <w:sz w:val="18"/>
          <w:szCs w:val="18"/>
          <w:lang w:eastAsia="en-US"/>
        </w:rPr>
        <w:t>GST input tax credits are lower than budget due to service procurement expenditure reducing because of the introduction of the NDIS.  Disability services non-government organisations now receive funding directly from the NDIS.</w:t>
      </w:r>
    </w:p>
    <w:p w14:paraId="74E02681" w14:textId="77777777" w:rsidR="00B9311E" w:rsidRPr="00BD77D8" w:rsidRDefault="00B9311E" w:rsidP="00E47A6E">
      <w:pPr>
        <w:spacing w:line="240" w:lineRule="auto"/>
        <w:rPr>
          <w:rFonts w:eastAsia="PMingLiU"/>
          <w:b/>
          <w:bCs/>
          <w:i/>
          <w:iCs/>
          <w:sz w:val="18"/>
          <w:szCs w:val="18"/>
          <w:lang w:eastAsia="en-US"/>
        </w:rPr>
      </w:pPr>
      <w:r w:rsidRPr="00BD77D8">
        <w:rPr>
          <w:rFonts w:eastAsia="PMingLiU"/>
          <w:b/>
          <w:bCs/>
          <w:i/>
          <w:iCs/>
          <w:sz w:val="18"/>
          <w:szCs w:val="18"/>
          <w:lang w:eastAsia="en-US"/>
        </w:rPr>
        <w:t>Other inflows</w:t>
      </w:r>
    </w:p>
    <w:p w14:paraId="5D8648C4" w14:textId="77777777" w:rsidR="00B9311E" w:rsidRPr="00BD77D8" w:rsidRDefault="00B9311E" w:rsidP="00E47A6E">
      <w:pPr>
        <w:spacing w:line="180" w:lineRule="atLeast"/>
        <w:textAlignment w:val="baseline"/>
        <w:rPr>
          <w:rFonts w:eastAsia="Arial"/>
          <w:b/>
          <w:bCs/>
          <w:iCs/>
          <w:sz w:val="18"/>
          <w:szCs w:val="18"/>
          <w:lang w:eastAsia="en-US"/>
        </w:rPr>
      </w:pPr>
      <w:r w:rsidRPr="00BD77D8">
        <w:rPr>
          <w:rFonts w:eastAsia="Arial"/>
          <w:iCs/>
          <w:sz w:val="18"/>
          <w:szCs w:val="18"/>
          <w:lang w:eastAsia="en-US"/>
        </w:rPr>
        <w:t>Other cash inflows are $3.037M higher than the budget of $0.827M principally reflecting the return of grant funds unspent from prior years and general expenditure recoveries which are not budgeted for due to the variable nature of these events.</w:t>
      </w:r>
    </w:p>
    <w:p w14:paraId="07DC0FE3" w14:textId="77777777" w:rsidR="00B9311E" w:rsidRPr="00BD77D8" w:rsidRDefault="00B9311E" w:rsidP="00E47A6E">
      <w:pPr>
        <w:spacing w:line="240" w:lineRule="auto"/>
        <w:rPr>
          <w:rFonts w:eastAsia="PMingLiU"/>
          <w:b/>
          <w:bCs/>
          <w:i/>
          <w:iCs/>
          <w:sz w:val="18"/>
          <w:szCs w:val="18"/>
          <w:lang w:eastAsia="en-US"/>
        </w:rPr>
      </w:pPr>
      <w:r w:rsidRPr="00BD77D8">
        <w:rPr>
          <w:rFonts w:eastAsia="PMingLiU"/>
          <w:b/>
          <w:bCs/>
          <w:i/>
          <w:iCs/>
          <w:sz w:val="18"/>
          <w:szCs w:val="18"/>
          <w:lang w:eastAsia="en-US"/>
        </w:rPr>
        <w:t>Employee expenses</w:t>
      </w:r>
    </w:p>
    <w:p w14:paraId="3E425051" w14:textId="77777777" w:rsidR="00B9311E" w:rsidRPr="00BD77D8" w:rsidRDefault="00B9311E" w:rsidP="00E47A6E">
      <w:pPr>
        <w:spacing w:line="180" w:lineRule="atLeast"/>
        <w:textAlignment w:val="baseline"/>
        <w:rPr>
          <w:rFonts w:eastAsia="Arial"/>
          <w:iCs/>
          <w:sz w:val="18"/>
          <w:szCs w:val="18"/>
          <w:lang w:eastAsia="en-US"/>
        </w:rPr>
      </w:pPr>
      <w:r w:rsidRPr="00BD77D8">
        <w:rPr>
          <w:rFonts w:eastAsia="Arial"/>
          <w:iCs/>
          <w:sz w:val="18"/>
          <w:szCs w:val="18"/>
          <w:lang w:eastAsia="en-US"/>
        </w:rPr>
        <w:t>Employee expenses are $10.821M higher than the budget of $203.793M principally reflecting Enterprise Bargaining increases which were approved post the publication of the 2021-22 Budget, and the provision of disability support services by employees for older Australians which was originally budgeted for as service procurement.</w:t>
      </w:r>
    </w:p>
    <w:p w14:paraId="31358BBA" w14:textId="77777777" w:rsidR="00B9311E" w:rsidRPr="00BD77D8" w:rsidRDefault="00B9311E" w:rsidP="00E47A6E">
      <w:pPr>
        <w:spacing w:line="240" w:lineRule="auto"/>
        <w:rPr>
          <w:rFonts w:eastAsia="PMingLiU"/>
          <w:b/>
          <w:bCs/>
          <w:i/>
          <w:iCs/>
          <w:sz w:val="18"/>
          <w:szCs w:val="18"/>
          <w:lang w:eastAsia="en-US"/>
        </w:rPr>
      </w:pPr>
      <w:r w:rsidRPr="00BD77D8">
        <w:rPr>
          <w:rFonts w:eastAsia="PMingLiU"/>
          <w:b/>
          <w:bCs/>
          <w:i/>
          <w:iCs/>
          <w:sz w:val="18"/>
          <w:szCs w:val="18"/>
          <w:lang w:eastAsia="en-US"/>
        </w:rPr>
        <w:t>Supplies and services</w:t>
      </w:r>
    </w:p>
    <w:p w14:paraId="63F88676" w14:textId="77777777" w:rsidR="00B9311E" w:rsidRPr="00BD77D8" w:rsidRDefault="00B9311E" w:rsidP="00E47A6E">
      <w:pPr>
        <w:spacing w:line="180" w:lineRule="atLeast"/>
        <w:textAlignment w:val="baseline"/>
        <w:rPr>
          <w:rFonts w:eastAsia="Arial"/>
          <w:i/>
          <w:sz w:val="18"/>
          <w:szCs w:val="18"/>
          <w:lang w:eastAsia="en-US"/>
        </w:rPr>
      </w:pPr>
      <w:r w:rsidRPr="00BD77D8">
        <w:rPr>
          <w:rFonts w:eastAsia="Arial"/>
          <w:iCs/>
          <w:sz w:val="18"/>
          <w:szCs w:val="18"/>
          <w:lang w:eastAsia="en-US"/>
        </w:rPr>
        <w:t xml:space="preserve">Supplies and services expenses were $19.490M lower than the budget of $90.385M. The original budget included estimated service procurement expenses of $10M for the delivery of disability support services for older Australians that were ultimately delivered by employees. Actual expenses are also lower reflecting </w:t>
      </w:r>
      <w:r w:rsidRPr="00BD77D8">
        <w:rPr>
          <w:rFonts w:eastAsia="Arial"/>
          <w:sz w:val="18"/>
          <w:szCs w:val="18"/>
          <w:lang w:eastAsia="en-US"/>
        </w:rPr>
        <w:t xml:space="preserve">a range of timing adjustments for initiatives </w:t>
      </w:r>
      <w:r w:rsidRPr="00BD77D8">
        <w:rPr>
          <w:rFonts w:eastAsia="Arial"/>
          <w:iCs/>
          <w:sz w:val="18"/>
          <w:szCs w:val="18"/>
          <w:lang w:eastAsia="en-US"/>
        </w:rPr>
        <w:t>including land planning programs, with the ability to engage fully with local community and stakeholders impacted due to the ongoing effects of the COVID-19 pandemic. The reclassification of several programs from supplies and services to grants and subsidies in accordance with accounting policy also reduced actual expenses in this category.</w:t>
      </w:r>
    </w:p>
    <w:p w14:paraId="7386AC81" w14:textId="77777777" w:rsidR="00B9311E" w:rsidRPr="00BD77D8" w:rsidRDefault="00B9311E" w:rsidP="00E47A6E">
      <w:pPr>
        <w:spacing w:line="240" w:lineRule="auto"/>
        <w:rPr>
          <w:rFonts w:eastAsia="PMingLiU"/>
          <w:b/>
          <w:bCs/>
          <w:i/>
          <w:iCs/>
          <w:sz w:val="18"/>
          <w:szCs w:val="18"/>
          <w:lang w:eastAsia="en-US"/>
        </w:rPr>
      </w:pPr>
      <w:r w:rsidRPr="00BD77D8">
        <w:rPr>
          <w:rFonts w:eastAsia="PMingLiU"/>
          <w:b/>
          <w:bCs/>
          <w:i/>
          <w:iCs/>
          <w:sz w:val="18"/>
          <w:szCs w:val="18"/>
          <w:lang w:eastAsia="en-US"/>
        </w:rPr>
        <w:t>Grants and subsidies</w:t>
      </w:r>
    </w:p>
    <w:p w14:paraId="380E4BF5" w14:textId="77777777" w:rsidR="00B9311E" w:rsidRPr="00BD77D8" w:rsidRDefault="00B9311E" w:rsidP="00E47A6E">
      <w:pPr>
        <w:spacing w:line="180" w:lineRule="atLeast"/>
        <w:textAlignment w:val="baseline"/>
        <w:rPr>
          <w:rFonts w:eastAsia="Arial"/>
          <w:i/>
          <w:sz w:val="18"/>
          <w:szCs w:val="18"/>
          <w:lang w:eastAsia="en-US"/>
        </w:rPr>
      </w:pPr>
      <w:r w:rsidRPr="00BD77D8">
        <w:rPr>
          <w:rFonts w:eastAsia="Arial"/>
          <w:iCs/>
          <w:sz w:val="18"/>
          <w:szCs w:val="18"/>
          <w:lang w:eastAsia="en-US"/>
        </w:rPr>
        <w:t>Grants and subsidies expenses were $6.450M higher than the budget of $9.112M reflecting initiatives rescheduled from 2020-21. The associated funding was deferred from 2020-21, post the publication of the 2021-22 Budget. These programs were rescheduled because of the COVID-19 pandemic where the ability to engage fully with local communities and operationalise initiatives was affected. Expenses were also higher reflecting the reclassification of several programs from supplies and services to grants and subsidies in accordance with accounting policy.</w:t>
      </w:r>
    </w:p>
    <w:p w14:paraId="5D518133" w14:textId="77777777" w:rsidR="00B9311E" w:rsidRPr="00BD77D8" w:rsidRDefault="00B9311E" w:rsidP="00E47A6E">
      <w:pPr>
        <w:spacing w:line="240" w:lineRule="auto"/>
        <w:rPr>
          <w:rFonts w:eastAsia="PMingLiU"/>
          <w:b/>
          <w:bCs/>
          <w:i/>
          <w:iCs/>
          <w:sz w:val="18"/>
          <w:szCs w:val="18"/>
          <w:lang w:eastAsia="en-US"/>
        </w:rPr>
      </w:pPr>
      <w:r w:rsidRPr="00BD77D8">
        <w:rPr>
          <w:rFonts w:eastAsia="PMingLiU"/>
          <w:b/>
          <w:bCs/>
          <w:i/>
          <w:iCs/>
          <w:sz w:val="18"/>
          <w:szCs w:val="18"/>
          <w:lang w:eastAsia="en-US"/>
        </w:rPr>
        <w:t>GST paid to suppliers</w:t>
      </w:r>
    </w:p>
    <w:p w14:paraId="2EA6BDDD" w14:textId="77777777" w:rsidR="00B9311E" w:rsidRPr="00BD77D8" w:rsidRDefault="00B9311E" w:rsidP="00E47A6E">
      <w:pPr>
        <w:spacing w:line="240" w:lineRule="auto"/>
        <w:rPr>
          <w:rFonts w:eastAsia="PMingLiU"/>
          <w:b/>
          <w:bCs/>
          <w:sz w:val="18"/>
          <w:szCs w:val="18"/>
          <w:lang w:eastAsia="en-US"/>
        </w:rPr>
      </w:pPr>
      <w:r w:rsidRPr="00BD77D8">
        <w:rPr>
          <w:rFonts w:eastAsia="PMingLiU"/>
          <w:sz w:val="18"/>
          <w:szCs w:val="18"/>
          <w:lang w:eastAsia="en-US"/>
        </w:rPr>
        <w:t>GST paid to suppliers is lower than budget due service procurement expenditure reducing because of the introduction of the NDIS.  Disability services non-government organisations now receive funding directly from the NDIS.</w:t>
      </w:r>
    </w:p>
    <w:p w14:paraId="06C0EB93" w14:textId="77777777" w:rsidR="00B9311E" w:rsidRPr="00BD77D8" w:rsidRDefault="00B9311E" w:rsidP="00E47A6E">
      <w:pPr>
        <w:spacing w:line="240" w:lineRule="auto"/>
        <w:rPr>
          <w:rFonts w:eastAsia="PMingLiU"/>
          <w:b/>
          <w:bCs/>
          <w:i/>
          <w:iCs/>
          <w:sz w:val="18"/>
          <w:szCs w:val="18"/>
          <w:lang w:eastAsia="en-US"/>
        </w:rPr>
      </w:pPr>
      <w:r w:rsidRPr="00BD77D8">
        <w:rPr>
          <w:rFonts w:eastAsia="PMingLiU"/>
          <w:b/>
          <w:bCs/>
          <w:i/>
          <w:iCs/>
          <w:sz w:val="18"/>
          <w:szCs w:val="18"/>
          <w:lang w:eastAsia="en-US"/>
        </w:rPr>
        <w:t>Payments for property, plant and equipment</w:t>
      </w:r>
    </w:p>
    <w:p w14:paraId="2DE403F9" w14:textId="77777777" w:rsidR="00B9311E" w:rsidRPr="00BD77D8" w:rsidRDefault="00B9311E" w:rsidP="00E47A6E">
      <w:pPr>
        <w:spacing w:line="240" w:lineRule="auto"/>
        <w:rPr>
          <w:rFonts w:eastAsia="PMingLiU"/>
          <w:b/>
          <w:bCs/>
          <w:sz w:val="18"/>
          <w:szCs w:val="18"/>
          <w:lang w:eastAsia="en-US"/>
        </w:rPr>
      </w:pPr>
      <w:r w:rsidRPr="00BD77D8">
        <w:rPr>
          <w:rFonts w:eastAsia="PMingLiU"/>
          <w:sz w:val="18"/>
          <w:szCs w:val="18"/>
          <w:lang w:eastAsia="en-US"/>
        </w:rPr>
        <w:t>Payments for property, plant and equipment are $5.356M below the budget of $7.572M principally reflecting the rescheduling of expenditure as complex land and environmental planning requirements were required to be met before works could commence at the Wacol disability services precinct, and the project further affected by inclement weather conditions which delayed construction.</w:t>
      </w:r>
    </w:p>
    <w:p w14:paraId="07890C48" w14:textId="77777777" w:rsidR="00B9311E" w:rsidRPr="00BD77D8" w:rsidRDefault="00B9311E" w:rsidP="00B9311E">
      <w:pPr>
        <w:spacing w:after="0" w:line="240" w:lineRule="auto"/>
        <w:rPr>
          <w:rFonts w:eastAsia="PMingLiU"/>
          <w:b/>
          <w:bCs/>
          <w:i/>
          <w:iCs/>
          <w:sz w:val="18"/>
          <w:szCs w:val="18"/>
          <w:lang w:eastAsia="en-US"/>
        </w:rPr>
      </w:pPr>
      <w:r w:rsidRPr="00BD77D8">
        <w:rPr>
          <w:rFonts w:eastAsia="PMingLiU"/>
          <w:b/>
          <w:bCs/>
          <w:i/>
          <w:iCs/>
          <w:sz w:val="18"/>
          <w:szCs w:val="18"/>
          <w:lang w:eastAsia="en-US"/>
        </w:rPr>
        <w:t>Equity Injection</w:t>
      </w:r>
    </w:p>
    <w:p w14:paraId="7947E953" w14:textId="77777777" w:rsidR="00B9311E" w:rsidRPr="00BD77D8" w:rsidRDefault="00B9311E" w:rsidP="00B9311E">
      <w:pPr>
        <w:spacing w:after="0" w:line="240" w:lineRule="auto"/>
        <w:rPr>
          <w:rFonts w:eastAsia="PMingLiU"/>
          <w:sz w:val="18"/>
          <w:szCs w:val="18"/>
          <w:lang w:eastAsia="en-US"/>
        </w:rPr>
        <w:sectPr w:rsidR="00B9311E" w:rsidRPr="00BD77D8" w:rsidSect="00DD09A8">
          <w:type w:val="nextColumn"/>
          <w:pgSz w:w="11909" w:h="16838"/>
          <w:pgMar w:top="568" w:right="794" w:bottom="794" w:left="794" w:header="720" w:footer="720" w:gutter="0"/>
          <w:cols w:space="720"/>
        </w:sectPr>
      </w:pPr>
      <w:r w:rsidRPr="00BD77D8">
        <w:rPr>
          <w:rFonts w:eastAsia="PMingLiU"/>
          <w:sz w:val="18"/>
          <w:szCs w:val="18"/>
          <w:lang w:eastAsia="en-US"/>
        </w:rPr>
        <w:t>Equity injections are $4.426M below the budget of $6.670M principally reflecting the rescheduling of expenditure as complex land and environmental planning requirements were required to be met before works could commence at the Wacol disability services precinct, and the project further affected by inclement weather conditions which delayed construction.</w:t>
      </w:r>
    </w:p>
    <w:p w14:paraId="56CF1893"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61EEB051"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1CEF095E"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19470AE1" w14:textId="77777777" w:rsidR="00B9311E" w:rsidRPr="00BD77D8" w:rsidRDefault="00B9311E" w:rsidP="00B9311E">
      <w:pPr>
        <w:pBdr>
          <w:bottom w:val="single" w:sz="4" w:space="1" w:color="auto"/>
        </w:pBdr>
        <w:spacing w:after="0" w:line="206" w:lineRule="exact"/>
        <w:textAlignment w:val="baseline"/>
        <w:rPr>
          <w:rFonts w:eastAsia="Arial"/>
          <w:b/>
          <w:sz w:val="18"/>
          <w:szCs w:val="18"/>
          <w:lang w:eastAsia="en-US"/>
        </w:rPr>
      </w:pPr>
    </w:p>
    <w:p w14:paraId="40F5DA96" w14:textId="0698AFD8" w:rsidR="00B9311E" w:rsidRPr="00BD77D8" w:rsidRDefault="00B9311E" w:rsidP="00727CAE">
      <w:pPr>
        <w:spacing w:before="200"/>
        <w:rPr>
          <w:rFonts w:eastAsia="Arial"/>
          <w:bCs/>
          <w:sz w:val="18"/>
          <w:szCs w:val="18"/>
          <w:lang w:eastAsia="en-US"/>
        </w:rPr>
      </w:pPr>
      <w:bookmarkStart w:id="244" w:name="_Toc111494821"/>
      <w:bookmarkStart w:id="245" w:name="_Toc111540693"/>
      <w:bookmarkStart w:id="246" w:name="_Toc111559257"/>
      <w:bookmarkStart w:id="247" w:name="_Toc113196529"/>
      <w:bookmarkStart w:id="248" w:name="_Toc113196877"/>
      <w:bookmarkStart w:id="249" w:name="_Toc113262007"/>
      <w:bookmarkStart w:id="250" w:name="_Toc113349161"/>
      <w:bookmarkStart w:id="251" w:name="_Toc113358086"/>
      <w:r w:rsidRPr="00BD77D8">
        <w:rPr>
          <w:rFonts w:eastAsia="Arial"/>
          <w:b/>
          <w:bCs/>
          <w:sz w:val="22"/>
          <w:szCs w:val="22"/>
          <w:lang w:eastAsia="en-US"/>
        </w:rPr>
        <w:t>Other Key Information</w:t>
      </w:r>
      <w:bookmarkEnd w:id="244"/>
      <w:bookmarkEnd w:id="245"/>
      <w:bookmarkEnd w:id="246"/>
      <w:bookmarkEnd w:id="247"/>
      <w:bookmarkEnd w:id="248"/>
      <w:bookmarkEnd w:id="249"/>
      <w:bookmarkEnd w:id="250"/>
      <w:bookmarkEnd w:id="251"/>
    </w:p>
    <w:p w14:paraId="32CF8EE0" w14:textId="77777777" w:rsidR="00B9311E" w:rsidRPr="00BD77D8" w:rsidRDefault="00B9311E" w:rsidP="009D387F">
      <w:pPr>
        <w:rPr>
          <w:rFonts w:eastAsia="Arial"/>
          <w:b/>
          <w:bCs/>
          <w:sz w:val="22"/>
          <w:szCs w:val="22"/>
          <w:lang w:eastAsia="en-US"/>
        </w:rPr>
      </w:pPr>
      <w:bookmarkStart w:id="252" w:name="_Toc111494822"/>
      <w:bookmarkStart w:id="253" w:name="_Toc111540694"/>
      <w:bookmarkStart w:id="254" w:name="_Toc111559258"/>
      <w:bookmarkStart w:id="255" w:name="_Toc113196530"/>
      <w:bookmarkStart w:id="256" w:name="_Toc113196878"/>
      <w:bookmarkStart w:id="257" w:name="_Toc113262008"/>
      <w:bookmarkStart w:id="258" w:name="_Toc113349162"/>
      <w:bookmarkStart w:id="259" w:name="_Toc113358087"/>
      <w:r w:rsidRPr="00BD77D8">
        <w:rPr>
          <w:rFonts w:eastAsia="Arial"/>
          <w:b/>
          <w:bCs/>
          <w:sz w:val="22"/>
          <w:szCs w:val="22"/>
          <w:lang w:eastAsia="en-US"/>
        </w:rPr>
        <w:t xml:space="preserve">F1 </w:t>
      </w:r>
      <w:bookmarkStart w:id="260" w:name="_Hlk104295601"/>
      <w:r w:rsidRPr="00BD77D8">
        <w:rPr>
          <w:rFonts w:eastAsia="Arial"/>
          <w:b/>
          <w:bCs/>
          <w:sz w:val="22"/>
          <w:szCs w:val="22"/>
          <w:lang w:eastAsia="en-US"/>
        </w:rPr>
        <w:t>Key Management Personnel Disclosures</w:t>
      </w:r>
      <w:bookmarkEnd w:id="252"/>
      <w:bookmarkEnd w:id="253"/>
      <w:bookmarkEnd w:id="254"/>
      <w:bookmarkEnd w:id="255"/>
      <w:bookmarkEnd w:id="256"/>
      <w:bookmarkEnd w:id="257"/>
      <w:bookmarkEnd w:id="258"/>
      <w:bookmarkEnd w:id="259"/>
    </w:p>
    <w:bookmarkEnd w:id="260"/>
    <w:p w14:paraId="6EB7EE25" w14:textId="77777777" w:rsidR="00B9311E" w:rsidRPr="00BD77D8" w:rsidRDefault="00B9311E" w:rsidP="00727CAE">
      <w:pPr>
        <w:spacing w:line="200" w:lineRule="atLeast"/>
        <w:textAlignment w:val="baseline"/>
        <w:rPr>
          <w:rFonts w:eastAsia="Arial"/>
          <w:b/>
          <w:bCs/>
          <w:spacing w:val="1"/>
          <w:sz w:val="18"/>
          <w:szCs w:val="18"/>
          <w:lang w:eastAsia="en-US"/>
        </w:rPr>
      </w:pPr>
      <w:r w:rsidRPr="00BD77D8">
        <w:rPr>
          <w:rFonts w:eastAsia="Arial"/>
          <w:b/>
          <w:bCs/>
          <w:spacing w:val="1"/>
          <w:sz w:val="18"/>
          <w:szCs w:val="18"/>
          <w:lang w:eastAsia="en-US"/>
        </w:rPr>
        <w:t>F1-1 Details of Key Management Personnel and Remuneration Expense</w:t>
      </w:r>
    </w:p>
    <w:p w14:paraId="7B8D154E" w14:textId="77777777" w:rsidR="00B9311E" w:rsidRPr="00BD77D8" w:rsidRDefault="00B9311E" w:rsidP="00727CAE">
      <w:pPr>
        <w:spacing w:line="200" w:lineRule="atLeast"/>
        <w:ind w:right="144"/>
        <w:textAlignment w:val="baseline"/>
        <w:rPr>
          <w:rFonts w:eastAsia="Arial"/>
          <w:b/>
          <w:bCs/>
          <w:sz w:val="18"/>
          <w:szCs w:val="18"/>
          <w:lang w:eastAsia="en-US"/>
        </w:rPr>
      </w:pPr>
      <w:r w:rsidRPr="00BD77D8">
        <w:rPr>
          <w:rFonts w:eastAsia="Arial"/>
          <w:sz w:val="18"/>
          <w:szCs w:val="18"/>
          <w:lang w:eastAsia="en-US"/>
        </w:rPr>
        <w:t xml:space="preserve">The department’s responsible Minister is identified as part of the department's Key Management Personnel (KMP), consistent with additional guidance included in AASB 124 </w:t>
      </w:r>
      <w:r w:rsidRPr="00BD77D8">
        <w:rPr>
          <w:rFonts w:eastAsia="Arial"/>
          <w:i/>
          <w:sz w:val="18"/>
          <w:szCs w:val="18"/>
          <w:lang w:eastAsia="en-US"/>
        </w:rPr>
        <w:t>Related Party Disclosures</w:t>
      </w:r>
      <w:r w:rsidRPr="00BD77D8">
        <w:rPr>
          <w:rFonts w:eastAsia="Arial"/>
          <w:sz w:val="18"/>
          <w:szCs w:val="18"/>
          <w:lang w:eastAsia="en-US"/>
        </w:rPr>
        <w:t>. The department operated under the Honourable Craig Crawford MP, Minister for Seniors and Disability Services and Minister for Aboriginal and Torres Strait Islander Partnerships from 1 July 2021 to 30 June 2022. The following details for non-ministerial KMP reflect those departmental positions that had authority and responsibility for planning, directing and controlling the activities of the department during 2021-22 and 2020-21. Further information about these positions can be found in the body of the Annual Report under the section relating to Executive Management.</w:t>
      </w:r>
    </w:p>
    <w:p w14:paraId="712F9C15" w14:textId="77777777" w:rsidR="00B9311E" w:rsidRPr="00BD77D8" w:rsidRDefault="00B9311E" w:rsidP="00B9311E">
      <w:pPr>
        <w:tabs>
          <w:tab w:val="left" w:pos="7797"/>
          <w:tab w:val="right" w:pos="8856"/>
        </w:tabs>
        <w:spacing w:after="0" w:line="240" w:lineRule="auto"/>
        <w:textAlignment w:val="baseline"/>
        <w:rPr>
          <w:rFonts w:eastAsia="Arial"/>
          <w:sz w:val="18"/>
          <w:szCs w:val="18"/>
          <w:lang w:eastAsia="en-US"/>
        </w:rPr>
      </w:pPr>
      <w:r w:rsidRPr="00BD77D8">
        <w:rPr>
          <w:rFonts w:eastAsia="Arial"/>
          <w:sz w:val="18"/>
          <w:szCs w:val="18"/>
          <w:lang w:eastAsia="en-US"/>
        </w:rPr>
        <w:t>The following disclosures focus on the expenses incurred by the department attributable to non-Ministerial KMP during the respective reporting periods. The amounts disclosed are determined on the same basis as expenses recognised in the Statement of Comprehensive Income. The remuneration expenses disclosed include the substantive KMP's remuneration expenses as well as remuneration earned while he/she has acted in another KMP position throughout the financial year on a short-term basis. It does not include non-KMPs acting in the position less than three months.</w:t>
      </w:r>
    </w:p>
    <w:tbl>
      <w:tblPr>
        <w:tblW w:w="15409" w:type="dxa"/>
        <w:tblCellMar>
          <w:left w:w="0" w:type="dxa"/>
          <w:right w:w="0" w:type="dxa"/>
        </w:tblCellMar>
        <w:tblLook w:val="04A0" w:firstRow="1" w:lastRow="0" w:firstColumn="1" w:lastColumn="0" w:noHBand="0" w:noVBand="1"/>
      </w:tblPr>
      <w:tblGrid>
        <w:gridCol w:w="7004"/>
        <w:gridCol w:w="1275"/>
        <w:gridCol w:w="1403"/>
        <w:gridCol w:w="1670"/>
        <w:gridCol w:w="1561"/>
        <w:gridCol w:w="1350"/>
        <w:gridCol w:w="1146"/>
      </w:tblGrid>
      <w:tr w:rsidR="00BD77D8" w:rsidRPr="00BD77D8" w14:paraId="11EA064F" w14:textId="77777777" w:rsidTr="003057FB">
        <w:trPr>
          <w:trHeight w:val="465"/>
        </w:trPr>
        <w:tc>
          <w:tcPr>
            <w:tcW w:w="0" w:type="auto"/>
            <w:tcBorders>
              <w:top w:val="nil"/>
              <w:left w:val="nil"/>
              <w:bottom w:val="nil"/>
              <w:right w:val="nil"/>
            </w:tcBorders>
            <w:shd w:val="clear" w:color="auto" w:fill="auto"/>
            <w:noWrap/>
            <w:vAlign w:val="center"/>
            <w:hideMark/>
          </w:tcPr>
          <w:p w14:paraId="3DA2AF4D" w14:textId="77777777" w:rsidR="00B9311E" w:rsidRPr="00BD77D8" w:rsidRDefault="00B9311E" w:rsidP="00B9311E">
            <w:pPr>
              <w:spacing w:after="0" w:line="240"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auto"/>
            <w:vAlign w:val="center"/>
            <w:hideMark/>
          </w:tcPr>
          <w:p w14:paraId="252BE25C" w14:textId="77777777" w:rsidR="00B9311E" w:rsidRPr="00BD77D8" w:rsidRDefault="00B9311E" w:rsidP="00B9311E">
            <w:pPr>
              <w:spacing w:after="0" w:line="240" w:lineRule="auto"/>
              <w:jc w:val="center"/>
              <w:rPr>
                <w:b/>
                <w:bCs/>
                <w:sz w:val="18"/>
                <w:szCs w:val="18"/>
              </w:rPr>
            </w:pPr>
            <w:r w:rsidRPr="00BD77D8">
              <w:rPr>
                <w:b/>
                <w:bCs/>
                <w:sz w:val="18"/>
                <w:szCs w:val="18"/>
              </w:rPr>
              <w:t xml:space="preserve"> Short Term Employee Expenses </w:t>
            </w:r>
          </w:p>
        </w:tc>
        <w:tc>
          <w:tcPr>
            <w:tcW w:w="0" w:type="auto"/>
            <w:gridSpan w:val="3"/>
            <w:tcBorders>
              <w:top w:val="nil"/>
              <w:left w:val="nil"/>
              <w:bottom w:val="nil"/>
              <w:right w:val="nil"/>
            </w:tcBorders>
            <w:shd w:val="clear" w:color="auto" w:fill="auto"/>
            <w:vAlign w:val="center"/>
            <w:hideMark/>
          </w:tcPr>
          <w:p w14:paraId="1F979E8B" w14:textId="77777777" w:rsidR="00B9311E" w:rsidRPr="00BD77D8" w:rsidRDefault="00B9311E" w:rsidP="00B9311E">
            <w:pPr>
              <w:spacing w:after="0" w:line="240" w:lineRule="auto"/>
              <w:jc w:val="center"/>
              <w:rPr>
                <w:b/>
                <w:bCs/>
                <w:sz w:val="18"/>
                <w:szCs w:val="18"/>
              </w:rPr>
            </w:pPr>
            <w:r w:rsidRPr="00BD77D8">
              <w:rPr>
                <w:b/>
                <w:bCs/>
                <w:sz w:val="18"/>
                <w:szCs w:val="18"/>
              </w:rPr>
              <w:t xml:space="preserve"> Other Employee Benefits </w:t>
            </w:r>
          </w:p>
        </w:tc>
        <w:tc>
          <w:tcPr>
            <w:tcW w:w="0" w:type="auto"/>
            <w:tcBorders>
              <w:top w:val="nil"/>
              <w:left w:val="nil"/>
              <w:bottom w:val="nil"/>
              <w:right w:val="nil"/>
            </w:tcBorders>
            <w:shd w:val="clear" w:color="auto" w:fill="auto"/>
            <w:vAlign w:val="center"/>
            <w:hideMark/>
          </w:tcPr>
          <w:p w14:paraId="16A9FA0A" w14:textId="77777777" w:rsidR="00B9311E" w:rsidRPr="00BD77D8" w:rsidRDefault="00B9311E" w:rsidP="00B9311E">
            <w:pPr>
              <w:spacing w:after="0" w:line="240" w:lineRule="auto"/>
              <w:jc w:val="center"/>
              <w:rPr>
                <w:b/>
                <w:bCs/>
                <w:sz w:val="18"/>
                <w:szCs w:val="18"/>
              </w:rPr>
            </w:pPr>
          </w:p>
        </w:tc>
      </w:tr>
      <w:tr w:rsidR="00BD77D8" w:rsidRPr="00BD77D8" w14:paraId="5711F7CC" w14:textId="77777777" w:rsidTr="003057FB">
        <w:trPr>
          <w:trHeight w:val="659"/>
        </w:trPr>
        <w:tc>
          <w:tcPr>
            <w:tcW w:w="0" w:type="auto"/>
            <w:tcBorders>
              <w:top w:val="nil"/>
              <w:left w:val="nil"/>
              <w:bottom w:val="nil"/>
              <w:right w:val="nil"/>
            </w:tcBorders>
            <w:shd w:val="clear" w:color="auto" w:fill="auto"/>
            <w:vAlign w:val="center"/>
            <w:hideMark/>
          </w:tcPr>
          <w:p w14:paraId="5A00D2C6" w14:textId="77777777" w:rsidR="00B9311E" w:rsidRPr="00BD77D8" w:rsidRDefault="00B9311E" w:rsidP="00B9311E">
            <w:pPr>
              <w:spacing w:after="0" w:line="240" w:lineRule="auto"/>
              <w:rPr>
                <w:b/>
                <w:bCs/>
                <w:sz w:val="18"/>
                <w:szCs w:val="18"/>
              </w:rPr>
            </w:pPr>
            <w:r w:rsidRPr="00BD77D8">
              <w:rPr>
                <w:b/>
                <w:bCs/>
                <w:sz w:val="18"/>
                <w:szCs w:val="18"/>
              </w:rPr>
              <w:t xml:space="preserve"> 1 July 2021 - 30 June 2022 </w:t>
            </w:r>
          </w:p>
        </w:tc>
        <w:tc>
          <w:tcPr>
            <w:tcW w:w="0" w:type="auto"/>
            <w:tcBorders>
              <w:top w:val="nil"/>
              <w:left w:val="nil"/>
              <w:bottom w:val="nil"/>
              <w:right w:val="nil"/>
            </w:tcBorders>
            <w:shd w:val="clear" w:color="auto" w:fill="auto"/>
            <w:vAlign w:val="center"/>
            <w:hideMark/>
          </w:tcPr>
          <w:p w14:paraId="6CA2DA1B" w14:textId="77777777" w:rsidR="00B9311E" w:rsidRPr="00BD77D8" w:rsidRDefault="00B9311E" w:rsidP="00B9311E">
            <w:pPr>
              <w:spacing w:after="0" w:line="240" w:lineRule="auto"/>
              <w:jc w:val="center"/>
              <w:rPr>
                <w:b/>
                <w:bCs/>
                <w:sz w:val="18"/>
                <w:szCs w:val="18"/>
              </w:rPr>
            </w:pPr>
            <w:r w:rsidRPr="00BD77D8">
              <w:rPr>
                <w:b/>
                <w:bCs/>
                <w:sz w:val="18"/>
                <w:szCs w:val="18"/>
              </w:rPr>
              <w:t>Monetary Expenses</w:t>
            </w:r>
          </w:p>
        </w:tc>
        <w:tc>
          <w:tcPr>
            <w:tcW w:w="0" w:type="auto"/>
            <w:tcBorders>
              <w:top w:val="nil"/>
              <w:left w:val="nil"/>
              <w:bottom w:val="nil"/>
              <w:right w:val="nil"/>
            </w:tcBorders>
            <w:shd w:val="clear" w:color="auto" w:fill="auto"/>
            <w:vAlign w:val="center"/>
            <w:hideMark/>
          </w:tcPr>
          <w:p w14:paraId="3E963864" w14:textId="77777777" w:rsidR="00B9311E" w:rsidRPr="00BD77D8" w:rsidRDefault="00B9311E" w:rsidP="00B9311E">
            <w:pPr>
              <w:spacing w:after="0" w:line="240" w:lineRule="auto"/>
              <w:jc w:val="center"/>
              <w:rPr>
                <w:b/>
                <w:bCs/>
                <w:sz w:val="18"/>
                <w:szCs w:val="18"/>
              </w:rPr>
            </w:pPr>
            <w:proofErr w:type="spellStart"/>
            <w:r w:rsidRPr="00BD77D8">
              <w:rPr>
                <w:b/>
                <w:bCs/>
                <w:sz w:val="18"/>
                <w:szCs w:val="18"/>
              </w:rPr>
              <w:t>Non Monetary</w:t>
            </w:r>
            <w:proofErr w:type="spellEnd"/>
            <w:r w:rsidRPr="00BD77D8">
              <w:rPr>
                <w:b/>
                <w:bCs/>
                <w:sz w:val="18"/>
                <w:szCs w:val="18"/>
              </w:rPr>
              <w:t xml:space="preserve"> Benefits</w:t>
            </w:r>
          </w:p>
        </w:tc>
        <w:tc>
          <w:tcPr>
            <w:tcW w:w="0" w:type="auto"/>
            <w:tcBorders>
              <w:top w:val="nil"/>
              <w:left w:val="nil"/>
              <w:bottom w:val="nil"/>
              <w:right w:val="nil"/>
            </w:tcBorders>
            <w:shd w:val="clear" w:color="auto" w:fill="auto"/>
            <w:vAlign w:val="center"/>
            <w:hideMark/>
          </w:tcPr>
          <w:p w14:paraId="23FE3477" w14:textId="77777777" w:rsidR="00B9311E" w:rsidRPr="00BD77D8" w:rsidRDefault="00B9311E" w:rsidP="00B9311E">
            <w:pPr>
              <w:spacing w:after="0" w:line="240" w:lineRule="auto"/>
              <w:jc w:val="center"/>
              <w:rPr>
                <w:b/>
                <w:bCs/>
                <w:sz w:val="18"/>
                <w:szCs w:val="18"/>
              </w:rPr>
            </w:pPr>
            <w:r w:rsidRPr="00BD77D8">
              <w:rPr>
                <w:b/>
                <w:bCs/>
                <w:sz w:val="18"/>
                <w:szCs w:val="18"/>
              </w:rPr>
              <w:t>Long Term Employee Expenses</w:t>
            </w:r>
          </w:p>
        </w:tc>
        <w:tc>
          <w:tcPr>
            <w:tcW w:w="0" w:type="auto"/>
            <w:tcBorders>
              <w:top w:val="nil"/>
              <w:left w:val="nil"/>
              <w:bottom w:val="nil"/>
              <w:right w:val="nil"/>
            </w:tcBorders>
            <w:shd w:val="clear" w:color="auto" w:fill="auto"/>
            <w:vAlign w:val="center"/>
            <w:hideMark/>
          </w:tcPr>
          <w:p w14:paraId="6A2F6E6D" w14:textId="77777777" w:rsidR="00B9311E" w:rsidRPr="00BD77D8" w:rsidRDefault="00B9311E" w:rsidP="00B9311E">
            <w:pPr>
              <w:spacing w:after="0" w:line="240" w:lineRule="auto"/>
              <w:jc w:val="center"/>
              <w:rPr>
                <w:b/>
                <w:bCs/>
                <w:sz w:val="18"/>
                <w:szCs w:val="18"/>
              </w:rPr>
            </w:pPr>
            <w:proofErr w:type="spellStart"/>
            <w:r w:rsidRPr="00BD77D8">
              <w:rPr>
                <w:b/>
                <w:bCs/>
                <w:sz w:val="18"/>
                <w:szCs w:val="18"/>
              </w:rPr>
              <w:t>Post Employment</w:t>
            </w:r>
            <w:proofErr w:type="spellEnd"/>
            <w:r w:rsidRPr="00BD77D8">
              <w:rPr>
                <w:b/>
                <w:bCs/>
                <w:sz w:val="18"/>
                <w:szCs w:val="18"/>
              </w:rPr>
              <w:t xml:space="preserve"> Expenses</w:t>
            </w:r>
          </w:p>
        </w:tc>
        <w:tc>
          <w:tcPr>
            <w:tcW w:w="0" w:type="auto"/>
            <w:tcBorders>
              <w:top w:val="nil"/>
              <w:left w:val="nil"/>
              <w:bottom w:val="nil"/>
              <w:right w:val="nil"/>
            </w:tcBorders>
            <w:shd w:val="clear" w:color="auto" w:fill="auto"/>
            <w:vAlign w:val="center"/>
            <w:hideMark/>
          </w:tcPr>
          <w:p w14:paraId="38AC4A74" w14:textId="77777777" w:rsidR="00B9311E" w:rsidRPr="00BD77D8" w:rsidRDefault="00B9311E" w:rsidP="00B9311E">
            <w:pPr>
              <w:spacing w:after="0" w:line="240" w:lineRule="auto"/>
              <w:jc w:val="center"/>
              <w:rPr>
                <w:b/>
                <w:bCs/>
                <w:sz w:val="18"/>
                <w:szCs w:val="18"/>
              </w:rPr>
            </w:pPr>
            <w:r w:rsidRPr="00BD77D8">
              <w:rPr>
                <w:b/>
                <w:bCs/>
                <w:sz w:val="18"/>
                <w:szCs w:val="18"/>
              </w:rPr>
              <w:t>Termination Benefits</w:t>
            </w:r>
          </w:p>
        </w:tc>
        <w:tc>
          <w:tcPr>
            <w:tcW w:w="0" w:type="auto"/>
            <w:tcBorders>
              <w:top w:val="nil"/>
              <w:left w:val="nil"/>
              <w:bottom w:val="nil"/>
              <w:right w:val="nil"/>
            </w:tcBorders>
            <w:shd w:val="clear" w:color="auto" w:fill="auto"/>
            <w:vAlign w:val="center"/>
            <w:hideMark/>
          </w:tcPr>
          <w:p w14:paraId="44B10B79" w14:textId="77777777" w:rsidR="00B9311E" w:rsidRPr="00BD77D8" w:rsidRDefault="00B9311E" w:rsidP="00B9311E">
            <w:pPr>
              <w:spacing w:after="0" w:line="240" w:lineRule="auto"/>
              <w:jc w:val="center"/>
              <w:rPr>
                <w:b/>
                <w:bCs/>
                <w:sz w:val="18"/>
                <w:szCs w:val="18"/>
              </w:rPr>
            </w:pPr>
            <w:r w:rsidRPr="00BD77D8">
              <w:rPr>
                <w:b/>
                <w:bCs/>
                <w:sz w:val="18"/>
                <w:szCs w:val="18"/>
              </w:rPr>
              <w:t>Total Expenses</w:t>
            </w:r>
          </w:p>
        </w:tc>
      </w:tr>
      <w:tr w:rsidR="00BD77D8" w:rsidRPr="00BD77D8" w14:paraId="725DB6CE" w14:textId="77777777" w:rsidTr="003057FB">
        <w:trPr>
          <w:trHeight w:val="245"/>
        </w:trPr>
        <w:tc>
          <w:tcPr>
            <w:tcW w:w="0" w:type="auto"/>
            <w:tcBorders>
              <w:top w:val="nil"/>
              <w:left w:val="nil"/>
              <w:bottom w:val="nil"/>
              <w:right w:val="nil"/>
            </w:tcBorders>
            <w:shd w:val="clear" w:color="auto" w:fill="auto"/>
            <w:vAlign w:val="center"/>
            <w:hideMark/>
          </w:tcPr>
          <w:p w14:paraId="675C3AF4" w14:textId="77777777" w:rsidR="00B9311E" w:rsidRPr="00BD77D8" w:rsidRDefault="00B9311E" w:rsidP="00B9311E">
            <w:pPr>
              <w:spacing w:after="0" w:line="240" w:lineRule="auto"/>
              <w:rPr>
                <w:b/>
                <w:bCs/>
                <w:sz w:val="18"/>
                <w:szCs w:val="18"/>
              </w:rPr>
            </w:pPr>
            <w:r w:rsidRPr="00BD77D8">
              <w:rPr>
                <w:b/>
                <w:bCs/>
                <w:sz w:val="18"/>
                <w:szCs w:val="18"/>
              </w:rPr>
              <w:t xml:space="preserve"> Position </w:t>
            </w:r>
          </w:p>
        </w:tc>
        <w:tc>
          <w:tcPr>
            <w:tcW w:w="0" w:type="auto"/>
            <w:tcBorders>
              <w:top w:val="nil"/>
              <w:left w:val="nil"/>
              <w:bottom w:val="single" w:sz="4" w:space="0" w:color="auto"/>
              <w:right w:val="nil"/>
            </w:tcBorders>
            <w:shd w:val="clear" w:color="auto" w:fill="auto"/>
            <w:noWrap/>
            <w:vAlign w:val="center"/>
            <w:hideMark/>
          </w:tcPr>
          <w:p w14:paraId="584E876B"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57ADF979"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48487C7C"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1FDC7F9C"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69183FFD"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625BAF37"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679BD2A9" w14:textId="77777777" w:rsidTr="003057FB">
        <w:trPr>
          <w:trHeight w:val="245"/>
        </w:trPr>
        <w:tc>
          <w:tcPr>
            <w:tcW w:w="0" w:type="auto"/>
            <w:tcBorders>
              <w:top w:val="nil"/>
              <w:left w:val="nil"/>
              <w:bottom w:val="nil"/>
              <w:right w:val="nil"/>
            </w:tcBorders>
            <w:shd w:val="clear" w:color="auto" w:fill="auto"/>
            <w:noWrap/>
            <w:vAlign w:val="center"/>
            <w:hideMark/>
          </w:tcPr>
          <w:p w14:paraId="103AF746" w14:textId="77777777" w:rsidR="00B9311E" w:rsidRPr="00BD77D8" w:rsidRDefault="00B9311E" w:rsidP="00B9311E">
            <w:pPr>
              <w:spacing w:after="0" w:line="240" w:lineRule="auto"/>
              <w:rPr>
                <w:sz w:val="18"/>
                <w:szCs w:val="18"/>
              </w:rPr>
            </w:pPr>
            <w:r w:rsidRPr="00BD77D8">
              <w:rPr>
                <w:sz w:val="18"/>
                <w:szCs w:val="18"/>
              </w:rPr>
              <w:t xml:space="preserve"> Director-General </w:t>
            </w:r>
          </w:p>
        </w:tc>
        <w:tc>
          <w:tcPr>
            <w:tcW w:w="0" w:type="auto"/>
            <w:tcBorders>
              <w:top w:val="nil"/>
              <w:left w:val="nil"/>
              <w:bottom w:val="nil"/>
              <w:right w:val="nil"/>
            </w:tcBorders>
            <w:shd w:val="clear" w:color="auto" w:fill="auto"/>
            <w:noWrap/>
            <w:vAlign w:val="center"/>
            <w:hideMark/>
          </w:tcPr>
          <w:p w14:paraId="412CE46A" w14:textId="77777777" w:rsidR="00B9311E" w:rsidRPr="00BD77D8" w:rsidRDefault="00B9311E" w:rsidP="00B9311E">
            <w:pPr>
              <w:spacing w:after="0" w:line="240" w:lineRule="auto"/>
              <w:jc w:val="right"/>
              <w:rPr>
                <w:sz w:val="18"/>
                <w:szCs w:val="18"/>
              </w:rPr>
            </w:pPr>
            <w:r w:rsidRPr="00BD77D8">
              <w:rPr>
                <w:sz w:val="18"/>
                <w:szCs w:val="18"/>
              </w:rPr>
              <w:t xml:space="preserve">               465 </w:t>
            </w:r>
          </w:p>
        </w:tc>
        <w:tc>
          <w:tcPr>
            <w:tcW w:w="0" w:type="auto"/>
            <w:tcBorders>
              <w:top w:val="nil"/>
              <w:left w:val="nil"/>
              <w:bottom w:val="nil"/>
              <w:right w:val="nil"/>
            </w:tcBorders>
            <w:shd w:val="clear" w:color="auto" w:fill="auto"/>
            <w:noWrap/>
            <w:vAlign w:val="center"/>
            <w:hideMark/>
          </w:tcPr>
          <w:p w14:paraId="724381E2" w14:textId="77777777" w:rsidR="00B9311E" w:rsidRPr="00BD77D8" w:rsidRDefault="00B9311E" w:rsidP="00B9311E">
            <w:pPr>
              <w:spacing w:after="0" w:line="240" w:lineRule="auto"/>
              <w:jc w:val="right"/>
              <w:rPr>
                <w:sz w:val="18"/>
                <w:szCs w:val="18"/>
              </w:rPr>
            </w:pPr>
            <w:r w:rsidRPr="00BD77D8">
              <w:rPr>
                <w:sz w:val="18"/>
                <w:szCs w:val="18"/>
              </w:rPr>
              <w:t xml:space="preserve">                    6 </w:t>
            </w:r>
          </w:p>
        </w:tc>
        <w:tc>
          <w:tcPr>
            <w:tcW w:w="0" w:type="auto"/>
            <w:tcBorders>
              <w:top w:val="nil"/>
              <w:left w:val="nil"/>
              <w:bottom w:val="nil"/>
              <w:right w:val="nil"/>
            </w:tcBorders>
            <w:shd w:val="clear" w:color="auto" w:fill="auto"/>
            <w:noWrap/>
            <w:vAlign w:val="center"/>
            <w:hideMark/>
          </w:tcPr>
          <w:p w14:paraId="22DAB0F7" w14:textId="77777777" w:rsidR="00B9311E" w:rsidRPr="00BD77D8" w:rsidRDefault="00B9311E" w:rsidP="00B9311E">
            <w:pPr>
              <w:spacing w:after="0" w:line="240" w:lineRule="auto"/>
              <w:jc w:val="right"/>
              <w:rPr>
                <w:sz w:val="18"/>
                <w:szCs w:val="18"/>
              </w:rPr>
            </w:pPr>
            <w:r w:rsidRPr="00BD77D8">
              <w:rPr>
                <w:sz w:val="18"/>
                <w:szCs w:val="18"/>
              </w:rPr>
              <w:t xml:space="preserve">                 11 </w:t>
            </w:r>
          </w:p>
        </w:tc>
        <w:tc>
          <w:tcPr>
            <w:tcW w:w="0" w:type="auto"/>
            <w:tcBorders>
              <w:top w:val="nil"/>
              <w:left w:val="nil"/>
              <w:bottom w:val="nil"/>
              <w:right w:val="nil"/>
            </w:tcBorders>
            <w:shd w:val="clear" w:color="auto" w:fill="auto"/>
            <w:noWrap/>
            <w:vAlign w:val="center"/>
            <w:hideMark/>
          </w:tcPr>
          <w:p w14:paraId="3AC3C2EE" w14:textId="77777777" w:rsidR="00B9311E" w:rsidRPr="00BD77D8" w:rsidRDefault="00B9311E" w:rsidP="00B9311E">
            <w:pPr>
              <w:spacing w:after="0" w:line="240" w:lineRule="auto"/>
              <w:jc w:val="right"/>
              <w:rPr>
                <w:sz w:val="18"/>
                <w:szCs w:val="18"/>
              </w:rPr>
            </w:pPr>
            <w:r w:rsidRPr="00BD77D8">
              <w:rPr>
                <w:sz w:val="18"/>
                <w:szCs w:val="18"/>
              </w:rPr>
              <w:t xml:space="preserve">                 54 </w:t>
            </w:r>
          </w:p>
        </w:tc>
        <w:tc>
          <w:tcPr>
            <w:tcW w:w="0" w:type="auto"/>
            <w:tcBorders>
              <w:top w:val="nil"/>
              <w:left w:val="nil"/>
              <w:bottom w:val="nil"/>
              <w:right w:val="nil"/>
            </w:tcBorders>
            <w:shd w:val="clear" w:color="auto" w:fill="auto"/>
            <w:noWrap/>
            <w:vAlign w:val="center"/>
            <w:hideMark/>
          </w:tcPr>
          <w:p w14:paraId="0319FE14"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17350209" w14:textId="77777777" w:rsidR="00B9311E" w:rsidRPr="00BD77D8" w:rsidRDefault="00B9311E" w:rsidP="00B9311E">
            <w:pPr>
              <w:spacing w:after="0" w:line="240" w:lineRule="auto"/>
              <w:jc w:val="right"/>
              <w:rPr>
                <w:sz w:val="18"/>
                <w:szCs w:val="18"/>
              </w:rPr>
            </w:pPr>
            <w:r w:rsidRPr="00BD77D8">
              <w:rPr>
                <w:sz w:val="18"/>
                <w:szCs w:val="18"/>
              </w:rPr>
              <w:t xml:space="preserve">               536 </w:t>
            </w:r>
          </w:p>
        </w:tc>
      </w:tr>
      <w:tr w:rsidR="00BD77D8" w:rsidRPr="00BD77D8" w14:paraId="659A03CA" w14:textId="77777777" w:rsidTr="003057FB">
        <w:trPr>
          <w:trHeight w:val="245"/>
        </w:trPr>
        <w:tc>
          <w:tcPr>
            <w:tcW w:w="0" w:type="auto"/>
            <w:tcBorders>
              <w:top w:val="nil"/>
              <w:left w:val="nil"/>
              <w:bottom w:val="nil"/>
              <w:right w:val="nil"/>
            </w:tcBorders>
            <w:shd w:val="clear" w:color="auto" w:fill="auto"/>
            <w:noWrap/>
            <w:vAlign w:val="center"/>
            <w:hideMark/>
          </w:tcPr>
          <w:p w14:paraId="5FED817F" w14:textId="77777777" w:rsidR="00B9311E" w:rsidRPr="00BD77D8" w:rsidRDefault="00B9311E" w:rsidP="00B9311E">
            <w:pPr>
              <w:spacing w:after="0" w:line="240" w:lineRule="auto"/>
              <w:rPr>
                <w:sz w:val="18"/>
                <w:szCs w:val="18"/>
              </w:rPr>
            </w:pPr>
            <w:r w:rsidRPr="00BD77D8">
              <w:rPr>
                <w:sz w:val="18"/>
                <w:szCs w:val="18"/>
              </w:rPr>
              <w:t xml:space="preserve"> Associate Director-General, Seniors and Disability Services (01/07/2021 to 01/10/2021) </w:t>
            </w:r>
          </w:p>
        </w:tc>
        <w:tc>
          <w:tcPr>
            <w:tcW w:w="0" w:type="auto"/>
            <w:tcBorders>
              <w:top w:val="nil"/>
              <w:left w:val="nil"/>
              <w:bottom w:val="nil"/>
              <w:right w:val="nil"/>
            </w:tcBorders>
            <w:shd w:val="clear" w:color="auto" w:fill="auto"/>
            <w:noWrap/>
            <w:vAlign w:val="center"/>
            <w:hideMark/>
          </w:tcPr>
          <w:p w14:paraId="358DD8C1" w14:textId="77777777" w:rsidR="00B9311E" w:rsidRPr="00BD77D8" w:rsidRDefault="00B9311E" w:rsidP="00B9311E">
            <w:pPr>
              <w:spacing w:after="0" w:line="240" w:lineRule="auto"/>
              <w:jc w:val="right"/>
              <w:rPr>
                <w:sz w:val="18"/>
                <w:szCs w:val="18"/>
              </w:rPr>
            </w:pPr>
            <w:r w:rsidRPr="00BD77D8">
              <w:rPr>
                <w:sz w:val="18"/>
                <w:szCs w:val="18"/>
              </w:rPr>
              <w:t xml:space="preserve">                 89 </w:t>
            </w:r>
          </w:p>
        </w:tc>
        <w:tc>
          <w:tcPr>
            <w:tcW w:w="0" w:type="auto"/>
            <w:tcBorders>
              <w:top w:val="nil"/>
              <w:left w:val="nil"/>
              <w:bottom w:val="nil"/>
              <w:right w:val="nil"/>
            </w:tcBorders>
            <w:shd w:val="clear" w:color="auto" w:fill="auto"/>
            <w:noWrap/>
            <w:vAlign w:val="center"/>
            <w:hideMark/>
          </w:tcPr>
          <w:p w14:paraId="1DC12202" w14:textId="77777777" w:rsidR="00B9311E" w:rsidRPr="00BD77D8" w:rsidRDefault="00B9311E" w:rsidP="00B9311E">
            <w:pPr>
              <w:spacing w:after="0" w:line="240" w:lineRule="auto"/>
              <w:jc w:val="right"/>
              <w:rPr>
                <w:sz w:val="18"/>
                <w:szCs w:val="18"/>
              </w:rPr>
            </w:pPr>
            <w:r w:rsidRPr="00BD77D8">
              <w:rPr>
                <w:sz w:val="18"/>
                <w:szCs w:val="18"/>
              </w:rPr>
              <w:t xml:space="preserve">                    1 </w:t>
            </w:r>
          </w:p>
        </w:tc>
        <w:tc>
          <w:tcPr>
            <w:tcW w:w="0" w:type="auto"/>
            <w:tcBorders>
              <w:top w:val="nil"/>
              <w:left w:val="nil"/>
              <w:bottom w:val="nil"/>
              <w:right w:val="nil"/>
            </w:tcBorders>
            <w:shd w:val="clear" w:color="auto" w:fill="auto"/>
            <w:noWrap/>
            <w:vAlign w:val="center"/>
            <w:hideMark/>
          </w:tcPr>
          <w:p w14:paraId="15425B8E"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2DBF0C3C" w14:textId="77777777" w:rsidR="00B9311E" w:rsidRPr="00BD77D8" w:rsidRDefault="00B9311E" w:rsidP="00B9311E">
            <w:pPr>
              <w:spacing w:after="0" w:line="240" w:lineRule="auto"/>
              <w:jc w:val="right"/>
              <w:rPr>
                <w:sz w:val="18"/>
                <w:szCs w:val="18"/>
              </w:rPr>
            </w:pPr>
            <w:r w:rsidRPr="00BD77D8">
              <w:rPr>
                <w:sz w:val="18"/>
                <w:szCs w:val="18"/>
              </w:rPr>
              <w:t xml:space="preserve">                 11 </w:t>
            </w:r>
          </w:p>
        </w:tc>
        <w:tc>
          <w:tcPr>
            <w:tcW w:w="0" w:type="auto"/>
            <w:tcBorders>
              <w:top w:val="nil"/>
              <w:left w:val="nil"/>
              <w:bottom w:val="nil"/>
              <w:right w:val="nil"/>
            </w:tcBorders>
            <w:shd w:val="clear" w:color="auto" w:fill="auto"/>
            <w:noWrap/>
            <w:vAlign w:val="center"/>
            <w:hideMark/>
          </w:tcPr>
          <w:p w14:paraId="154535BD"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1B2B4245" w14:textId="77777777" w:rsidR="00B9311E" w:rsidRPr="00BD77D8" w:rsidRDefault="00B9311E" w:rsidP="00B9311E">
            <w:pPr>
              <w:spacing w:after="0" w:line="240" w:lineRule="auto"/>
              <w:jc w:val="right"/>
              <w:rPr>
                <w:sz w:val="18"/>
                <w:szCs w:val="18"/>
              </w:rPr>
            </w:pPr>
            <w:r w:rsidRPr="00BD77D8">
              <w:rPr>
                <w:sz w:val="18"/>
                <w:szCs w:val="18"/>
              </w:rPr>
              <w:t xml:space="preserve">               103 </w:t>
            </w:r>
          </w:p>
        </w:tc>
      </w:tr>
      <w:tr w:rsidR="00BD77D8" w:rsidRPr="00BD77D8" w14:paraId="3D6EEDDD" w14:textId="77777777" w:rsidTr="003057FB">
        <w:trPr>
          <w:trHeight w:val="245"/>
        </w:trPr>
        <w:tc>
          <w:tcPr>
            <w:tcW w:w="0" w:type="auto"/>
            <w:tcBorders>
              <w:top w:val="nil"/>
              <w:left w:val="nil"/>
              <w:bottom w:val="nil"/>
              <w:right w:val="nil"/>
            </w:tcBorders>
            <w:shd w:val="clear" w:color="auto" w:fill="auto"/>
            <w:noWrap/>
            <w:vAlign w:val="center"/>
            <w:hideMark/>
          </w:tcPr>
          <w:p w14:paraId="60905B76" w14:textId="77777777" w:rsidR="00B9311E" w:rsidRPr="00BD77D8" w:rsidRDefault="00B9311E" w:rsidP="00B9311E">
            <w:pPr>
              <w:spacing w:after="0" w:line="240" w:lineRule="auto"/>
              <w:rPr>
                <w:sz w:val="18"/>
                <w:szCs w:val="18"/>
              </w:rPr>
            </w:pPr>
            <w:r w:rsidRPr="00BD77D8">
              <w:rPr>
                <w:sz w:val="18"/>
                <w:szCs w:val="18"/>
              </w:rPr>
              <w:t xml:space="preserve"> Deputy Director-General, Corporate Services (commenced 07/03/2022) * </w:t>
            </w:r>
          </w:p>
        </w:tc>
        <w:tc>
          <w:tcPr>
            <w:tcW w:w="0" w:type="auto"/>
            <w:tcBorders>
              <w:top w:val="nil"/>
              <w:left w:val="nil"/>
              <w:bottom w:val="nil"/>
              <w:right w:val="nil"/>
            </w:tcBorders>
            <w:shd w:val="clear" w:color="auto" w:fill="auto"/>
            <w:noWrap/>
            <w:vAlign w:val="center"/>
            <w:hideMark/>
          </w:tcPr>
          <w:p w14:paraId="1D119A1B" w14:textId="77777777" w:rsidR="00B9311E" w:rsidRPr="00BD77D8" w:rsidRDefault="00B9311E" w:rsidP="00B9311E">
            <w:pPr>
              <w:spacing w:after="0" w:line="240" w:lineRule="auto"/>
              <w:jc w:val="right"/>
              <w:rPr>
                <w:sz w:val="18"/>
                <w:szCs w:val="18"/>
              </w:rPr>
            </w:pPr>
            <w:r w:rsidRPr="00BD77D8">
              <w:rPr>
                <w:sz w:val="18"/>
                <w:szCs w:val="18"/>
              </w:rPr>
              <w:t xml:space="preserve">                 79 </w:t>
            </w:r>
          </w:p>
        </w:tc>
        <w:tc>
          <w:tcPr>
            <w:tcW w:w="0" w:type="auto"/>
            <w:tcBorders>
              <w:top w:val="nil"/>
              <w:left w:val="nil"/>
              <w:bottom w:val="nil"/>
              <w:right w:val="nil"/>
            </w:tcBorders>
            <w:shd w:val="clear" w:color="auto" w:fill="auto"/>
            <w:noWrap/>
            <w:vAlign w:val="center"/>
            <w:hideMark/>
          </w:tcPr>
          <w:p w14:paraId="4751C84A"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277D877D"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15C3A0A0" w14:textId="77777777" w:rsidR="00B9311E" w:rsidRPr="00BD77D8" w:rsidRDefault="00B9311E" w:rsidP="00B9311E">
            <w:pPr>
              <w:spacing w:after="0" w:line="240" w:lineRule="auto"/>
              <w:jc w:val="right"/>
              <w:rPr>
                <w:sz w:val="18"/>
                <w:szCs w:val="18"/>
              </w:rPr>
            </w:pPr>
            <w:r w:rsidRPr="00BD77D8">
              <w:rPr>
                <w:sz w:val="18"/>
                <w:szCs w:val="18"/>
              </w:rPr>
              <w:t xml:space="preserve">                    8 </w:t>
            </w:r>
          </w:p>
        </w:tc>
        <w:tc>
          <w:tcPr>
            <w:tcW w:w="0" w:type="auto"/>
            <w:tcBorders>
              <w:top w:val="nil"/>
              <w:left w:val="nil"/>
              <w:bottom w:val="nil"/>
              <w:right w:val="nil"/>
            </w:tcBorders>
            <w:shd w:val="clear" w:color="auto" w:fill="auto"/>
            <w:noWrap/>
            <w:vAlign w:val="center"/>
            <w:hideMark/>
          </w:tcPr>
          <w:p w14:paraId="0CF5E847"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50DCB094" w14:textId="77777777" w:rsidR="00B9311E" w:rsidRPr="00BD77D8" w:rsidRDefault="00B9311E" w:rsidP="00B9311E">
            <w:pPr>
              <w:spacing w:after="0" w:line="240" w:lineRule="auto"/>
              <w:jc w:val="right"/>
              <w:rPr>
                <w:sz w:val="18"/>
                <w:szCs w:val="18"/>
              </w:rPr>
            </w:pPr>
            <w:r w:rsidRPr="00BD77D8">
              <w:rPr>
                <w:sz w:val="18"/>
                <w:szCs w:val="18"/>
              </w:rPr>
              <w:t xml:space="preserve">                 91 </w:t>
            </w:r>
          </w:p>
        </w:tc>
      </w:tr>
      <w:tr w:rsidR="00BD77D8" w:rsidRPr="00BD77D8" w14:paraId="2C759357" w14:textId="77777777" w:rsidTr="003057FB">
        <w:trPr>
          <w:trHeight w:val="245"/>
        </w:trPr>
        <w:tc>
          <w:tcPr>
            <w:tcW w:w="0" w:type="auto"/>
            <w:tcBorders>
              <w:top w:val="nil"/>
              <w:left w:val="nil"/>
              <w:bottom w:val="nil"/>
              <w:right w:val="nil"/>
            </w:tcBorders>
            <w:shd w:val="clear" w:color="auto" w:fill="auto"/>
            <w:noWrap/>
            <w:vAlign w:val="center"/>
            <w:hideMark/>
          </w:tcPr>
          <w:p w14:paraId="63A817CA" w14:textId="77777777" w:rsidR="00B9311E" w:rsidRPr="00BD77D8" w:rsidRDefault="00B9311E" w:rsidP="00B9311E">
            <w:pPr>
              <w:spacing w:after="0" w:line="240" w:lineRule="auto"/>
              <w:rPr>
                <w:sz w:val="18"/>
                <w:szCs w:val="18"/>
              </w:rPr>
            </w:pPr>
            <w:r w:rsidRPr="00BD77D8">
              <w:rPr>
                <w:sz w:val="18"/>
                <w:szCs w:val="18"/>
              </w:rPr>
              <w:t xml:space="preserve"> Deputy Director-General, Corporate Services (acting 05/10/2021 to 06/03/2022) ^ </w:t>
            </w:r>
          </w:p>
        </w:tc>
        <w:tc>
          <w:tcPr>
            <w:tcW w:w="0" w:type="auto"/>
            <w:tcBorders>
              <w:top w:val="nil"/>
              <w:left w:val="nil"/>
              <w:bottom w:val="nil"/>
              <w:right w:val="nil"/>
            </w:tcBorders>
            <w:shd w:val="clear" w:color="auto" w:fill="auto"/>
            <w:noWrap/>
            <w:vAlign w:val="center"/>
            <w:hideMark/>
          </w:tcPr>
          <w:p w14:paraId="42A59EC9" w14:textId="77777777" w:rsidR="00B9311E" w:rsidRPr="00BD77D8" w:rsidRDefault="00B9311E" w:rsidP="00B9311E">
            <w:pPr>
              <w:spacing w:after="0" w:line="240" w:lineRule="auto"/>
              <w:jc w:val="right"/>
              <w:rPr>
                <w:sz w:val="18"/>
                <w:szCs w:val="18"/>
              </w:rPr>
            </w:pPr>
            <w:r w:rsidRPr="00BD77D8">
              <w:rPr>
                <w:sz w:val="18"/>
                <w:szCs w:val="18"/>
              </w:rPr>
              <w:t xml:space="preserve">               102 </w:t>
            </w:r>
          </w:p>
        </w:tc>
        <w:tc>
          <w:tcPr>
            <w:tcW w:w="0" w:type="auto"/>
            <w:tcBorders>
              <w:top w:val="nil"/>
              <w:left w:val="nil"/>
              <w:bottom w:val="nil"/>
              <w:right w:val="nil"/>
            </w:tcBorders>
            <w:shd w:val="clear" w:color="auto" w:fill="auto"/>
            <w:noWrap/>
            <w:vAlign w:val="center"/>
            <w:hideMark/>
          </w:tcPr>
          <w:p w14:paraId="66C96F44"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58BE7345"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1D5909AA" w14:textId="77777777" w:rsidR="00B9311E" w:rsidRPr="00BD77D8" w:rsidRDefault="00B9311E" w:rsidP="00B9311E">
            <w:pPr>
              <w:spacing w:after="0" w:line="240" w:lineRule="auto"/>
              <w:jc w:val="right"/>
              <w:rPr>
                <w:sz w:val="18"/>
                <w:szCs w:val="18"/>
              </w:rPr>
            </w:pPr>
            <w:r w:rsidRPr="00BD77D8">
              <w:rPr>
                <w:sz w:val="18"/>
                <w:szCs w:val="18"/>
              </w:rPr>
              <w:t xml:space="preserve">                    8 </w:t>
            </w:r>
          </w:p>
        </w:tc>
        <w:tc>
          <w:tcPr>
            <w:tcW w:w="0" w:type="auto"/>
            <w:tcBorders>
              <w:top w:val="nil"/>
              <w:left w:val="nil"/>
              <w:bottom w:val="nil"/>
              <w:right w:val="nil"/>
            </w:tcBorders>
            <w:shd w:val="clear" w:color="auto" w:fill="auto"/>
            <w:noWrap/>
            <w:vAlign w:val="center"/>
            <w:hideMark/>
          </w:tcPr>
          <w:p w14:paraId="7BD4924D"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24FD821F" w14:textId="77777777" w:rsidR="00B9311E" w:rsidRPr="00BD77D8" w:rsidRDefault="00B9311E" w:rsidP="00B9311E">
            <w:pPr>
              <w:spacing w:after="0" w:line="240" w:lineRule="auto"/>
              <w:jc w:val="right"/>
              <w:rPr>
                <w:sz w:val="18"/>
                <w:szCs w:val="18"/>
              </w:rPr>
            </w:pPr>
            <w:r w:rsidRPr="00BD77D8">
              <w:rPr>
                <w:sz w:val="18"/>
                <w:szCs w:val="18"/>
              </w:rPr>
              <w:t xml:space="preserve">               114 </w:t>
            </w:r>
          </w:p>
        </w:tc>
      </w:tr>
      <w:tr w:rsidR="00BD77D8" w:rsidRPr="00BD77D8" w14:paraId="44B403DF" w14:textId="77777777" w:rsidTr="003057FB">
        <w:trPr>
          <w:trHeight w:val="245"/>
        </w:trPr>
        <w:tc>
          <w:tcPr>
            <w:tcW w:w="0" w:type="auto"/>
            <w:tcBorders>
              <w:top w:val="nil"/>
              <w:left w:val="nil"/>
              <w:bottom w:val="nil"/>
              <w:right w:val="nil"/>
            </w:tcBorders>
            <w:shd w:val="clear" w:color="auto" w:fill="auto"/>
            <w:noWrap/>
            <w:vAlign w:val="center"/>
            <w:hideMark/>
          </w:tcPr>
          <w:p w14:paraId="35A22D4C" w14:textId="77777777" w:rsidR="00B9311E" w:rsidRPr="00BD77D8" w:rsidRDefault="00B9311E" w:rsidP="00B9311E">
            <w:pPr>
              <w:spacing w:after="0" w:line="240" w:lineRule="auto"/>
              <w:rPr>
                <w:sz w:val="18"/>
                <w:szCs w:val="18"/>
              </w:rPr>
            </w:pPr>
            <w:r w:rsidRPr="00BD77D8">
              <w:rPr>
                <w:sz w:val="18"/>
                <w:szCs w:val="18"/>
              </w:rPr>
              <w:t xml:space="preserve"> Deputy Director-General, Culture and Economic Policy  </w:t>
            </w:r>
          </w:p>
        </w:tc>
        <w:tc>
          <w:tcPr>
            <w:tcW w:w="0" w:type="auto"/>
            <w:tcBorders>
              <w:top w:val="nil"/>
              <w:left w:val="nil"/>
              <w:bottom w:val="nil"/>
              <w:right w:val="nil"/>
            </w:tcBorders>
            <w:shd w:val="clear" w:color="auto" w:fill="auto"/>
            <w:noWrap/>
            <w:vAlign w:val="center"/>
            <w:hideMark/>
          </w:tcPr>
          <w:p w14:paraId="29B09B65" w14:textId="77777777" w:rsidR="00B9311E" w:rsidRPr="00BD77D8" w:rsidRDefault="00B9311E" w:rsidP="00B9311E">
            <w:pPr>
              <w:spacing w:after="0" w:line="240" w:lineRule="auto"/>
              <w:jc w:val="right"/>
              <w:rPr>
                <w:sz w:val="18"/>
                <w:szCs w:val="18"/>
              </w:rPr>
            </w:pPr>
            <w:r w:rsidRPr="00BD77D8">
              <w:rPr>
                <w:sz w:val="18"/>
                <w:szCs w:val="18"/>
              </w:rPr>
              <w:t xml:space="preserve">               264 </w:t>
            </w:r>
          </w:p>
        </w:tc>
        <w:tc>
          <w:tcPr>
            <w:tcW w:w="0" w:type="auto"/>
            <w:tcBorders>
              <w:top w:val="nil"/>
              <w:left w:val="nil"/>
              <w:bottom w:val="nil"/>
              <w:right w:val="nil"/>
            </w:tcBorders>
            <w:shd w:val="clear" w:color="auto" w:fill="auto"/>
            <w:noWrap/>
            <w:vAlign w:val="center"/>
            <w:hideMark/>
          </w:tcPr>
          <w:p w14:paraId="774642E9" w14:textId="77777777" w:rsidR="00B9311E" w:rsidRPr="00BD77D8" w:rsidRDefault="00B9311E" w:rsidP="00B9311E">
            <w:pPr>
              <w:spacing w:after="0" w:line="240" w:lineRule="auto"/>
              <w:jc w:val="right"/>
              <w:rPr>
                <w:sz w:val="18"/>
                <w:szCs w:val="18"/>
              </w:rPr>
            </w:pPr>
            <w:r w:rsidRPr="00BD77D8">
              <w:rPr>
                <w:sz w:val="18"/>
                <w:szCs w:val="18"/>
              </w:rPr>
              <w:t xml:space="preserve">                    6 </w:t>
            </w:r>
          </w:p>
        </w:tc>
        <w:tc>
          <w:tcPr>
            <w:tcW w:w="0" w:type="auto"/>
            <w:tcBorders>
              <w:top w:val="nil"/>
              <w:left w:val="nil"/>
              <w:bottom w:val="nil"/>
              <w:right w:val="nil"/>
            </w:tcBorders>
            <w:shd w:val="clear" w:color="auto" w:fill="auto"/>
            <w:noWrap/>
            <w:vAlign w:val="center"/>
            <w:hideMark/>
          </w:tcPr>
          <w:p w14:paraId="5D81E0F3" w14:textId="77777777" w:rsidR="00B9311E" w:rsidRPr="00BD77D8" w:rsidRDefault="00B9311E" w:rsidP="00B9311E">
            <w:pPr>
              <w:spacing w:after="0" w:line="240" w:lineRule="auto"/>
              <w:jc w:val="right"/>
              <w:rPr>
                <w:sz w:val="18"/>
                <w:szCs w:val="18"/>
              </w:rPr>
            </w:pPr>
            <w:r w:rsidRPr="00BD77D8">
              <w:rPr>
                <w:sz w:val="18"/>
                <w:szCs w:val="18"/>
              </w:rPr>
              <w:t xml:space="preserve">                    6 </w:t>
            </w:r>
          </w:p>
        </w:tc>
        <w:tc>
          <w:tcPr>
            <w:tcW w:w="0" w:type="auto"/>
            <w:tcBorders>
              <w:top w:val="nil"/>
              <w:left w:val="nil"/>
              <w:bottom w:val="nil"/>
              <w:right w:val="nil"/>
            </w:tcBorders>
            <w:shd w:val="clear" w:color="auto" w:fill="auto"/>
            <w:noWrap/>
            <w:vAlign w:val="center"/>
            <w:hideMark/>
          </w:tcPr>
          <w:p w14:paraId="5A9FB14D" w14:textId="77777777" w:rsidR="00B9311E" w:rsidRPr="00BD77D8" w:rsidRDefault="00B9311E" w:rsidP="00B9311E">
            <w:pPr>
              <w:spacing w:after="0" w:line="240" w:lineRule="auto"/>
              <w:jc w:val="right"/>
              <w:rPr>
                <w:sz w:val="18"/>
                <w:szCs w:val="18"/>
              </w:rPr>
            </w:pPr>
            <w:r w:rsidRPr="00BD77D8">
              <w:rPr>
                <w:sz w:val="18"/>
                <w:szCs w:val="18"/>
              </w:rPr>
              <w:t xml:space="preserve">                 27 </w:t>
            </w:r>
          </w:p>
        </w:tc>
        <w:tc>
          <w:tcPr>
            <w:tcW w:w="0" w:type="auto"/>
            <w:tcBorders>
              <w:top w:val="nil"/>
              <w:left w:val="nil"/>
              <w:bottom w:val="nil"/>
              <w:right w:val="nil"/>
            </w:tcBorders>
            <w:shd w:val="clear" w:color="auto" w:fill="auto"/>
            <w:noWrap/>
            <w:vAlign w:val="center"/>
            <w:hideMark/>
          </w:tcPr>
          <w:p w14:paraId="3B61CDCF"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32215B30" w14:textId="77777777" w:rsidR="00B9311E" w:rsidRPr="00BD77D8" w:rsidRDefault="00B9311E" w:rsidP="00B9311E">
            <w:pPr>
              <w:spacing w:after="0" w:line="240" w:lineRule="auto"/>
              <w:jc w:val="right"/>
              <w:rPr>
                <w:sz w:val="18"/>
                <w:szCs w:val="18"/>
              </w:rPr>
            </w:pPr>
            <w:r w:rsidRPr="00BD77D8">
              <w:rPr>
                <w:sz w:val="18"/>
                <w:szCs w:val="18"/>
              </w:rPr>
              <w:t xml:space="preserve">               303 </w:t>
            </w:r>
          </w:p>
        </w:tc>
      </w:tr>
      <w:tr w:rsidR="00BD77D8" w:rsidRPr="00BD77D8" w14:paraId="674AA4E5" w14:textId="77777777" w:rsidTr="003057FB">
        <w:trPr>
          <w:trHeight w:val="245"/>
        </w:trPr>
        <w:tc>
          <w:tcPr>
            <w:tcW w:w="0" w:type="auto"/>
            <w:tcBorders>
              <w:top w:val="nil"/>
              <w:left w:val="nil"/>
              <w:bottom w:val="nil"/>
              <w:right w:val="nil"/>
            </w:tcBorders>
            <w:shd w:val="clear" w:color="auto" w:fill="auto"/>
            <w:noWrap/>
            <w:vAlign w:val="center"/>
            <w:hideMark/>
          </w:tcPr>
          <w:p w14:paraId="49056E22" w14:textId="77777777" w:rsidR="00B9311E" w:rsidRPr="00BD77D8" w:rsidRDefault="00B9311E" w:rsidP="00B9311E">
            <w:pPr>
              <w:spacing w:after="0" w:line="240" w:lineRule="auto"/>
              <w:rPr>
                <w:sz w:val="18"/>
                <w:szCs w:val="18"/>
              </w:rPr>
            </w:pPr>
            <w:r w:rsidRPr="00BD77D8">
              <w:rPr>
                <w:sz w:val="18"/>
                <w:szCs w:val="18"/>
              </w:rPr>
              <w:t xml:space="preserve"> Deputy Director-General, Strategic Policy, Legislation and Program Reform  </w:t>
            </w:r>
          </w:p>
        </w:tc>
        <w:tc>
          <w:tcPr>
            <w:tcW w:w="0" w:type="auto"/>
            <w:tcBorders>
              <w:top w:val="nil"/>
              <w:left w:val="nil"/>
              <w:bottom w:val="nil"/>
              <w:right w:val="nil"/>
            </w:tcBorders>
            <w:shd w:val="clear" w:color="auto" w:fill="auto"/>
            <w:noWrap/>
            <w:vAlign w:val="center"/>
            <w:hideMark/>
          </w:tcPr>
          <w:p w14:paraId="705EEC4F" w14:textId="77777777" w:rsidR="00B9311E" w:rsidRPr="00BD77D8" w:rsidRDefault="00B9311E" w:rsidP="00B9311E">
            <w:pPr>
              <w:spacing w:after="0" w:line="240" w:lineRule="auto"/>
              <w:jc w:val="right"/>
              <w:rPr>
                <w:sz w:val="18"/>
                <w:szCs w:val="18"/>
              </w:rPr>
            </w:pPr>
            <w:r w:rsidRPr="00BD77D8">
              <w:rPr>
                <w:sz w:val="18"/>
                <w:szCs w:val="18"/>
              </w:rPr>
              <w:t xml:space="preserve">               258 </w:t>
            </w:r>
          </w:p>
        </w:tc>
        <w:tc>
          <w:tcPr>
            <w:tcW w:w="0" w:type="auto"/>
            <w:tcBorders>
              <w:top w:val="nil"/>
              <w:left w:val="nil"/>
              <w:bottom w:val="nil"/>
              <w:right w:val="nil"/>
            </w:tcBorders>
            <w:shd w:val="clear" w:color="auto" w:fill="auto"/>
            <w:noWrap/>
            <w:vAlign w:val="center"/>
            <w:hideMark/>
          </w:tcPr>
          <w:p w14:paraId="049C8A5D" w14:textId="77777777" w:rsidR="00B9311E" w:rsidRPr="00BD77D8" w:rsidRDefault="00B9311E" w:rsidP="00B9311E">
            <w:pPr>
              <w:spacing w:after="0" w:line="240" w:lineRule="auto"/>
              <w:jc w:val="right"/>
              <w:rPr>
                <w:sz w:val="18"/>
                <w:szCs w:val="18"/>
              </w:rPr>
            </w:pPr>
            <w:r w:rsidRPr="00BD77D8">
              <w:rPr>
                <w:sz w:val="18"/>
                <w:szCs w:val="18"/>
              </w:rPr>
              <w:t xml:space="preserve">                    6 </w:t>
            </w:r>
          </w:p>
        </w:tc>
        <w:tc>
          <w:tcPr>
            <w:tcW w:w="0" w:type="auto"/>
            <w:tcBorders>
              <w:top w:val="nil"/>
              <w:left w:val="nil"/>
              <w:bottom w:val="nil"/>
              <w:right w:val="nil"/>
            </w:tcBorders>
            <w:shd w:val="clear" w:color="auto" w:fill="auto"/>
            <w:noWrap/>
            <w:vAlign w:val="center"/>
            <w:hideMark/>
          </w:tcPr>
          <w:p w14:paraId="0474C869" w14:textId="77777777" w:rsidR="00B9311E" w:rsidRPr="00BD77D8" w:rsidRDefault="00B9311E" w:rsidP="00B9311E">
            <w:pPr>
              <w:spacing w:after="0" w:line="240" w:lineRule="auto"/>
              <w:jc w:val="right"/>
              <w:rPr>
                <w:sz w:val="18"/>
                <w:szCs w:val="18"/>
              </w:rPr>
            </w:pPr>
            <w:r w:rsidRPr="00BD77D8">
              <w:rPr>
                <w:sz w:val="18"/>
                <w:szCs w:val="18"/>
              </w:rPr>
              <w:t xml:space="preserve">                    6 </w:t>
            </w:r>
          </w:p>
        </w:tc>
        <w:tc>
          <w:tcPr>
            <w:tcW w:w="0" w:type="auto"/>
            <w:tcBorders>
              <w:top w:val="nil"/>
              <w:left w:val="nil"/>
              <w:bottom w:val="nil"/>
              <w:right w:val="nil"/>
            </w:tcBorders>
            <w:shd w:val="clear" w:color="auto" w:fill="auto"/>
            <w:noWrap/>
            <w:vAlign w:val="center"/>
            <w:hideMark/>
          </w:tcPr>
          <w:p w14:paraId="0F392795" w14:textId="77777777" w:rsidR="00B9311E" w:rsidRPr="00BD77D8" w:rsidRDefault="00B9311E" w:rsidP="00B9311E">
            <w:pPr>
              <w:spacing w:after="0" w:line="240" w:lineRule="auto"/>
              <w:jc w:val="right"/>
              <w:rPr>
                <w:sz w:val="18"/>
                <w:szCs w:val="18"/>
              </w:rPr>
            </w:pPr>
            <w:r w:rsidRPr="00BD77D8">
              <w:rPr>
                <w:sz w:val="18"/>
                <w:szCs w:val="18"/>
              </w:rPr>
              <w:t xml:space="preserve">                 27 </w:t>
            </w:r>
          </w:p>
        </w:tc>
        <w:tc>
          <w:tcPr>
            <w:tcW w:w="0" w:type="auto"/>
            <w:tcBorders>
              <w:top w:val="nil"/>
              <w:left w:val="nil"/>
              <w:bottom w:val="nil"/>
              <w:right w:val="nil"/>
            </w:tcBorders>
            <w:shd w:val="clear" w:color="auto" w:fill="auto"/>
            <w:noWrap/>
            <w:vAlign w:val="center"/>
            <w:hideMark/>
          </w:tcPr>
          <w:p w14:paraId="1EB044E4"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6B4F966C" w14:textId="77777777" w:rsidR="00B9311E" w:rsidRPr="00BD77D8" w:rsidRDefault="00B9311E" w:rsidP="00B9311E">
            <w:pPr>
              <w:spacing w:after="0" w:line="240" w:lineRule="auto"/>
              <w:jc w:val="right"/>
              <w:rPr>
                <w:sz w:val="18"/>
                <w:szCs w:val="18"/>
              </w:rPr>
            </w:pPr>
            <w:r w:rsidRPr="00BD77D8">
              <w:rPr>
                <w:sz w:val="18"/>
                <w:szCs w:val="18"/>
              </w:rPr>
              <w:t xml:space="preserve">               297 </w:t>
            </w:r>
          </w:p>
        </w:tc>
      </w:tr>
      <w:tr w:rsidR="00BD77D8" w:rsidRPr="00BD77D8" w14:paraId="2242F999" w14:textId="77777777" w:rsidTr="003057FB">
        <w:trPr>
          <w:trHeight w:val="245"/>
        </w:trPr>
        <w:tc>
          <w:tcPr>
            <w:tcW w:w="0" w:type="auto"/>
            <w:tcBorders>
              <w:top w:val="nil"/>
              <w:left w:val="nil"/>
              <w:bottom w:val="nil"/>
              <w:right w:val="nil"/>
            </w:tcBorders>
            <w:shd w:val="clear" w:color="auto" w:fill="auto"/>
            <w:noWrap/>
            <w:vAlign w:val="center"/>
            <w:hideMark/>
          </w:tcPr>
          <w:p w14:paraId="35A4C22E" w14:textId="77777777" w:rsidR="00B9311E" w:rsidRPr="00BD77D8" w:rsidRDefault="00B9311E" w:rsidP="00B9311E">
            <w:pPr>
              <w:spacing w:after="0" w:line="240" w:lineRule="auto"/>
              <w:rPr>
                <w:sz w:val="18"/>
                <w:szCs w:val="18"/>
              </w:rPr>
            </w:pPr>
            <w:r w:rsidRPr="00BD77D8">
              <w:rPr>
                <w:sz w:val="18"/>
                <w:szCs w:val="18"/>
              </w:rPr>
              <w:t xml:space="preserve"> Deputy Director-General, Disability Connect Queensland </w:t>
            </w:r>
          </w:p>
        </w:tc>
        <w:tc>
          <w:tcPr>
            <w:tcW w:w="0" w:type="auto"/>
            <w:tcBorders>
              <w:top w:val="nil"/>
              <w:left w:val="nil"/>
              <w:bottom w:val="nil"/>
              <w:right w:val="nil"/>
            </w:tcBorders>
            <w:shd w:val="clear" w:color="auto" w:fill="auto"/>
            <w:noWrap/>
            <w:vAlign w:val="center"/>
            <w:hideMark/>
          </w:tcPr>
          <w:p w14:paraId="0CBA2226" w14:textId="77777777" w:rsidR="00B9311E" w:rsidRPr="00BD77D8" w:rsidRDefault="00B9311E" w:rsidP="00B9311E">
            <w:pPr>
              <w:spacing w:after="0" w:line="240" w:lineRule="auto"/>
              <w:jc w:val="right"/>
              <w:rPr>
                <w:sz w:val="18"/>
                <w:szCs w:val="18"/>
              </w:rPr>
            </w:pPr>
            <w:r w:rsidRPr="00BD77D8">
              <w:rPr>
                <w:sz w:val="18"/>
                <w:szCs w:val="18"/>
              </w:rPr>
              <w:t xml:space="preserve">               260 </w:t>
            </w:r>
          </w:p>
        </w:tc>
        <w:tc>
          <w:tcPr>
            <w:tcW w:w="0" w:type="auto"/>
            <w:tcBorders>
              <w:top w:val="nil"/>
              <w:left w:val="nil"/>
              <w:bottom w:val="nil"/>
              <w:right w:val="nil"/>
            </w:tcBorders>
            <w:shd w:val="clear" w:color="auto" w:fill="auto"/>
            <w:noWrap/>
            <w:vAlign w:val="center"/>
            <w:hideMark/>
          </w:tcPr>
          <w:p w14:paraId="5BBCD190" w14:textId="77777777" w:rsidR="00B9311E" w:rsidRPr="00BD77D8" w:rsidRDefault="00B9311E" w:rsidP="00B9311E">
            <w:pPr>
              <w:spacing w:after="0" w:line="240" w:lineRule="auto"/>
              <w:jc w:val="right"/>
              <w:rPr>
                <w:sz w:val="18"/>
                <w:szCs w:val="18"/>
              </w:rPr>
            </w:pPr>
            <w:r w:rsidRPr="00BD77D8">
              <w:rPr>
                <w:sz w:val="18"/>
                <w:szCs w:val="18"/>
              </w:rPr>
              <w:t xml:space="preserve">                    5 </w:t>
            </w:r>
          </w:p>
        </w:tc>
        <w:tc>
          <w:tcPr>
            <w:tcW w:w="0" w:type="auto"/>
            <w:tcBorders>
              <w:top w:val="nil"/>
              <w:left w:val="nil"/>
              <w:bottom w:val="nil"/>
              <w:right w:val="nil"/>
            </w:tcBorders>
            <w:shd w:val="clear" w:color="auto" w:fill="auto"/>
            <w:noWrap/>
            <w:vAlign w:val="center"/>
            <w:hideMark/>
          </w:tcPr>
          <w:p w14:paraId="75C05F45" w14:textId="77777777" w:rsidR="00B9311E" w:rsidRPr="00BD77D8" w:rsidRDefault="00B9311E" w:rsidP="00B9311E">
            <w:pPr>
              <w:spacing w:after="0" w:line="240" w:lineRule="auto"/>
              <w:jc w:val="right"/>
              <w:rPr>
                <w:sz w:val="18"/>
                <w:szCs w:val="18"/>
              </w:rPr>
            </w:pPr>
            <w:r w:rsidRPr="00BD77D8">
              <w:rPr>
                <w:sz w:val="18"/>
                <w:szCs w:val="18"/>
              </w:rPr>
              <w:t xml:space="preserve">                    6 </w:t>
            </w:r>
          </w:p>
        </w:tc>
        <w:tc>
          <w:tcPr>
            <w:tcW w:w="0" w:type="auto"/>
            <w:tcBorders>
              <w:top w:val="nil"/>
              <w:left w:val="nil"/>
              <w:bottom w:val="nil"/>
              <w:right w:val="nil"/>
            </w:tcBorders>
            <w:shd w:val="clear" w:color="auto" w:fill="auto"/>
            <w:noWrap/>
            <w:vAlign w:val="center"/>
            <w:hideMark/>
          </w:tcPr>
          <w:p w14:paraId="7013D1B9" w14:textId="77777777" w:rsidR="00B9311E" w:rsidRPr="00BD77D8" w:rsidRDefault="00B9311E" w:rsidP="00B9311E">
            <w:pPr>
              <w:spacing w:after="0" w:line="240" w:lineRule="auto"/>
              <w:jc w:val="right"/>
              <w:rPr>
                <w:sz w:val="18"/>
                <w:szCs w:val="18"/>
              </w:rPr>
            </w:pPr>
            <w:r w:rsidRPr="00BD77D8">
              <w:rPr>
                <w:sz w:val="18"/>
                <w:szCs w:val="18"/>
              </w:rPr>
              <w:t xml:space="preserve">                 24 </w:t>
            </w:r>
          </w:p>
        </w:tc>
        <w:tc>
          <w:tcPr>
            <w:tcW w:w="0" w:type="auto"/>
            <w:tcBorders>
              <w:top w:val="nil"/>
              <w:left w:val="nil"/>
              <w:bottom w:val="nil"/>
              <w:right w:val="nil"/>
            </w:tcBorders>
            <w:shd w:val="clear" w:color="auto" w:fill="auto"/>
            <w:noWrap/>
            <w:vAlign w:val="center"/>
            <w:hideMark/>
          </w:tcPr>
          <w:p w14:paraId="4361A98E"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14B29676" w14:textId="77777777" w:rsidR="00B9311E" w:rsidRPr="00BD77D8" w:rsidRDefault="00B9311E" w:rsidP="00B9311E">
            <w:pPr>
              <w:spacing w:after="0" w:line="240" w:lineRule="auto"/>
              <w:jc w:val="right"/>
              <w:rPr>
                <w:sz w:val="18"/>
                <w:szCs w:val="18"/>
              </w:rPr>
            </w:pPr>
            <w:r w:rsidRPr="00BD77D8">
              <w:rPr>
                <w:sz w:val="18"/>
                <w:szCs w:val="18"/>
              </w:rPr>
              <w:t xml:space="preserve">               295 </w:t>
            </w:r>
          </w:p>
        </w:tc>
      </w:tr>
      <w:tr w:rsidR="00BD77D8" w:rsidRPr="00BD77D8" w14:paraId="31132373" w14:textId="77777777" w:rsidTr="003057FB">
        <w:trPr>
          <w:trHeight w:val="245"/>
        </w:trPr>
        <w:tc>
          <w:tcPr>
            <w:tcW w:w="0" w:type="auto"/>
            <w:tcBorders>
              <w:top w:val="nil"/>
              <w:left w:val="nil"/>
              <w:bottom w:val="nil"/>
              <w:right w:val="nil"/>
            </w:tcBorders>
            <w:shd w:val="clear" w:color="auto" w:fill="auto"/>
            <w:noWrap/>
            <w:vAlign w:val="center"/>
            <w:hideMark/>
          </w:tcPr>
          <w:p w14:paraId="7E6E160E" w14:textId="77777777" w:rsidR="00B9311E" w:rsidRPr="00BD77D8" w:rsidRDefault="00B9311E" w:rsidP="00B9311E">
            <w:pPr>
              <w:spacing w:after="0" w:line="240" w:lineRule="auto"/>
              <w:rPr>
                <w:sz w:val="18"/>
                <w:szCs w:val="18"/>
              </w:rPr>
            </w:pPr>
            <w:r w:rsidRPr="00BD77D8">
              <w:rPr>
                <w:sz w:val="18"/>
                <w:szCs w:val="18"/>
              </w:rPr>
              <w:t xml:space="preserve"> Deputy Director-General, Disability Accommodation, Respite and Forensic Services  </w:t>
            </w:r>
          </w:p>
        </w:tc>
        <w:tc>
          <w:tcPr>
            <w:tcW w:w="0" w:type="auto"/>
            <w:tcBorders>
              <w:top w:val="nil"/>
              <w:left w:val="nil"/>
              <w:bottom w:val="nil"/>
              <w:right w:val="nil"/>
            </w:tcBorders>
            <w:shd w:val="clear" w:color="auto" w:fill="auto"/>
            <w:noWrap/>
            <w:vAlign w:val="center"/>
            <w:hideMark/>
          </w:tcPr>
          <w:p w14:paraId="60510F1F" w14:textId="77777777" w:rsidR="00B9311E" w:rsidRPr="00BD77D8" w:rsidRDefault="00B9311E" w:rsidP="00B9311E">
            <w:pPr>
              <w:spacing w:after="0" w:line="240" w:lineRule="auto"/>
              <w:jc w:val="right"/>
              <w:rPr>
                <w:sz w:val="18"/>
                <w:szCs w:val="18"/>
              </w:rPr>
            </w:pPr>
            <w:r w:rsidRPr="00BD77D8">
              <w:rPr>
                <w:sz w:val="18"/>
                <w:szCs w:val="18"/>
              </w:rPr>
              <w:t xml:space="preserve">               274 </w:t>
            </w:r>
          </w:p>
        </w:tc>
        <w:tc>
          <w:tcPr>
            <w:tcW w:w="0" w:type="auto"/>
            <w:tcBorders>
              <w:top w:val="nil"/>
              <w:left w:val="nil"/>
              <w:bottom w:val="nil"/>
              <w:right w:val="nil"/>
            </w:tcBorders>
            <w:shd w:val="clear" w:color="auto" w:fill="auto"/>
            <w:noWrap/>
            <w:vAlign w:val="center"/>
            <w:hideMark/>
          </w:tcPr>
          <w:p w14:paraId="20BDF1CE" w14:textId="77777777" w:rsidR="00B9311E" w:rsidRPr="00BD77D8" w:rsidRDefault="00B9311E" w:rsidP="00B9311E">
            <w:pPr>
              <w:spacing w:after="0" w:line="240" w:lineRule="auto"/>
              <w:jc w:val="right"/>
              <w:rPr>
                <w:sz w:val="18"/>
                <w:szCs w:val="18"/>
              </w:rPr>
            </w:pPr>
            <w:r w:rsidRPr="00BD77D8">
              <w:rPr>
                <w:sz w:val="18"/>
                <w:szCs w:val="18"/>
              </w:rPr>
              <w:t xml:space="preserve">                    5 </w:t>
            </w:r>
          </w:p>
        </w:tc>
        <w:tc>
          <w:tcPr>
            <w:tcW w:w="0" w:type="auto"/>
            <w:tcBorders>
              <w:top w:val="nil"/>
              <w:left w:val="nil"/>
              <w:bottom w:val="nil"/>
              <w:right w:val="nil"/>
            </w:tcBorders>
            <w:shd w:val="clear" w:color="auto" w:fill="auto"/>
            <w:noWrap/>
            <w:vAlign w:val="center"/>
            <w:hideMark/>
          </w:tcPr>
          <w:p w14:paraId="31F221A3" w14:textId="77777777" w:rsidR="00B9311E" w:rsidRPr="00BD77D8" w:rsidRDefault="00B9311E" w:rsidP="00B9311E">
            <w:pPr>
              <w:spacing w:after="0" w:line="240" w:lineRule="auto"/>
              <w:jc w:val="right"/>
              <w:rPr>
                <w:sz w:val="18"/>
                <w:szCs w:val="18"/>
              </w:rPr>
            </w:pPr>
            <w:r w:rsidRPr="00BD77D8">
              <w:rPr>
                <w:sz w:val="18"/>
                <w:szCs w:val="18"/>
              </w:rPr>
              <w:t xml:space="preserve">                    6 </w:t>
            </w:r>
          </w:p>
        </w:tc>
        <w:tc>
          <w:tcPr>
            <w:tcW w:w="0" w:type="auto"/>
            <w:tcBorders>
              <w:top w:val="nil"/>
              <w:left w:val="nil"/>
              <w:bottom w:val="nil"/>
              <w:right w:val="nil"/>
            </w:tcBorders>
            <w:shd w:val="clear" w:color="auto" w:fill="auto"/>
            <w:noWrap/>
            <w:vAlign w:val="center"/>
            <w:hideMark/>
          </w:tcPr>
          <w:p w14:paraId="31012DBA" w14:textId="77777777" w:rsidR="00B9311E" w:rsidRPr="00BD77D8" w:rsidRDefault="00B9311E" w:rsidP="00B9311E">
            <w:pPr>
              <w:spacing w:after="0" w:line="240" w:lineRule="auto"/>
              <w:jc w:val="right"/>
              <w:rPr>
                <w:sz w:val="18"/>
                <w:szCs w:val="18"/>
              </w:rPr>
            </w:pPr>
            <w:r w:rsidRPr="00BD77D8">
              <w:rPr>
                <w:sz w:val="18"/>
                <w:szCs w:val="18"/>
              </w:rPr>
              <w:t xml:space="preserve">                 26 </w:t>
            </w:r>
          </w:p>
        </w:tc>
        <w:tc>
          <w:tcPr>
            <w:tcW w:w="0" w:type="auto"/>
            <w:tcBorders>
              <w:top w:val="nil"/>
              <w:left w:val="nil"/>
              <w:bottom w:val="nil"/>
              <w:right w:val="nil"/>
            </w:tcBorders>
            <w:shd w:val="clear" w:color="auto" w:fill="auto"/>
            <w:noWrap/>
            <w:vAlign w:val="center"/>
            <w:hideMark/>
          </w:tcPr>
          <w:p w14:paraId="1544054D"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6D8C0E72" w14:textId="77777777" w:rsidR="00B9311E" w:rsidRPr="00BD77D8" w:rsidRDefault="00B9311E" w:rsidP="00B9311E">
            <w:pPr>
              <w:spacing w:after="0" w:line="240" w:lineRule="auto"/>
              <w:jc w:val="right"/>
              <w:rPr>
                <w:sz w:val="18"/>
                <w:szCs w:val="18"/>
              </w:rPr>
            </w:pPr>
            <w:r w:rsidRPr="00BD77D8">
              <w:rPr>
                <w:sz w:val="18"/>
                <w:szCs w:val="18"/>
              </w:rPr>
              <w:t xml:space="preserve">               311 </w:t>
            </w:r>
          </w:p>
        </w:tc>
      </w:tr>
      <w:tr w:rsidR="00BD77D8" w:rsidRPr="00BD77D8" w14:paraId="7A6604AC" w14:textId="77777777" w:rsidTr="003057FB">
        <w:trPr>
          <w:trHeight w:val="245"/>
        </w:trPr>
        <w:tc>
          <w:tcPr>
            <w:tcW w:w="0" w:type="auto"/>
            <w:tcBorders>
              <w:top w:val="nil"/>
              <w:left w:val="nil"/>
              <w:bottom w:val="nil"/>
              <w:right w:val="nil"/>
            </w:tcBorders>
            <w:shd w:val="clear" w:color="auto" w:fill="auto"/>
            <w:noWrap/>
            <w:vAlign w:val="center"/>
            <w:hideMark/>
          </w:tcPr>
          <w:p w14:paraId="4643CC51" w14:textId="77777777" w:rsidR="00B9311E" w:rsidRPr="00BD77D8" w:rsidRDefault="00B9311E" w:rsidP="00B9311E">
            <w:pPr>
              <w:spacing w:after="0" w:line="240" w:lineRule="auto"/>
              <w:rPr>
                <w:sz w:val="18"/>
                <w:szCs w:val="18"/>
              </w:rPr>
            </w:pPr>
            <w:r w:rsidRPr="00BD77D8">
              <w:rPr>
                <w:sz w:val="18"/>
                <w:szCs w:val="18"/>
              </w:rPr>
              <w:t xml:space="preserve"> Chief Human Resources Officer </w:t>
            </w:r>
          </w:p>
        </w:tc>
        <w:tc>
          <w:tcPr>
            <w:tcW w:w="0" w:type="auto"/>
            <w:tcBorders>
              <w:top w:val="nil"/>
              <w:left w:val="nil"/>
              <w:bottom w:val="nil"/>
              <w:right w:val="nil"/>
            </w:tcBorders>
            <w:shd w:val="clear" w:color="auto" w:fill="auto"/>
            <w:noWrap/>
            <w:vAlign w:val="center"/>
            <w:hideMark/>
          </w:tcPr>
          <w:p w14:paraId="32021B97" w14:textId="77777777" w:rsidR="00B9311E" w:rsidRPr="00BD77D8" w:rsidRDefault="00B9311E" w:rsidP="00B9311E">
            <w:pPr>
              <w:spacing w:after="0" w:line="240" w:lineRule="auto"/>
              <w:jc w:val="right"/>
              <w:rPr>
                <w:sz w:val="18"/>
                <w:szCs w:val="18"/>
              </w:rPr>
            </w:pPr>
            <w:r w:rsidRPr="00BD77D8">
              <w:rPr>
                <w:sz w:val="18"/>
                <w:szCs w:val="18"/>
              </w:rPr>
              <w:t xml:space="preserve">               235 </w:t>
            </w:r>
          </w:p>
        </w:tc>
        <w:tc>
          <w:tcPr>
            <w:tcW w:w="0" w:type="auto"/>
            <w:tcBorders>
              <w:top w:val="nil"/>
              <w:left w:val="nil"/>
              <w:bottom w:val="nil"/>
              <w:right w:val="nil"/>
            </w:tcBorders>
            <w:shd w:val="clear" w:color="auto" w:fill="auto"/>
            <w:noWrap/>
            <w:vAlign w:val="center"/>
            <w:hideMark/>
          </w:tcPr>
          <w:p w14:paraId="15E9335E" w14:textId="77777777" w:rsidR="00B9311E" w:rsidRPr="00BD77D8" w:rsidRDefault="00B9311E" w:rsidP="00B9311E">
            <w:pPr>
              <w:spacing w:after="0" w:line="240" w:lineRule="auto"/>
              <w:jc w:val="right"/>
              <w:rPr>
                <w:sz w:val="18"/>
                <w:szCs w:val="18"/>
              </w:rPr>
            </w:pPr>
            <w:r w:rsidRPr="00BD77D8">
              <w:rPr>
                <w:sz w:val="18"/>
                <w:szCs w:val="18"/>
              </w:rPr>
              <w:t xml:space="preserve">                    5 </w:t>
            </w:r>
          </w:p>
        </w:tc>
        <w:tc>
          <w:tcPr>
            <w:tcW w:w="0" w:type="auto"/>
            <w:tcBorders>
              <w:top w:val="nil"/>
              <w:left w:val="nil"/>
              <w:bottom w:val="nil"/>
              <w:right w:val="nil"/>
            </w:tcBorders>
            <w:shd w:val="clear" w:color="auto" w:fill="auto"/>
            <w:noWrap/>
            <w:vAlign w:val="center"/>
            <w:hideMark/>
          </w:tcPr>
          <w:p w14:paraId="2E6469E0" w14:textId="77777777" w:rsidR="00B9311E" w:rsidRPr="00BD77D8" w:rsidRDefault="00B9311E" w:rsidP="00B9311E">
            <w:pPr>
              <w:spacing w:after="0" w:line="240" w:lineRule="auto"/>
              <w:jc w:val="right"/>
              <w:rPr>
                <w:sz w:val="18"/>
                <w:szCs w:val="18"/>
              </w:rPr>
            </w:pPr>
            <w:r w:rsidRPr="00BD77D8">
              <w:rPr>
                <w:sz w:val="18"/>
                <w:szCs w:val="18"/>
              </w:rPr>
              <w:t xml:space="preserve">                    5 </w:t>
            </w:r>
          </w:p>
        </w:tc>
        <w:tc>
          <w:tcPr>
            <w:tcW w:w="0" w:type="auto"/>
            <w:tcBorders>
              <w:top w:val="nil"/>
              <w:left w:val="nil"/>
              <w:bottom w:val="nil"/>
              <w:right w:val="nil"/>
            </w:tcBorders>
            <w:shd w:val="clear" w:color="auto" w:fill="auto"/>
            <w:noWrap/>
            <w:vAlign w:val="center"/>
            <w:hideMark/>
          </w:tcPr>
          <w:p w14:paraId="5D3E9036" w14:textId="77777777" w:rsidR="00B9311E" w:rsidRPr="00BD77D8" w:rsidRDefault="00B9311E" w:rsidP="00B9311E">
            <w:pPr>
              <w:spacing w:after="0" w:line="240" w:lineRule="auto"/>
              <w:jc w:val="right"/>
              <w:rPr>
                <w:sz w:val="18"/>
                <w:szCs w:val="18"/>
              </w:rPr>
            </w:pPr>
            <w:r w:rsidRPr="00BD77D8">
              <w:rPr>
                <w:sz w:val="18"/>
                <w:szCs w:val="18"/>
              </w:rPr>
              <w:t xml:space="preserve">                 22 </w:t>
            </w:r>
          </w:p>
        </w:tc>
        <w:tc>
          <w:tcPr>
            <w:tcW w:w="0" w:type="auto"/>
            <w:tcBorders>
              <w:top w:val="nil"/>
              <w:left w:val="nil"/>
              <w:bottom w:val="nil"/>
              <w:right w:val="nil"/>
            </w:tcBorders>
            <w:shd w:val="clear" w:color="auto" w:fill="auto"/>
            <w:noWrap/>
            <w:vAlign w:val="center"/>
            <w:hideMark/>
          </w:tcPr>
          <w:p w14:paraId="442F5FA7"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6875630E" w14:textId="77777777" w:rsidR="00B9311E" w:rsidRPr="00BD77D8" w:rsidRDefault="00B9311E" w:rsidP="00B9311E">
            <w:pPr>
              <w:spacing w:after="0" w:line="240" w:lineRule="auto"/>
              <w:jc w:val="right"/>
              <w:rPr>
                <w:sz w:val="18"/>
                <w:szCs w:val="18"/>
              </w:rPr>
            </w:pPr>
            <w:r w:rsidRPr="00BD77D8">
              <w:rPr>
                <w:sz w:val="18"/>
                <w:szCs w:val="18"/>
              </w:rPr>
              <w:t xml:space="preserve">               267 </w:t>
            </w:r>
          </w:p>
        </w:tc>
      </w:tr>
      <w:tr w:rsidR="00BD77D8" w:rsidRPr="00BD77D8" w14:paraId="6089109A" w14:textId="77777777" w:rsidTr="003057FB">
        <w:trPr>
          <w:trHeight w:val="245"/>
        </w:trPr>
        <w:tc>
          <w:tcPr>
            <w:tcW w:w="0" w:type="auto"/>
            <w:tcBorders>
              <w:top w:val="nil"/>
              <w:left w:val="nil"/>
              <w:bottom w:val="nil"/>
              <w:right w:val="nil"/>
            </w:tcBorders>
            <w:shd w:val="clear" w:color="auto" w:fill="auto"/>
            <w:noWrap/>
            <w:vAlign w:val="center"/>
            <w:hideMark/>
          </w:tcPr>
          <w:p w14:paraId="36CE2C9A" w14:textId="77777777" w:rsidR="00B9311E" w:rsidRPr="00BD77D8" w:rsidRDefault="00B9311E" w:rsidP="00B9311E">
            <w:pPr>
              <w:spacing w:after="0" w:line="240" w:lineRule="auto"/>
              <w:rPr>
                <w:sz w:val="18"/>
                <w:szCs w:val="18"/>
              </w:rPr>
            </w:pPr>
            <w:r w:rsidRPr="00BD77D8">
              <w:rPr>
                <w:sz w:val="18"/>
                <w:szCs w:val="18"/>
              </w:rPr>
              <w:t xml:space="preserve"> Chief Finance Officer </w:t>
            </w:r>
          </w:p>
        </w:tc>
        <w:tc>
          <w:tcPr>
            <w:tcW w:w="0" w:type="auto"/>
            <w:tcBorders>
              <w:top w:val="nil"/>
              <w:left w:val="nil"/>
              <w:bottom w:val="nil"/>
              <w:right w:val="nil"/>
            </w:tcBorders>
            <w:shd w:val="clear" w:color="auto" w:fill="auto"/>
            <w:noWrap/>
            <w:vAlign w:val="center"/>
            <w:hideMark/>
          </w:tcPr>
          <w:p w14:paraId="1E91DC00" w14:textId="77777777" w:rsidR="00B9311E" w:rsidRPr="00BD77D8" w:rsidRDefault="00B9311E" w:rsidP="00B9311E">
            <w:pPr>
              <w:spacing w:after="0" w:line="240" w:lineRule="auto"/>
              <w:jc w:val="right"/>
              <w:rPr>
                <w:sz w:val="18"/>
                <w:szCs w:val="18"/>
              </w:rPr>
            </w:pPr>
            <w:r w:rsidRPr="00BD77D8">
              <w:rPr>
                <w:sz w:val="18"/>
                <w:szCs w:val="18"/>
              </w:rPr>
              <w:t xml:space="preserve">               137 </w:t>
            </w:r>
          </w:p>
        </w:tc>
        <w:tc>
          <w:tcPr>
            <w:tcW w:w="0" w:type="auto"/>
            <w:tcBorders>
              <w:top w:val="nil"/>
              <w:left w:val="nil"/>
              <w:bottom w:val="nil"/>
              <w:right w:val="nil"/>
            </w:tcBorders>
            <w:shd w:val="clear" w:color="auto" w:fill="auto"/>
            <w:noWrap/>
            <w:vAlign w:val="center"/>
            <w:hideMark/>
          </w:tcPr>
          <w:p w14:paraId="5CB1AD7C" w14:textId="77777777" w:rsidR="00B9311E" w:rsidRPr="00BD77D8" w:rsidRDefault="00B9311E" w:rsidP="00B9311E">
            <w:pPr>
              <w:spacing w:after="0" w:line="240" w:lineRule="auto"/>
              <w:jc w:val="right"/>
              <w:rPr>
                <w:sz w:val="18"/>
                <w:szCs w:val="18"/>
              </w:rPr>
            </w:pPr>
            <w:r w:rsidRPr="00BD77D8">
              <w:rPr>
                <w:sz w:val="18"/>
                <w:szCs w:val="18"/>
              </w:rPr>
              <w:t xml:space="preserve">                    3 </w:t>
            </w:r>
          </w:p>
        </w:tc>
        <w:tc>
          <w:tcPr>
            <w:tcW w:w="0" w:type="auto"/>
            <w:tcBorders>
              <w:top w:val="nil"/>
              <w:left w:val="nil"/>
              <w:bottom w:val="nil"/>
              <w:right w:val="nil"/>
            </w:tcBorders>
            <w:shd w:val="clear" w:color="auto" w:fill="auto"/>
            <w:noWrap/>
            <w:vAlign w:val="center"/>
            <w:hideMark/>
          </w:tcPr>
          <w:p w14:paraId="275964CF" w14:textId="77777777" w:rsidR="00B9311E" w:rsidRPr="00BD77D8" w:rsidRDefault="00B9311E" w:rsidP="00B9311E">
            <w:pPr>
              <w:spacing w:after="0" w:line="240" w:lineRule="auto"/>
              <w:jc w:val="right"/>
              <w:rPr>
                <w:sz w:val="18"/>
                <w:szCs w:val="18"/>
              </w:rPr>
            </w:pPr>
            <w:r w:rsidRPr="00BD77D8">
              <w:rPr>
                <w:sz w:val="18"/>
                <w:szCs w:val="18"/>
              </w:rPr>
              <w:t xml:space="preserve">                    3 </w:t>
            </w:r>
          </w:p>
        </w:tc>
        <w:tc>
          <w:tcPr>
            <w:tcW w:w="0" w:type="auto"/>
            <w:tcBorders>
              <w:top w:val="nil"/>
              <w:left w:val="nil"/>
              <w:bottom w:val="nil"/>
              <w:right w:val="nil"/>
            </w:tcBorders>
            <w:shd w:val="clear" w:color="auto" w:fill="auto"/>
            <w:noWrap/>
            <w:vAlign w:val="center"/>
            <w:hideMark/>
          </w:tcPr>
          <w:p w14:paraId="2B7D2F38" w14:textId="77777777" w:rsidR="00B9311E" w:rsidRPr="00BD77D8" w:rsidRDefault="00B9311E" w:rsidP="00B9311E">
            <w:pPr>
              <w:spacing w:after="0" w:line="240" w:lineRule="auto"/>
              <w:jc w:val="right"/>
              <w:rPr>
                <w:sz w:val="18"/>
                <w:szCs w:val="18"/>
              </w:rPr>
            </w:pPr>
            <w:r w:rsidRPr="00BD77D8">
              <w:rPr>
                <w:sz w:val="18"/>
                <w:szCs w:val="18"/>
              </w:rPr>
              <w:t xml:space="preserve">                 15 </w:t>
            </w:r>
          </w:p>
        </w:tc>
        <w:tc>
          <w:tcPr>
            <w:tcW w:w="0" w:type="auto"/>
            <w:tcBorders>
              <w:top w:val="nil"/>
              <w:left w:val="nil"/>
              <w:bottom w:val="nil"/>
              <w:right w:val="nil"/>
            </w:tcBorders>
            <w:shd w:val="clear" w:color="auto" w:fill="auto"/>
            <w:noWrap/>
            <w:vAlign w:val="center"/>
            <w:hideMark/>
          </w:tcPr>
          <w:p w14:paraId="7C893EE6"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383EE94D" w14:textId="77777777" w:rsidR="00B9311E" w:rsidRPr="00BD77D8" w:rsidRDefault="00B9311E" w:rsidP="00B9311E">
            <w:pPr>
              <w:spacing w:after="0" w:line="240" w:lineRule="auto"/>
              <w:jc w:val="right"/>
              <w:rPr>
                <w:sz w:val="18"/>
                <w:szCs w:val="18"/>
              </w:rPr>
            </w:pPr>
            <w:r w:rsidRPr="00BD77D8">
              <w:rPr>
                <w:sz w:val="18"/>
                <w:szCs w:val="18"/>
              </w:rPr>
              <w:t xml:space="preserve">               158 </w:t>
            </w:r>
          </w:p>
        </w:tc>
      </w:tr>
      <w:tr w:rsidR="00BD77D8" w:rsidRPr="00BD77D8" w14:paraId="69B62A35" w14:textId="77777777" w:rsidTr="003057FB">
        <w:trPr>
          <w:trHeight w:val="245"/>
        </w:trPr>
        <w:tc>
          <w:tcPr>
            <w:tcW w:w="0" w:type="auto"/>
            <w:tcBorders>
              <w:top w:val="nil"/>
              <w:left w:val="nil"/>
              <w:bottom w:val="nil"/>
              <w:right w:val="nil"/>
            </w:tcBorders>
            <w:shd w:val="clear" w:color="auto" w:fill="auto"/>
            <w:noWrap/>
            <w:vAlign w:val="center"/>
            <w:hideMark/>
          </w:tcPr>
          <w:p w14:paraId="054ED7CA" w14:textId="77777777" w:rsidR="00B9311E" w:rsidRPr="00BD77D8" w:rsidRDefault="00B9311E" w:rsidP="00B9311E">
            <w:pPr>
              <w:spacing w:after="0" w:line="240" w:lineRule="auto"/>
              <w:rPr>
                <w:sz w:val="18"/>
                <w:szCs w:val="18"/>
              </w:rPr>
            </w:pPr>
            <w:r w:rsidRPr="00BD77D8">
              <w:rPr>
                <w:sz w:val="18"/>
                <w:szCs w:val="18"/>
              </w:rPr>
              <w:t xml:space="preserve"> Chief Finance Officer (acting 29/09/2021 to 06/03/2022) # </w:t>
            </w:r>
          </w:p>
        </w:tc>
        <w:tc>
          <w:tcPr>
            <w:tcW w:w="0" w:type="auto"/>
            <w:tcBorders>
              <w:top w:val="nil"/>
              <w:left w:val="nil"/>
              <w:bottom w:val="nil"/>
              <w:right w:val="nil"/>
            </w:tcBorders>
            <w:shd w:val="clear" w:color="auto" w:fill="auto"/>
            <w:noWrap/>
            <w:vAlign w:val="center"/>
            <w:hideMark/>
          </w:tcPr>
          <w:p w14:paraId="3CB90CD1" w14:textId="77777777" w:rsidR="00B9311E" w:rsidRPr="00BD77D8" w:rsidRDefault="00B9311E" w:rsidP="00B9311E">
            <w:pPr>
              <w:spacing w:after="0" w:line="240" w:lineRule="auto"/>
              <w:jc w:val="right"/>
              <w:rPr>
                <w:sz w:val="18"/>
                <w:szCs w:val="18"/>
              </w:rPr>
            </w:pPr>
            <w:r w:rsidRPr="00BD77D8">
              <w:rPr>
                <w:sz w:val="18"/>
                <w:szCs w:val="18"/>
              </w:rPr>
              <w:t xml:space="preserve">               106 </w:t>
            </w:r>
          </w:p>
        </w:tc>
        <w:tc>
          <w:tcPr>
            <w:tcW w:w="0" w:type="auto"/>
            <w:tcBorders>
              <w:top w:val="nil"/>
              <w:left w:val="nil"/>
              <w:bottom w:val="nil"/>
              <w:right w:val="nil"/>
            </w:tcBorders>
            <w:shd w:val="clear" w:color="auto" w:fill="auto"/>
            <w:noWrap/>
            <w:vAlign w:val="center"/>
            <w:hideMark/>
          </w:tcPr>
          <w:p w14:paraId="222D7CC1" w14:textId="77777777" w:rsidR="00B9311E" w:rsidRPr="00BD77D8" w:rsidRDefault="00B9311E" w:rsidP="00B9311E">
            <w:pPr>
              <w:spacing w:after="0" w:line="240" w:lineRule="auto"/>
              <w:jc w:val="right"/>
              <w:rPr>
                <w:sz w:val="18"/>
                <w:szCs w:val="18"/>
              </w:rPr>
            </w:pPr>
            <w:r w:rsidRPr="00BD77D8">
              <w:rPr>
                <w:sz w:val="18"/>
                <w:szCs w:val="18"/>
              </w:rPr>
              <w:t xml:space="preserve">                    1 </w:t>
            </w:r>
          </w:p>
        </w:tc>
        <w:tc>
          <w:tcPr>
            <w:tcW w:w="0" w:type="auto"/>
            <w:tcBorders>
              <w:top w:val="nil"/>
              <w:left w:val="nil"/>
              <w:bottom w:val="nil"/>
              <w:right w:val="nil"/>
            </w:tcBorders>
            <w:shd w:val="clear" w:color="auto" w:fill="auto"/>
            <w:noWrap/>
            <w:vAlign w:val="center"/>
            <w:hideMark/>
          </w:tcPr>
          <w:p w14:paraId="4617AEE3"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159D0BD7" w14:textId="77777777" w:rsidR="00B9311E" w:rsidRPr="00BD77D8" w:rsidRDefault="00B9311E" w:rsidP="00B9311E">
            <w:pPr>
              <w:spacing w:after="0" w:line="240" w:lineRule="auto"/>
              <w:jc w:val="right"/>
              <w:rPr>
                <w:sz w:val="18"/>
                <w:szCs w:val="18"/>
              </w:rPr>
            </w:pPr>
            <w:r w:rsidRPr="00BD77D8">
              <w:rPr>
                <w:sz w:val="18"/>
                <w:szCs w:val="18"/>
              </w:rPr>
              <w:t xml:space="preserve">                    8 </w:t>
            </w:r>
          </w:p>
        </w:tc>
        <w:tc>
          <w:tcPr>
            <w:tcW w:w="0" w:type="auto"/>
            <w:tcBorders>
              <w:top w:val="nil"/>
              <w:left w:val="nil"/>
              <w:bottom w:val="nil"/>
              <w:right w:val="nil"/>
            </w:tcBorders>
            <w:shd w:val="clear" w:color="auto" w:fill="auto"/>
            <w:noWrap/>
            <w:vAlign w:val="center"/>
            <w:hideMark/>
          </w:tcPr>
          <w:p w14:paraId="44DBF49F"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45445679" w14:textId="77777777" w:rsidR="00B9311E" w:rsidRPr="00BD77D8" w:rsidRDefault="00B9311E" w:rsidP="00B9311E">
            <w:pPr>
              <w:spacing w:after="0" w:line="240" w:lineRule="auto"/>
              <w:jc w:val="right"/>
              <w:rPr>
                <w:sz w:val="18"/>
                <w:szCs w:val="18"/>
              </w:rPr>
            </w:pPr>
            <w:r w:rsidRPr="00BD77D8">
              <w:rPr>
                <w:sz w:val="18"/>
                <w:szCs w:val="18"/>
              </w:rPr>
              <w:t xml:space="preserve">               117 </w:t>
            </w:r>
          </w:p>
        </w:tc>
      </w:tr>
    </w:tbl>
    <w:p w14:paraId="609180C9" w14:textId="77777777" w:rsidR="00B9311E" w:rsidRPr="00BD77D8" w:rsidRDefault="00B9311E" w:rsidP="00727CAE">
      <w:pPr>
        <w:tabs>
          <w:tab w:val="left" w:pos="7797"/>
          <w:tab w:val="right" w:pos="8856"/>
        </w:tabs>
        <w:spacing w:before="200" w:after="0" w:line="240" w:lineRule="auto"/>
        <w:textAlignment w:val="baseline"/>
        <w:rPr>
          <w:rFonts w:eastAsia="Arial"/>
          <w:b/>
          <w:sz w:val="16"/>
          <w:szCs w:val="16"/>
          <w:lang w:eastAsia="en-US"/>
        </w:rPr>
      </w:pPr>
      <w:r w:rsidRPr="00BD77D8">
        <w:rPr>
          <w:rFonts w:eastAsia="Arial"/>
          <w:sz w:val="16"/>
          <w:szCs w:val="16"/>
          <w:lang w:eastAsia="en-US"/>
        </w:rPr>
        <w:t>* The Deputy Director General, Corporate Services position took effect from 5 October 2021. The duties of the position were previously encompassed within the role of Deputy Director-General Policy &amp; Corporate Services.</w:t>
      </w:r>
    </w:p>
    <w:p w14:paraId="49069269" w14:textId="703493CE" w:rsidR="00B9311E" w:rsidRPr="00BD77D8" w:rsidRDefault="00B9311E" w:rsidP="00B9311E">
      <w:pPr>
        <w:tabs>
          <w:tab w:val="left" w:pos="7797"/>
          <w:tab w:val="right" w:pos="8856"/>
        </w:tabs>
        <w:spacing w:after="0" w:line="240" w:lineRule="auto"/>
        <w:textAlignment w:val="baseline"/>
        <w:rPr>
          <w:rFonts w:eastAsia="Arial"/>
          <w:b/>
          <w:sz w:val="16"/>
          <w:szCs w:val="16"/>
          <w:lang w:eastAsia="en-US"/>
        </w:rPr>
      </w:pPr>
      <w:r w:rsidRPr="00BD77D8">
        <w:rPr>
          <w:rFonts w:eastAsia="Arial"/>
          <w:sz w:val="16"/>
          <w:szCs w:val="16"/>
          <w:lang w:eastAsia="en-US"/>
        </w:rPr>
        <w:t>^ The Chief Finance Officer was acting Deputy Director-General, Corporate Services from 5 October 2021 to 6 March 2022.</w:t>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r>
      <w:r w:rsidR="00DD09A8" w:rsidRPr="00BD77D8">
        <w:rPr>
          <w:rFonts w:eastAsia="Arial"/>
          <w:sz w:val="16"/>
          <w:szCs w:val="16"/>
          <w:lang w:eastAsia="en-US"/>
        </w:rPr>
        <w:tab/>
        <w:t>Page 35 of 45</w:t>
      </w:r>
    </w:p>
    <w:p w14:paraId="1C2B957F" w14:textId="77777777" w:rsidR="00B9311E" w:rsidRPr="00BD77D8" w:rsidRDefault="00B9311E" w:rsidP="00B9311E">
      <w:pPr>
        <w:spacing w:after="0" w:line="206" w:lineRule="exact"/>
        <w:textAlignment w:val="baseline"/>
        <w:rPr>
          <w:rFonts w:eastAsia="Arial"/>
          <w:b/>
          <w:sz w:val="16"/>
          <w:szCs w:val="16"/>
          <w:lang w:eastAsia="en-US"/>
        </w:rPr>
      </w:pPr>
      <w:r w:rsidRPr="00BD77D8">
        <w:rPr>
          <w:rFonts w:eastAsia="Arial"/>
          <w:sz w:val="16"/>
          <w:szCs w:val="16"/>
          <w:lang w:eastAsia="en-US"/>
        </w:rPr>
        <w:t># The Director Financial Management, which is a non KMP position, was acting as Chief Finance Officer from 29 September 2021 to 6 March 2022.</w:t>
      </w:r>
    </w:p>
    <w:p w14:paraId="435B7100" w14:textId="77777777" w:rsidR="007150A3" w:rsidRPr="00BD77D8" w:rsidRDefault="007150A3" w:rsidP="00B9311E">
      <w:pPr>
        <w:spacing w:after="0" w:line="206" w:lineRule="exact"/>
        <w:textAlignment w:val="baseline"/>
        <w:rPr>
          <w:rFonts w:eastAsia="Arial"/>
          <w:b/>
          <w:bCs/>
          <w:sz w:val="18"/>
          <w:szCs w:val="18"/>
          <w:lang w:eastAsia="en-US"/>
        </w:rPr>
      </w:pPr>
    </w:p>
    <w:p w14:paraId="4F12EA53" w14:textId="6A546960"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Department of Seniors, Disability Services and Aboriginal and Torres Strait Islander Partnerships</w:t>
      </w:r>
    </w:p>
    <w:p w14:paraId="23B44D0B"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56FC5F22"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2ADA87C6" w14:textId="77777777" w:rsidR="00B9311E" w:rsidRPr="00BD77D8" w:rsidRDefault="00B9311E" w:rsidP="00B9311E">
      <w:pPr>
        <w:pBdr>
          <w:bottom w:val="single" w:sz="4" w:space="1" w:color="auto"/>
        </w:pBdr>
        <w:spacing w:after="0" w:line="206" w:lineRule="exact"/>
        <w:textAlignment w:val="baseline"/>
        <w:rPr>
          <w:rFonts w:eastAsia="Arial"/>
          <w:b/>
          <w:bCs/>
          <w:sz w:val="18"/>
          <w:szCs w:val="18"/>
          <w:lang w:eastAsia="en-US"/>
        </w:rPr>
      </w:pPr>
    </w:p>
    <w:p w14:paraId="7CA5523A" w14:textId="77777777" w:rsidR="00B9311E" w:rsidRPr="00BD77D8" w:rsidRDefault="00B9311E" w:rsidP="00727CAE">
      <w:pPr>
        <w:spacing w:before="200" w:line="180" w:lineRule="atLeast"/>
        <w:textAlignment w:val="baseline"/>
        <w:rPr>
          <w:rFonts w:eastAsia="Arial"/>
          <w:b/>
          <w:bCs/>
          <w:sz w:val="22"/>
          <w:szCs w:val="22"/>
          <w:lang w:eastAsia="en-US"/>
        </w:rPr>
      </w:pPr>
      <w:r w:rsidRPr="00BD77D8">
        <w:rPr>
          <w:rFonts w:eastAsia="Arial"/>
          <w:b/>
          <w:bCs/>
          <w:sz w:val="22"/>
          <w:szCs w:val="22"/>
          <w:lang w:eastAsia="en-US"/>
        </w:rPr>
        <w:t>F1 Key Management Personnel Disclosures (continued)</w:t>
      </w:r>
    </w:p>
    <w:p w14:paraId="44455636" w14:textId="77777777" w:rsidR="00B9311E" w:rsidRPr="00BD77D8" w:rsidRDefault="00B9311E" w:rsidP="00727CAE">
      <w:pPr>
        <w:spacing w:line="180" w:lineRule="atLeast"/>
        <w:textAlignment w:val="baseline"/>
        <w:rPr>
          <w:rFonts w:eastAsia="PMingLiU"/>
          <w:b/>
          <w:bCs/>
          <w:sz w:val="18"/>
          <w:szCs w:val="22"/>
          <w:lang w:val="en-US" w:eastAsia="en-US"/>
        </w:rPr>
      </w:pPr>
      <w:r w:rsidRPr="00BD77D8">
        <w:rPr>
          <w:rFonts w:eastAsia="Arial"/>
          <w:b/>
          <w:bCs/>
          <w:spacing w:val="1"/>
          <w:sz w:val="18"/>
          <w:szCs w:val="18"/>
          <w:lang w:eastAsia="en-US"/>
        </w:rPr>
        <w:t>F1-1 Details of Key Management Personnel and Remuneration Expense (continued)</w:t>
      </w:r>
    </w:p>
    <w:p w14:paraId="04F25036" w14:textId="77777777" w:rsidR="00B9311E" w:rsidRPr="00BD77D8" w:rsidRDefault="00B9311E" w:rsidP="00B9311E">
      <w:pPr>
        <w:spacing w:after="0" w:line="20" w:lineRule="exact"/>
        <w:rPr>
          <w:rFonts w:eastAsia="PMingLiU"/>
          <w:sz w:val="18"/>
          <w:szCs w:val="22"/>
          <w:lang w:val="en-US" w:eastAsia="en-US"/>
        </w:rPr>
      </w:pPr>
    </w:p>
    <w:tbl>
      <w:tblPr>
        <w:tblW w:w="0" w:type="auto"/>
        <w:tblCellMar>
          <w:left w:w="57" w:type="dxa"/>
          <w:right w:w="0" w:type="dxa"/>
        </w:tblCellMar>
        <w:tblLook w:val="04A0" w:firstRow="1" w:lastRow="0" w:firstColumn="1" w:lastColumn="0" w:noHBand="0" w:noVBand="1"/>
      </w:tblPr>
      <w:tblGrid>
        <w:gridCol w:w="6920"/>
        <w:gridCol w:w="1310"/>
        <w:gridCol w:w="1430"/>
        <w:gridCol w:w="1670"/>
        <w:gridCol w:w="1572"/>
        <w:gridCol w:w="1383"/>
        <w:gridCol w:w="1193"/>
      </w:tblGrid>
      <w:tr w:rsidR="00BD77D8" w:rsidRPr="00BD77D8" w14:paraId="343BBD37" w14:textId="77777777" w:rsidTr="003057FB">
        <w:trPr>
          <w:trHeight w:val="477"/>
        </w:trPr>
        <w:tc>
          <w:tcPr>
            <w:tcW w:w="0" w:type="auto"/>
            <w:tcBorders>
              <w:top w:val="nil"/>
              <w:left w:val="nil"/>
              <w:bottom w:val="nil"/>
              <w:right w:val="nil"/>
            </w:tcBorders>
            <w:shd w:val="clear" w:color="auto" w:fill="auto"/>
            <w:noWrap/>
            <w:vAlign w:val="center"/>
            <w:hideMark/>
          </w:tcPr>
          <w:p w14:paraId="5EFBD83E" w14:textId="77777777" w:rsidR="00B9311E" w:rsidRPr="00BD77D8" w:rsidRDefault="00B9311E" w:rsidP="00B9311E">
            <w:pPr>
              <w:spacing w:after="0" w:line="240"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auto"/>
            <w:vAlign w:val="center"/>
            <w:hideMark/>
          </w:tcPr>
          <w:p w14:paraId="7EA3BE4D" w14:textId="77777777" w:rsidR="00B9311E" w:rsidRPr="00BD77D8" w:rsidRDefault="00B9311E" w:rsidP="00B9311E">
            <w:pPr>
              <w:spacing w:after="0" w:line="240" w:lineRule="auto"/>
              <w:jc w:val="center"/>
              <w:rPr>
                <w:b/>
                <w:bCs/>
                <w:sz w:val="18"/>
                <w:szCs w:val="18"/>
              </w:rPr>
            </w:pPr>
            <w:r w:rsidRPr="00BD77D8">
              <w:rPr>
                <w:b/>
                <w:bCs/>
                <w:sz w:val="18"/>
                <w:szCs w:val="18"/>
              </w:rPr>
              <w:t xml:space="preserve"> Short Term Employee Expenses </w:t>
            </w:r>
          </w:p>
        </w:tc>
        <w:tc>
          <w:tcPr>
            <w:tcW w:w="0" w:type="auto"/>
            <w:gridSpan w:val="3"/>
            <w:tcBorders>
              <w:top w:val="nil"/>
              <w:left w:val="nil"/>
              <w:bottom w:val="nil"/>
              <w:right w:val="nil"/>
            </w:tcBorders>
            <w:shd w:val="clear" w:color="auto" w:fill="auto"/>
            <w:vAlign w:val="center"/>
            <w:hideMark/>
          </w:tcPr>
          <w:p w14:paraId="6AC892DF" w14:textId="77777777" w:rsidR="00B9311E" w:rsidRPr="00BD77D8" w:rsidRDefault="00B9311E" w:rsidP="00B9311E">
            <w:pPr>
              <w:spacing w:after="0" w:line="240" w:lineRule="auto"/>
              <w:jc w:val="center"/>
              <w:rPr>
                <w:b/>
                <w:bCs/>
                <w:sz w:val="18"/>
                <w:szCs w:val="18"/>
              </w:rPr>
            </w:pPr>
            <w:r w:rsidRPr="00BD77D8">
              <w:rPr>
                <w:b/>
                <w:bCs/>
                <w:sz w:val="18"/>
                <w:szCs w:val="18"/>
              </w:rPr>
              <w:t xml:space="preserve"> Other Employee Benefits </w:t>
            </w:r>
          </w:p>
        </w:tc>
        <w:tc>
          <w:tcPr>
            <w:tcW w:w="0" w:type="auto"/>
            <w:tcBorders>
              <w:top w:val="nil"/>
              <w:left w:val="nil"/>
              <w:bottom w:val="nil"/>
              <w:right w:val="nil"/>
            </w:tcBorders>
            <w:shd w:val="clear" w:color="auto" w:fill="auto"/>
            <w:vAlign w:val="center"/>
            <w:hideMark/>
          </w:tcPr>
          <w:p w14:paraId="2BB75B71" w14:textId="77777777" w:rsidR="00B9311E" w:rsidRPr="00BD77D8" w:rsidRDefault="00B9311E" w:rsidP="00B9311E">
            <w:pPr>
              <w:spacing w:after="0" w:line="240" w:lineRule="auto"/>
              <w:jc w:val="center"/>
              <w:rPr>
                <w:b/>
                <w:bCs/>
                <w:sz w:val="18"/>
                <w:szCs w:val="18"/>
              </w:rPr>
            </w:pPr>
          </w:p>
        </w:tc>
      </w:tr>
      <w:tr w:rsidR="00BD77D8" w:rsidRPr="00BD77D8" w14:paraId="45970796" w14:textId="77777777" w:rsidTr="003057FB">
        <w:trPr>
          <w:trHeight w:val="636"/>
        </w:trPr>
        <w:tc>
          <w:tcPr>
            <w:tcW w:w="0" w:type="auto"/>
            <w:tcBorders>
              <w:top w:val="nil"/>
              <w:left w:val="nil"/>
              <w:bottom w:val="nil"/>
              <w:right w:val="nil"/>
            </w:tcBorders>
            <w:shd w:val="clear" w:color="auto" w:fill="auto"/>
            <w:vAlign w:val="center"/>
            <w:hideMark/>
          </w:tcPr>
          <w:p w14:paraId="72D6C58A" w14:textId="77777777" w:rsidR="00B9311E" w:rsidRPr="00BD77D8" w:rsidRDefault="00B9311E" w:rsidP="00B9311E">
            <w:pPr>
              <w:spacing w:after="0" w:line="240" w:lineRule="auto"/>
              <w:rPr>
                <w:b/>
                <w:bCs/>
                <w:sz w:val="18"/>
                <w:szCs w:val="18"/>
              </w:rPr>
            </w:pPr>
            <w:r w:rsidRPr="00BD77D8">
              <w:rPr>
                <w:b/>
                <w:bCs/>
                <w:sz w:val="18"/>
                <w:szCs w:val="18"/>
              </w:rPr>
              <w:t xml:space="preserve"> 1 December 2020 - 30 June 2021 </w:t>
            </w:r>
          </w:p>
        </w:tc>
        <w:tc>
          <w:tcPr>
            <w:tcW w:w="0" w:type="auto"/>
            <w:tcBorders>
              <w:top w:val="nil"/>
              <w:left w:val="nil"/>
              <w:bottom w:val="nil"/>
              <w:right w:val="nil"/>
            </w:tcBorders>
            <w:shd w:val="clear" w:color="auto" w:fill="auto"/>
            <w:vAlign w:val="center"/>
            <w:hideMark/>
          </w:tcPr>
          <w:p w14:paraId="346521D0" w14:textId="77777777" w:rsidR="00B9311E" w:rsidRPr="00BD77D8" w:rsidRDefault="00B9311E" w:rsidP="00B9311E">
            <w:pPr>
              <w:spacing w:after="0" w:line="240" w:lineRule="auto"/>
              <w:jc w:val="center"/>
              <w:rPr>
                <w:b/>
                <w:bCs/>
                <w:sz w:val="18"/>
                <w:szCs w:val="18"/>
              </w:rPr>
            </w:pPr>
            <w:r w:rsidRPr="00BD77D8">
              <w:rPr>
                <w:b/>
                <w:bCs/>
                <w:sz w:val="18"/>
                <w:szCs w:val="18"/>
              </w:rPr>
              <w:t>Monetary Expenses</w:t>
            </w:r>
          </w:p>
        </w:tc>
        <w:tc>
          <w:tcPr>
            <w:tcW w:w="0" w:type="auto"/>
            <w:tcBorders>
              <w:top w:val="nil"/>
              <w:left w:val="nil"/>
              <w:bottom w:val="nil"/>
              <w:right w:val="nil"/>
            </w:tcBorders>
            <w:shd w:val="clear" w:color="auto" w:fill="auto"/>
            <w:vAlign w:val="center"/>
            <w:hideMark/>
          </w:tcPr>
          <w:p w14:paraId="26CF0AF2" w14:textId="77777777" w:rsidR="00B9311E" w:rsidRPr="00BD77D8" w:rsidRDefault="00B9311E" w:rsidP="00B9311E">
            <w:pPr>
              <w:spacing w:after="0" w:line="240" w:lineRule="auto"/>
              <w:jc w:val="center"/>
              <w:rPr>
                <w:b/>
                <w:bCs/>
                <w:sz w:val="18"/>
                <w:szCs w:val="18"/>
              </w:rPr>
            </w:pPr>
            <w:proofErr w:type="spellStart"/>
            <w:r w:rsidRPr="00BD77D8">
              <w:rPr>
                <w:b/>
                <w:bCs/>
                <w:sz w:val="18"/>
                <w:szCs w:val="18"/>
              </w:rPr>
              <w:t>Non Monetary</w:t>
            </w:r>
            <w:proofErr w:type="spellEnd"/>
            <w:r w:rsidRPr="00BD77D8">
              <w:rPr>
                <w:b/>
                <w:bCs/>
                <w:sz w:val="18"/>
                <w:szCs w:val="18"/>
              </w:rPr>
              <w:t xml:space="preserve"> Benefits</w:t>
            </w:r>
          </w:p>
        </w:tc>
        <w:tc>
          <w:tcPr>
            <w:tcW w:w="0" w:type="auto"/>
            <w:tcBorders>
              <w:top w:val="nil"/>
              <w:left w:val="nil"/>
              <w:bottom w:val="nil"/>
              <w:right w:val="nil"/>
            </w:tcBorders>
            <w:shd w:val="clear" w:color="auto" w:fill="auto"/>
            <w:vAlign w:val="center"/>
            <w:hideMark/>
          </w:tcPr>
          <w:p w14:paraId="6FE3AC58" w14:textId="77777777" w:rsidR="00B9311E" w:rsidRPr="00BD77D8" w:rsidRDefault="00B9311E" w:rsidP="00B9311E">
            <w:pPr>
              <w:spacing w:after="0" w:line="240" w:lineRule="auto"/>
              <w:jc w:val="center"/>
              <w:rPr>
                <w:b/>
                <w:bCs/>
                <w:sz w:val="18"/>
                <w:szCs w:val="18"/>
              </w:rPr>
            </w:pPr>
            <w:r w:rsidRPr="00BD77D8">
              <w:rPr>
                <w:b/>
                <w:bCs/>
                <w:sz w:val="18"/>
                <w:szCs w:val="18"/>
              </w:rPr>
              <w:t>Long Term Employee Expenses</w:t>
            </w:r>
          </w:p>
        </w:tc>
        <w:tc>
          <w:tcPr>
            <w:tcW w:w="0" w:type="auto"/>
            <w:tcBorders>
              <w:top w:val="nil"/>
              <w:left w:val="nil"/>
              <w:bottom w:val="nil"/>
              <w:right w:val="nil"/>
            </w:tcBorders>
            <w:shd w:val="clear" w:color="auto" w:fill="auto"/>
            <w:vAlign w:val="center"/>
            <w:hideMark/>
          </w:tcPr>
          <w:p w14:paraId="0C57A249" w14:textId="77777777" w:rsidR="00B9311E" w:rsidRPr="00BD77D8" w:rsidRDefault="00B9311E" w:rsidP="00B9311E">
            <w:pPr>
              <w:spacing w:after="0" w:line="240" w:lineRule="auto"/>
              <w:jc w:val="center"/>
              <w:rPr>
                <w:b/>
                <w:bCs/>
                <w:sz w:val="18"/>
                <w:szCs w:val="18"/>
              </w:rPr>
            </w:pPr>
            <w:proofErr w:type="spellStart"/>
            <w:r w:rsidRPr="00BD77D8">
              <w:rPr>
                <w:b/>
                <w:bCs/>
                <w:sz w:val="18"/>
                <w:szCs w:val="18"/>
              </w:rPr>
              <w:t>Post Employment</w:t>
            </w:r>
            <w:proofErr w:type="spellEnd"/>
            <w:r w:rsidRPr="00BD77D8">
              <w:rPr>
                <w:b/>
                <w:bCs/>
                <w:sz w:val="18"/>
                <w:szCs w:val="18"/>
              </w:rPr>
              <w:t xml:space="preserve"> Expenses</w:t>
            </w:r>
          </w:p>
        </w:tc>
        <w:tc>
          <w:tcPr>
            <w:tcW w:w="0" w:type="auto"/>
            <w:tcBorders>
              <w:top w:val="nil"/>
              <w:left w:val="nil"/>
              <w:bottom w:val="nil"/>
              <w:right w:val="nil"/>
            </w:tcBorders>
            <w:shd w:val="clear" w:color="auto" w:fill="auto"/>
            <w:vAlign w:val="center"/>
            <w:hideMark/>
          </w:tcPr>
          <w:p w14:paraId="18F976CE" w14:textId="77777777" w:rsidR="00B9311E" w:rsidRPr="00BD77D8" w:rsidRDefault="00B9311E" w:rsidP="00B9311E">
            <w:pPr>
              <w:spacing w:after="0" w:line="240" w:lineRule="auto"/>
              <w:jc w:val="center"/>
              <w:rPr>
                <w:b/>
                <w:bCs/>
                <w:sz w:val="18"/>
                <w:szCs w:val="18"/>
              </w:rPr>
            </w:pPr>
            <w:r w:rsidRPr="00BD77D8">
              <w:rPr>
                <w:b/>
                <w:bCs/>
                <w:sz w:val="18"/>
                <w:szCs w:val="18"/>
              </w:rPr>
              <w:t>Termination Benefits</w:t>
            </w:r>
          </w:p>
        </w:tc>
        <w:tc>
          <w:tcPr>
            <w:tcW w:w="0" w:type="auto"/>
            <w:tcBorders>
              <w:top w:val="nil"/>
              <w:left w:val="nil"/>
              <w:bottom w:val="nil"/>
              <w:right w:val="nil"/>
            </w:tcBorders>
            <w:shd w:val="clear" w:color="auto" w:fill="auto"/>
            <w:vAlign w:val="center"/>
            <w:hideMark/>
          </w:tcPr>
          <w:p w14:paraId="354F7DBA" w14:textId="77777777" w:rsidR="00B9311E" w:rsidRPr="00BD77D8" w:rsidRDefault="00B9311E" w:rsidP="00B9311E">
            <w:pPr>
              <w:spacing w:after="0" w:line="240" w:lineRule="auto"/>
              <w:jc w:val="center"/>
              <w:rPr>
                <w:b/>
                <w:bCs/>
                <w:sz w:val="18"/>
                <w:szCs w:val="18"/>
              </w:rPr>
            </w:pPr>
            <w:r w:rsidRPr="00BD77D8">
              <w:rPr>
                <w:b/>
                <w:bCs/>
                <w:sz w:val="18"/>
                <w:szCs w:val="18"/>
              </w:rPr>
              <w:t>Total Expenses</w:t>
            </w:r>
          </w:p>
        </w:tc>
      </w:tr>
      <w:tr w:rsidR="00BD77D8" w:rsidRPr="00BD77D8" w14:paraId="5603F50A" w14:textId="77777777" w:rsidTr="003057FB">
        <w:trPr>
          <w:trHeight w:val="251"/>
        </w:trPr>
        <w:tc>
          <w:tcPr>
            <w:tcW w:w="0" w:type="auto"/>
            <w:tcBorders>
              <w:top w:val="nil"/>
              <w:left w:val="nil"/>
              <w:bottom w:val="nil"/>
              <w:right w:val="nil"/>
            </w:tcBorders>
            <w:shd w:val="clear" w:color="auto" w:fill="auto"/>
            <w:vAlign w:val="center"/>
            <w:hideMark/>
          </w:tcPr>
          <w:p w14:paraId="4E0AD61D" w14:textId="77777777" w:rsidR="00B9311E" w:rsidRPr="00BD77D8" w:rsidRDefault="00B9311E" w:rsidP="00B9311E">
            <w:pPr>
              <w:spacing w:after="0" w:line="240" w:lineRule="auto"/>
              <w:rPr>
                <w:b/>
                <w:bCs/>
                <w:sz w:val="18"/>
                <w:szCs w:val="18"/>
              </w:rPr>
            </w:pPr>
            <w:r w:rsidRPr="00BD77D8">
              <w:rPr>
                <w:b/>
                <w:bCs/>
                <w:sz w:val="18"/>
                <w:szCs w:val="18"/>
              </w:rPr>
              <w:t xml:space="preserve"> Position </w:t>
            </w:r>
          </w:p>
        </w:tc>
        <w:tc>
          <w:tcPr>
            <w:tcW w:w="0" w:type="auto"/>
            <w:tcBorders>
              <w:top w:val="nil"/>
              <w:left w:val="nil"/>
              <w:bottom w:val="single" w:sz="4" w:space="0" w:color="auto"/>
              <w:right w:val="nil"/>
            </w:tcBorders>
            <w:shd w:val="clear" w:color="auto" w:fill="auto"/>
            <w:noWrap/>
            <w:vAlign w:val="center"/>
            <w:hideMark/>
          </w:tcPr>
          <w:p w14:paraId="10C50176"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70D5C70F"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54427752"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14E85BC9"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3115DD13"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2ECEFE71"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673AD1A3" w14:textId="77777777" w:rsidTr="003057FB">
        <w:trPr>
          <w:trHeight w:val="251"/>
        </w:trPr>
        <w:tc>
          <w:tcPr>
            <w:tcW w:w="0" w:type="auto"/>
            <w:tcBorders>
              <w:top w:val="nil"/>
              <w:left w:val="nil"/>
              <w:bottom w:val="nil"/>
              <w:right w:val="nil"/>
            </w:tcBorders>
            <w:shd w:val="clear" w:color="auto" w:fill="auto"/>
            <w:noWrap/>
            <w:vAlign w:val="center"/>
            <w:hideMark/>
          </w:tcPr>
          <w:p w14:paraId="70DC5F1D" w14:textId="77777777" w:rsidR="00B9311E" w:rsidRPr="00BD77D8" w:rsidRDefault="00B9311E" w:rsidP="00B9311E">
            <w:pPr>
              <w:spacing w:after="0" w:line="240" w:lineRule="auto"/>
              <w:rPr>
                <w:sz w:val="18"/>
                <w:szCs w:val="18"/>
              </w:rPr>
            </w:pPr>
            <w:r w:rsidRPr="00BD77D8">
              <w:rPr>
                <w:sz w:val="18"/>
                <w:szCs w:val="18"/>
              </w:rPr>
              <w:t xml:space="preserve"> Director-General </w:t>
            </w:r>
          </w:p>
        </w:tc>
        <w:tc>
          <w:tcPr>
            <w:tcW w:w="0" w:type="auto"/>
            <w:tcBorders>
              <w:top w:val="nil"/>
              <w:left w:val="nil"/>
              <w:bottom w:val="nil"/>
              <w:right w:val="nil"/>
            </w:tcBorders>
            <w:shd w:val="clear" w:color="auto" w:fill="auto"/>
            <w:noWrap/>
            <w:vAlign w:val="center"/>
            <w:hideMark/>
          </w:tcPr>
          <w:p w14:paraId="5139DD9C" w14:textId="77777777" w:rsidR="00B9311E" w:rsidRPr="00BD77D8" w:rsidRDefault="00B9311E" w:rsidP="00B9311E">
            <w:pPr>
              <w:spacing w:after="0" w:line="240" w:lineRule="auto"/>
              <w:jc w:val="right"/>
              <w:rPr>
                <w:sz w:val="18"/>
                <w:szCs w:val="18"/>
              </w:rPr>
            </w:pPr>
            <w:r w:rsidRPr="00BD77D8">
              <w:rPr>
                <w:sz w:val="18"/>
                <w:szCs w:val="18"/>
              </w:rPr>
              <w:t xml:space="preserve">               279 </w:t>
            </w:r>
          </w:p>
        </w:tc>
        <w:tc>
          <w:tcPr>
            <w:tcW w:w="0" w:type="auto"/>
            <w:tcBorders>
              <w:top w:val="nil"/>
              <w:left w:val="nil"/>
              <w:bottom w:val="nil"/>
              <w:right w:val="nil"/>
            </w:tcBorders>
            <w:shd w:val="clear" w:color="auto" w:fill="auto"/>
            <w:noWrap/>
            <w:vAlign w:val="center"/>
            <w:hideMark/>
          </w:tcPr>
          <w:p w14:paraId="33F7901A"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3B5FF489" w14:textId="77777777" w:rsidR="00B9311E" w:rsidRPr="00BD77D8" w:rsidRDefault="00B9311E" w:rsidP="00B9311E">
            <w:pPr>
              <w:spacing w:after="0" w:line="240" w:lineRule="auto"/>
              <w:jc w:val="right"/>
              <w:rPr>
                <w:sz w:val="18"/>
                <w:szCs w:val="18"/>
              </w:rPr>
            </w:pPr>
            <w:r w:rsidRPr="00BD77D8">
              <w:rPr>
                <w:sz w:val="18"/>
                <w:szCs w:val="18"/>
              </w:rPr>
              <w:t xml:space="preserve">                    7 </w:t>
            </w:r>
          </w:p>
        </w:tc>
        <w:tc>
          <w:tcPr>
            <w:tcW w:w="0" w:type="auto"/>
            <w:tcBorders>
              <w:top w:val="nil"/>
              <w:left w:val="nil"/>
              <w:bottom w:val="nil"/>
              <w:right w:val="nil"/>
            </w:tcBorders>
            <w:shd w:val="clear" w:color="auto" w:fill="auto"/>
            <w:noWrap/>
            <w:vAlign w:val="center"/>
            <w:hideMark/>
          </w:tcPr>
          <w:p w14:paraId="6B35035C" w14:textId="77777777" w:rsidR="00B9311E" w:rsidRPr="00BD77D8" w:rsidRDefault="00B9311E" w:rsidP="00B9311E">
            <w:pPr>
              <w:spacing w:after="0" w:line="240" w:lineRule="auto"/>
              <w:jc w:val="right"/>
              <w:rPr>
                <w:sz w:val="18"/>
                <w:szCs w:val="18"/>
              </w:rPr>
            </w:pPr>
            <w:r w:rsidRPr="00BD77D8">
              <w:rPr>
                <w:sz w:val="18"/>
                <w:szCs w:val="18"/>
              </w:rPr>
              <w:t xml:space="preserve">                 34 </w:t>
            </w:r>
          </w:p>
        </w:tc>
        <w:tc>
          <w:tcPr>
            <w:tcW w:w="0" w:type="auto"/>
            <w:tcBorders>
              <w:top w:val="nil"/>
              <w:left w:val="nil"/>
              <w:bottom w:val="nil"/>
              <w:right w:val="nil"/>
            </w:tcBorders>
            <w:shd w:val="clear" w:color="auto" w:fill="auto"/>
            <w:noWrap/>
            <w:vAlign w:val="center"/>
            <w:hideMark/>
          </w:tcPr>
          <w:p w14:paraId="6BCEC739"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76BDB7A3" w14:textId="77777777" w:rsidR="00B9311E" w:rsidRPr="00BD77D8" w:rsidRDefault="00B9311E" w:rsidP="00B9311E">
            <w:pPr>
              <w:spacing w:after="0" w:line="240" w:lineRule="auto"/>
              <w:jc w:val="right"/>
              <w:rPr>
                <w:sz w:val="18"/>
                <w:szCs w:val="18"/>
              </w:rPr>
            </w:pPr>
            <w:r w:rsidRPr="00BD77D8">
              <w:rPr>
                <w:sz w:val="18"/>
                <w:szCs w:val="18"/>
              </w:rPr>
              <w:t xml:space="preserve">               322 </w:t>
            </w:r>
          </w:p>
        </w:tc>
      </w:tr>
      <w:tr w:rsidR="00BD77D8" w:rsidRPr="00BD77D8" w14:paraId="371029AC" w14:textId="77777777" w:rsidTr="003057FB">
        <w:trPr>
          <w:trHeight w:val="251"/>
        </w:trPr>
        <w:tc>
          <w:tcPr>
            <w:tcW w:w="0" w:type="auto"/>
            <w:tcBorders>
              <w:top w:val="nil"/>
              <w:left w:val="nil"/>
              <w:bottom w:val="nil"/>
              <w:right w:val="nil"/>
            </w:tcBorders>
            <w:shd w:val="clear" w:color="auto" w:fill="auto"/>
            <w:noWrap/>
            <w:vAlign w:val="center"/>
            <w:hideMark/>
          </w:tcPr>
          <w:p w14:paraId="568949EF" w14:textId="77777777" w:rsidR="00B9311E" w:rsidRPr="00BD77D8" w:rsidRDefault="00B9311E" w:rsidP="00B9311E">
            <w:pPr>
              <w:spacing w:after="0" w:line="240" w:lineRule="auto"/>
              <w:rPr>
                <w:sz w:val="18"/>
                <w:szCs w:val="18"/>
              </w:rPr>
            </w:pPr>
            <w:r w:rsidRPr="00BD77D8">
              <w:rPr>
                <w:sz w:val="18"/>
                <w:szCs w:val="18"/>
              </w:rPr>
              <w:t xml:space="preserve"> Associate Director-General Seniors and Disability Services </w:t>
            </w:r>
          </w:p>
        </w:tc>
        <w:tc>
          <w:tcPr>
            <w:tcW w:w="0" w:type="auto"/>
            <w:tcBorders>
              <w:top w:val="nil"/>
              <w:left w:val="nil"/>
              <w:bottom w:val="nil"/>
              <w:right w:val="nil"/>
            </w:tcBorders>
            <w:shd w:val="clear" w:color="auto" w:fill="auto"/>
            <w:noWrap/>
            <w:vAlign w:val="center"/>
            <w:hideMark/>
          </w:tcPr>
          <w:p w14:paraId="6BE628FE" w14:textId="77777777" w:rsidR="00B9311E" w:rsidRPr="00BD77D8" w:rsidRDefault="00B9311E" w:rsidP="00B9311E">
            <w:pPr>
              <w:spacing w:after="0" w:line="240" w:lineRule="auto"/>
              <w:jc w:val="right"/>
              <w:rPr>
                <w:sz w:val="18"/>
                <w:szCs w:val="18"/>
              </w:rPr>
            </w:pPr>
            <w:r w:rsidRPr="00BD77D8">
              <w:rPr>
                <w:sz w:val="18"/>
                <w:szCs w:val="18"/>
              </w:rPr>
              <w:t xml:space="preserve">               200 </w:t>
            </w:r>
          </w:p>
        </w:tc>
        <w:tc>
          <w:tcPr>
            <w:tcW w:w="0" w:type="auto"/>
            <w:tcBorders>
              <w:top w:val="nil"/>
              <w:left w:val="nil"/>
              <w:bottom w:val="nil"/>
              <w:right w:val="nil"/>
            </w:tcBorders>
            <w:shd w:val="clear" w:color="auto" w:fill="auto"/>
            <w:noWrap/>
            <w:vAlign w:val="center"/>
            <w:hideMark/>
          </w:tcPr>
          <w:p w14:paraId="77BF89F0"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0A1BAB29" w14:textId="77777777" w:rsidR="00B9311E" w:rsidRPr="00BD77D8" w:rsidRDefault="00B9311E" w:rsidP="00B9311E">
            <w:pPr>
              <w:spacing w:after="0" w:line="240" w:lineRule="auto"/>
              <w:jc w:val="right"/>
              <w:rPr>
                <w:sz w:val="18"/>
                <w:szCs w:val="18"/>
              </w:rPr>
            </w:pPr>
            <w:r w:rsidRPr="00BD77D8">
              <w:rPr>
                <w:sz w:val="18"/>
                <w:szCs w:val="18"/>
              </w:rPr>
              <w:t xml:space="preserve">                    4 </w:t>
            </w:r>
          </w:p>
        </w:tc>
        <w:tc>
          <w:tcPr>
            <w:tcW w:w="0" w:type="auto"/>
            <w:tcBorders>
              <w:top w:val="nil"/>
              <w:left w:val="nil"/>
              <w:bottom w:val="nil"/>
              <w:right w:val="nil"/>
            </w:tcBorders>
            <w:shd w:val="clear" w:color="auto" w:fill="auto"/>
            <w:noWrap/>
            <w:vAlign w:val="center"/>
            <w:hideMark/>
          </w:tcPr>
          <w:p w14:paraId="6281F7D1" w14:textId="77777777" w:rsidR="00B9311E" w:rsidRPr="00BD77D8" w:rsidRDefault="00B9311E" w:rsidP="00B9311E">
            <w:pPr>
              <w:spacing w:after="0" w:line="240" w:lineRule="auto"/>
              <w:jc w:val="right"/>
              <w:rPr>
                <w:sz w:val="18"/>
                <w:szCs w:val="18"/>
              </w:rPr>
            </w:pPr>
            <w:r w:rsidRPr="00BD77D8">
              <w:rPr>
                <w:sz w:val="18"/>
                <w:szCs w:val="18"/>
              </w:rPr>
              <w:t xml:space="preserve">                 25 </w:t>
            </w:r>
          </w:p>
        </w:tc>
        <w:tc>
          <w:tcPr>
            <w:tcW w:w="0" w:type="auto"/>
            <w:tcBorders>
              <w:top w:val="nil"/>
              <w:left w:val="nil"/>
              <w:bottom w:val="nil"/>
              <w:right w:val="nil"/>
            </w:tcBorders>
            <w:shd w:val="clear" w:color="auto" w:fill="auto"/>
            <w:noWrap/>
            <w:vAlign w:val="center"/>
            <w:hideMark/>
          </w:tcPr>
          <w:p w14:paraId="2F0D0869"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220864CF" w14:textId="77777777" w:rsidR="00B9311E" w:rsidRPr="00BD77D8" w:rsidRDefault="00B9311E" w:rsidP="00B9311E">
            <w:pPr>
              <w:spacing w:after="0" w:line="240" w:lineRule="auto"/>
              <w:jc w:val="right"/>
              <w:rPr>
                <w:sz w:val="18"/>
                <w:szCs w:val="18"/>
              </w:rPr>
            </w:pPr>
            <w:r w:rsidRPr="00BD77D8">
              <w:rPr>
                <w:sz w:val="18"/>
                <w:szCs w:val="18"/>
              </w:rPr>
              <w:t xml:space="preserve">               231 </w:t>
            </w:r>
          </w:p>
        </w:tc>
      </w:tr>
      <w:tr w:rsidR="00BD77D8" w:rsidRPr="00BD77D8" w14:paraId="3F97AF78" w14:textId="77777777" w:rsidTr="003057FB">
        <w:trPr>
          <w:trHeight w:val="251"/>
        </w:trPr>
        <w:tc>
          <w:tcPr>
            <w:tcW w:w="0" w:type="auto"/>
            <w:tcBorders>
              <w:top w:val="nil"/>
              <w:left w:val="nil"/>
              <w:bottom w:val="nil"/>
              <w:right w:val="nil"/>
            </w:tcBorders>
            <w:shd w:val="clear" w:color="auto" w:fill="auto"/>
            <w:noWrap/>
            <w:vAlign w:val="center"/>
            <w:hideMark/>
          </w:tcPr>
          <w:p w14:paraId="021B8879" w14:textId="77777777" w:rsidR="00B9311E" w:rsidRPr="00BD77D8" w:rsidRDefault="00B9311E" w:rsidP="00B9311E">
            <w:pPr>
              <w:spacing w:after="0" w:line="240" w:lineRule="auto"/>
              <w:rPr>
                <w:sz w:val="18"/>
                <w:szCs w:val="18"/>
              </w:rPr>
            </w:pPr>
            <w:r w:rsidRPr="00BD77D8">
              <w:rPr>
                <w:sz w:val="18"/>
                <w:szCs w:val="18"/>
              </w:rPr>
              <w:t xml:space="preserve"> Deputy Director-General Culture and Economic Participation </w:t>
            </w:r>
          </w:p>
        </w:tc>
        <w:tc>
          <w:tcPr>
            <w:tcW w:w="0" w:type="auto"/>
            <w:tcBorders>
              <w:top w:val="nil"/>
              <w:left w:val="nil"/>
              <w:bottom w:val="nil"/>
              <w:right w:val="nil"/>
            </w:tcBorders>
            <w:shd w:val="clear" w:color="auto" w:fill="auto"/>
            <w:noWrap/>
            <w:vAlign w:val="center"/>
            <w:hideMark/>
          </w:tcPr>
          <w:p w14:paraId="754F4D64" w14:textId="77777777" w:rsidR="00B9311E" w:rsidRPr="00BD77D8" w:rsidRDefault="00B9311E" w:rsidP="00B9311E">
            <w:pPr>
              <w:spacing w:after="0" w:line="240" w:lineRule="auto"/>
              <w:jc w:val="right"/>
              <w:rPr>
                <w:sz w:val="18"/>
                <w:szCs w:val="18"/>
              </w:rPr>
            </w:pPr>
            <w:r w:rsidRPr="00BD77D8">
              <w:rPr>
                <w:sz w:val="18"/>
                <w:szCs w:val="18"/>
              </w:rPr>
              <w:t xml:space="preserve">               148 </w:t>
            </w:r>
          </w:p>
        </w:tc>
        <w:tc>
          <w:tcPr>
            <w:tcW w:w="0" w:type="auto"/>
            <w:tcBorders>
              <w:top w:val="nil"/>
              <w:left w:val="nil"/>
              <w:bottom w:val="nil"/>
              <w:right w:val="nil"/>
            </w:tcBorders>
            <w:shd w:val="clear" w:color="auto" w:fill="auto"/>
            <w:noWrap/>
            <w:vAlign w:val="center"/>
            <w:hideMark/>
          </w:tcPr>
          <w:p w14:paraId="7E58E173"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32CDEDBE" w14:textId="77777777" w:rsidR="00B9311E" w:rsidRPr="00BD77D8" w:rsidRDefault="00B9311E" w:rsidP="00B9311E">
            <w:pPr>
              <w:spacing w:after="0" w:line="240" w:lineRule="auto"/>
              <w:jc w:val="right"/>
              <w:rPr>
                <w:sz w:val="18"/>
                <w:szCs w:val="18"/>
              </w:rPr>
            </w:pPr>
            <w:r w:rsidRPr="00BD77D8">
              <w:rPr>
                <w:sz w:val="18"/>
                <w:szCs w:val="18"/>
              </w:rPr>
              <w:t xml:space="preserve">                    3 </w:t>
            </w:r>
          </w:p>
        </w:tc>
        <w:tc>
          <w:tcPr>
            <w:tcW w:w="0" w:type="auto"/>
            <w:tcBorders>
              <w:top w:val="nil"/>
              <w:left w:val="nil"/>
              <w:bottom w:val="nil"/>
              <w:right w:val="nil"/>
            </w:tcBorders>
            <w:shd w:val="clear" w:color="auto" w:fill="auto"/>
            <w:noWrap/>
            <w:vAlign w:val="center"/>
            <w:hideMark/>
          </w:tcPr>
          <w:p w14:paraId="21265A55" w14:textId="77777777" w:rsidR="00B9311E" w:rsidRPr="00BD77D8" w:rsidRDefault="00B9311E" w:rsidP="00B9311E">
            <w:pPr>
              <w:spacing w:after="0" w:line="240" w:lineRule="auto"/>
              <w:jc w:val="right"/>
              <w:rPr>
                <w:sz w:val="18"/>
                <w:szCs w:val="18"/>
              </w:rPr>
            </w:pPr>
            <w:r w:rsidRPr="00BD77D8">
              <w:rPr>
                <w:sz w:val="18"/>
                <w:szCs w:val="18"/>
              </w:rPr>
              <w:t xml:space="preserve">                 16 </w:t>
            </w:r>
          </w:p>
        </w:tc>
        <w:tc>
          <w:tcPr>
            <w:tcW w:w="0" w:type="auto"/>
            <w:tcBorders>
              <w:top w:val="nil"/>
              <w:left w:val="nil"/>
              <w:bottom w:val="nil"/>
              <w:right w:val="nil"/>
            </w:tcBorders>
            <w:shd w:val="clear" w:color="auto" w:fill="auto"/>
            <w:noWrap/>
            <w:vAlign w:val="center"/>
            <w:hideMark/>
          </w:tcPr>
          <w:p w14:paraId="57642D38"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39279BFB" w14:textId="77777777" w:rsidR="00B9311E" w:rsidRPr="00BD77D8" w:rsidRDefault="00B9311E" w:rsidP="00B9311E">
            <w:pPr>
              <w:spacing w:after="0" w:line="240" w:lineRule="auto"/>
              <w:jc w:val="right"/>
              <w:rPr>
                <w:sz w:val="18"/>
                <w:szCs w:val="18"/>
              </w:rPr>
            </w:pPr>
            <w:r w:rsidRPr="00BD77D8">
              <w:rPr>
                <w:sz w:val="18"/>
                <w:szCs w:val="18"/>
              </w:rPr>
              <w:t xml:space="preserve">               169 </w:t>
            </w:r>
          </w:p>
        </w:tc>
      </w:tr>
      <w:tr w:rsidR="00BD77D8" w:rsidRPr="00BD77D8" w14:paraId="686F2D0D" w14:textId="77777777" w:rsidTr="003057FB">
        <w:trPr>
          <w:trHeight w:val="251"/>
        </w:trPr>
        <w:tc>
          <w:tcPr>
            <w:tcW w:w="0" w:type="auto"/>
            <w:tcBorders>
              <w:top w:val="nil"/>
              <w:left w:val="nil"/>
              <w:bottom w:val="nil"/>
              <w:right w:val="nil"/>
            </w:tcBorders>
            <w:shd w:val="clear" w:color="auto" w:fill="auto"/>
            <w:noWrap/>
            <w:vAlign w:val="center"/>
            <w:hideMark/>
          </w:tcPr>
          <w:p w14:paraId="39336CC8" w14:textId="77777777" w:rsidR="00B9311E" w:rsidRPr="00BD77D8" w:rsidRDefault="00B9311E" w:rsidP="00B9311E">
            <w:pPr>
              <w:spacing w:after="0" w:line="240" w:lineRule="auto"/>
              <w:rPr>
                <w:sz w:val="18"/>
                <w:szCs w:val="18"/>
              </w:rPr>
            </w:pPr>
            <w:r w:rsidRPr="00BD77D8">
              <w:rPr>
                <w:sz w:val="18"/>
                <w:szCs w:val="18"/>
              </w:rPr>
              <w:t xml:space="preserve"> Deputy Director-General Policy &amp; Corporate Services </w:t>
            </w:r>
          </w:p>
        </w:tc>
        <w:tc>
          <w:tcPr>
            <w:tcW w:w="0" w:type="auto"/>
            <w:tcBorders>
              <w:top w:val="nil"/>
              <w:left w:val="nil"/>
              <w:bottom w:val="nil"/>
              <w:right w:val="nil"/>
            </w:tcBorders>
            <w:shd w:val="clear" w:color="auto" w:fill="auto"/>
            <w:noWrap/>
            <w:vAlign w:val="center"/>
            <w:hideMark/>
          </w:tcPr>
          <w:p w14:paraId="04E0F480" w14:textId="77777777" w:rsidR="00B9311E" w:rsidRPr="00BD77D8" w:rsidRDefault="00B9311E" w:rsidP="00B9311E">
            <w:pPr>
              <w:spacing w:after="0" w:line="240" w:lineRule="auto"/>
              <w:jc w:val="right"/>
              <w:rPr>
                <w:sz w:val="18"/>
                <w:szCs w:val="18"/>
              </w:rPr>
            </w:pPr>
            <w:r w:rsidRPr="00BD77D8">
              <w:rPr>
                <w:sz w:val="18"/>
                <w:szCs w:val="18"/>
              </w:rPr>
              <w:t xml:space="preserve">               122 </w:t>
            </w:r>
          </w:p>
        </w:tc>
        <w:tc>
          <w:tcPr>
            <w:tcW w:w="0" w:type="auto"/>
            <w:tcBorders>
              <w:top w:val="nil"/>
              <w:left w:val="nil"/>
              <w:bottom w:val="nil"/>
              <w:right w:val="nil"/>
            </w:tcBorders>
            <w:shd w:val="clear" w:color="auto" w:fill="auto"/>
            <w:noWrap/>
            <w:vAlign w:val="center"/>
            <w:hideMark/>
          </w:tcPr>
          <w:p w14:paraId="45107CAF"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248C2988" w14:textId="77777777" w:rsidR="00B9311E" w:rsidRPr="00BD77D8" w:rsidRDefault="00B9311E" w:rsidP="00B9311E">
            <w:pPr>
              <w:spacing w:after="0" w:line="240" w:lineRule="auto"/>
              <w:jc w:val="right"/>
              <w:rPr>
                <w:sz w:val="18"/>
                <w:szCs w:val="18"/>
              </w:rPr>
            </w:pPr>
            <w:r w:rsidRPr="00BD77D8">
              <w:rPr>
                <w:sz w:val="18"/>
                <w:szCs w:val="18"/>
              </w:rPr>
              <w:t xml:space="preserve">                    3 </w:t>
            </w:r>
          </w:p>
        </w:tc>
        <w:tc>
          <w:tcPr>
            <w:tcW w:w="0" w:type="auto"/>
            <w:tcBorders>
              <w:top w:val="nil"/>
              <w:left w:val="nil"/>
              <w:bottom w:val="nil"/>
              <w:right w:val="nil"/>
            </w:tcBorders>
            <w:shd w:val="clear" w:color="auto" w:fill="auto"/>
            <w:noWrap/>
            <w:vAlign w:val="center"/>
            <w:hideMark/>
          </w:tcPr>
          <w:p w14:paraId="302205B9" w14:textId="77777777" w:rsidR="00B9311E" w:rsidRPr="00BD77D8" w:rsidRDefault="00B9311E" w:rsidP="00B9311E">
            <w:pPr>
              <w:spacing w:after="0" w:line="240" w:lineRule="auto"/>
              <w:jc w:val="right"/>
              <w:rPr>
                <w:sz w:val="18"/>
                <w:szCs w:val="18"/>
              </w:rPr>
            </w:pPr>
            <w:r w:rsidRPr="00BD77D8">
              <w:rPr>
                <w:sz w:val="18"/>
                <w:szCs w:val="18"/>
              </w:rPr>
              <w:t xml:space="preserve">                 14 </w:t>
            </w:r>
          </w:p>
        </w:tc>
        <w:tc>
          <w:tcPr>
            <w:tcW w:w="0" w:type="auto"/>
            <w:tcBorders>
              <w:top w:val="nil"/>
              <w:left w:val="nil"/>
              <w:bottom w:val="nil"/>
              <w:right w:val="nil"/>
            </w:tcBorders>
            <w:shd w:val="clear" w:color="auto" w:fill="auto"/>
            <w:noWrap/>
            <w:vAlign w:val="center"/>
            <w:hideMark/>
          </w:tcPr>
          <w:p w14:paraId="24425058"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1F10F40C" w14:textId="77777777" w:rsidR="00B9311E" w:rsidRPr="00BD77D8" w:rsidRDefault="00B9311E" w:rsidP="00B9311E">
            <w:pPr>
              <w:spacing w:after="0" w:line="240" w:lineRule="auto"/>
              <w:jc w:val="right"/>
              <w:rPr>
                <w:sz w:val="18"/>
                <w:szCs w:val="18"/>
              </w:rPr>
            </w:pPr>
            <w:r w:rsidRPr="00BD77D8">
              <w:rPr>
                <w:sz w:val="18"/>
                <w:szCs w:val="18"/>
              </w:rPr>
              <w:t xml:space="preserve">               141 </w:t>
            </w:r>
          </w:p>
        </w:tc>
      </w:tr>
      <w:tr w:rsidR="00BD77D8" w:rsidRPr="00BD77D8" w14:paraId="76354737" w14:textId="77777777" w:rsidTr="003057FB">
        <w:trPr>
          <w:trHeight w:val="251"/>
        </w:trPr>
        <w:tc>
          <w:tcPr>
            <w:tcW w:w="0" w:type="auto"/>
            <w:tcBorders>
              <w:top w:val="nil"/>
              <w:left w:val="nil"/>
              <w:bottom w:val="nil"/>
              <w:right w:val="nil"/>
            </w:tcBorders>
            <w:shd w:val="clear" w:color="auto" w:fill="auto"/>
            <w:noWrap/>
            <w:vAlign w:val="center"/>
            <w:hideMark/>
          </w:tcPr>
          <w:p w14:paraId="0C202A83" w14:textId="77777777" w:rsidR="00B9311E" w:rsidRPr="00BD77D8" w:rsidRDefault="00B9311E" w:rsidP="00B9311E">
            <w:pPr>
              <w:spacing w:after="0" w:line="240" w:lineRule="auto"/>
              <w:rPr>
                <w:sz w:val="18"/>
                <w:szCs w:val="18"/>
              </w:rPr>
            </w:pPr>
            <w:r w:rsidRPr="00BD77D8">
              <w:rPr>
                <w:sz w:val="18"/>
                <w:szCs w:val="18"/>
              </w:rPr>
              <w:t xml:space="preserve"> Assistant Director-General, Disability and Seniors Connect </w:t>
            </w:r>
          </w:p>
        </w:tc>
        <w:tc>
          <w:tcPr>
            <w:tcW w:w="0" w:type="auto"/>
            <w:tcBorders>
              <w:top w:val="nil"/>
              <w:left w:val="nil"/>
              <w:bottom w:val="nil"/>
              <w:right w:val="nil"/>
            </w:tcBorders>
            <w:shd w:val="clear" w:color="auto" w:fill="auto"/>
            <w:noWrap/>
            <w:vAlign w:val="center"/>
            <w:hideMark/>
          </w:tcPr>
          <w:p w14:paraId="490B8E73" w14:textId="77777777" w:rsidR="00B9311E" w:rsidRPr="00BD77D8" w:rsidRDefault="00B9311E" w:rsidP="00B9311E">
            <w:pPr>
              <w:spacing w:after="0" w:line="240" w:lineRule="auto"/>
              <w:jc w:val="right"/>
              <w:rPr>
                <w:sz w:val="18"/>
                <w:szCs w:val="18"/>
              </w:rPr>
            </w:pPr>
            <w:r w:rsidRPr="00BD77D8">
              <w:rPr>
                <w:sz w:val="18"/>
                <w:szCs w:val="18"/>
              </w:rPr>
              <w:t xml:space="preserve">               120 </w:t>
            </w:r>
          </w:p>
        </w:tc>
        <w:tc>
          <w:tcPr>
            <w:tcW w:w="0" w:type="auto"/>
            <w:tcBorders>
              <w:top w:val="nil"/>
              <w:left w:val="nil"/>
              <w:bottom w:val="nil"/>
              <w:right w:val="nil"/>
            </w:tcBorders>
            <w:shd w:val="clear" w:color="auto" w:fill="auto"/>
            <w:noWrap/>
            <w:vAlign w:val="center"/>
            <w:hideMark/>
          </w:tcPr>
          <w:p w14:paraId="5B64A7B8"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3F8324CC" w14:textId="77777777" w:rsidR="00B9311E" w:rsidRPr="00BD77D8" w:rsidRDefault="00B9311E" w:rsidP="00B9311E">
            <w:pPr>
              <w:spacing w:after="0" w:line="240" w:lineRule="auto"/>
              <w:jc w:val="right"/>
              <w:rPr>
                <w:sz w:val="18"/>
                <w:szCs w:val="18"/>
              </w:rPr>
            </w:pPr>
            <w:r w:rsidRPr="00BD77D8">
              <w:rPr>
                <w:sz w:val="18"/>
                <w:szCs w:val="18"/>
              </w:rPr>
              <w:t xml:space="preserve">                    3 </w:t>
            </w:r>
          </w:p>
        </w:tc>
        <w:tc>
          <w:tcPr>
            <w:tcW w:w="0" w:type="auto"/>
            <w:tcBorders>
              <w:top w:val="nil"/>
              <w:left w:val="nil"/>
              <w:bottom w:val="nil"/>
              <w:right w:val="nil"/>
            </w:tcBorders>
            <w:shd w:val="clear" w:color="auto" w:fill="auto"/>
            <w:noWrap/>
            <w:vAlign w:val="center"/>
            <w:hideMark/>
          </w:tcPr>
          <w:p w14:paraId="25276F9E" w14:textId="77777777" w:rsidR="00B9311E" w:rsidRPr="00BD77D8" w:rsidRDefault="00B9311E" w:rsidP="00B9311E">
            <w:pPr>
              <w:spacing w:after="0" w:line="240" w:lineRule="auto"/>
              <w:jc w:val="right"/>
              <w:rPr>
                <w:sz w:val="18"/>
                <w:szCs w:val="18"/>
              </w:rPr>
            </w:pPr>
            <w:r w:rsidRPr="00BD77D8">
              <w:rPr>
                <w:sz w:val="18"/>
                <w:szCs w:val="18"/>
              </w:rPr>
              <w:t xml:space="preserve">                 14 </w:t>
            </w:r>
          </w:p>
        </w:tc>
        <w:tc>
          <w:tcPr>
            <w:tcW w:w="0" w:type="auto"/>
            <w:tcBorders>
              <w:top w:val="nil"/>
              <w:left w:val="nil"/>
              <w:bottom w:val="nil"/>
              <w:right w:val="nil"/>
            </w:tcBorders>
            <w:shd w:val="clear" w:color="auto" w:fill="auto"/>
            <w:noWrap/>
            <w:vAlign w:val="center"/>
            <w:hideMark/>
          </w:tcPr>
          <w:p w14:paraId="74F1BB24"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78A53D80" w14:textId="77777777" w:rsidR="00B9311E" w:rsidRPr="00BD77D8" w:rsidRDefault="00B9311E" w:rsidP="00B9311E">
            <w:pPr>
              <w:spacing w:after="0" w:line="240" w:lineRule="auto"/>
              <w:jc w:val="right"/>
              <w:rPr>
                <w:sz w:val="18"/>
                <w:szCs w:val="18"/>
              </w:rPr>
            </w:pPr>
            <w:r w:rsidRPr="00BD77D8">
              <w:rPr>
                <w:sz w:val="18"/>
                <w:szCs w:val="18"/>
              </w:rPr>
              <w:t xml:space="preserve">               139 </w:t>
            </w:r>
          </w:p>
        </w:tc>
      </w:tr>
      <w:tr w:rsidR="00BD77D8" w:rsidRPr="00BD77D8" w14:paraId="2FE00117" w14:textId="77777777" w:rsidTr="003057FB">
        <w:trPr>
          <w:trHeight w:val="251"/>
        </w:trPr>
        <w:tc>
          <w:tcPr>
            <w:tcW w:w="0" w:type="auto"/>
            <w:tcBorders>
              <w:top w:val="nil"/>
              <w:left w:val="nil"/>
              <w:bottom w:val="nil"/>
              <w:right w:val="nil"/>
            </w:tcBorders>
            <w:shd w:val="clear" w:color="auto" w:fill="auto"/>
            <w:noWrap/>
            <w:vAlign w:val="center"/>
            <w:hideMark/>
          </w:tcPr>
          <w:p w14:paraId="74FA0296" w14:textId="77777777" w:rsidR="00B9311E" w:rsidRPr="00BD77D8" w:rsidRDefault="00B9311E" w:rsidP="00B9311E">
            <w:pPr>
              <w:spacing w:after="0" w:line="240" w:lineRule="auto"/>
              <w:rPr>
                <w:sz w:val="18"/>
                <w:szCs w:val="18"/>
              </w:rPr>
            </w:pPr>
            <w:r w:rsidRPr="00BD77D8">
              <w:rPr>
                <w:sz w:val="18"/>
                <w:szCs w:val="18"/>
              </w:rPr>
              <w:t xml:space="preserve"> Assistant Director-General, Disability Accommodation, Respite and Forensic Services  </w:t>
            </w:r>
          </w:p>
        </w:tc>
        <w:tc>
          <w:tcPr>
            <w:tcW w:w="0" w:type="auto"/>
            <w:tcBorders>
              <w:top w:val="nil"/>
              <w:left w:val="nil"/>
              <w:bottom w:val="nil"/>
              <w:right w:val="nil"/>
            </w:tcBorders>
            <w:shd w:val="clear" w:color="auto" w:fill="auto"/>
            <w:noWrap/>
            <w:vAlign w:val="center"/>
            <w:hideMark/>
          </w:tcPr>
          <w:p w14:paraId="36422D34" w14:textId="77777777" w:rsidR="00B9311E" w:rsidRPr="00BD77D8" w:rsidRDefault="00B9311E" w:rsidP="00B9311E">
            <w:pPr>
              <w:spacing w:after="0" w:line="240" w:lineRule="auto"/>
              <w:jc w:val="right"/>
              <w:rPr>
                <w:sz w:val="18"/>
                <w:szCs w:val="18"/>
              </w:rPr>
            </w:pPr>
            <w:r w:rsidRPr="00BD77D8">
              <w:rPr>
                <w:sz w:val="18"/>
                <w:szCs w:val="18"/>
              </w:rPr>
              <w:t xml:space="preserve">               143 </w:t>
            </w:r>
          </w:p>
        </w:tc>
        <w:tc>
          <w:tcPr>
            <w:tcW w:w="0" w:type="auto"/>
            <w:tcBorders>
              <w:top w:val="nil"/>
              <w:left w:val="nil"/>
              <w:bottom w:val="nil"/>
              <w:right w:val="nil"/>
            </w:tcBorders>
            <w:shd w:val="clear" w:color="auto" w:fill="auto"/>
            <w:noWrap/>
            <w:vAlign w:val="center"/>
            <w:hideMark/>
          </w:tcPr>
          <w:p w14:paraId="23CCEF58"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0806D971" w14:textId="77777777" w:rsidR="00B9311E" w:rsidRPr="00BD77D8" w:rsidRDefault="00B9311E" w:rsidP="00B9311E">
            <w:pPr>
              <w:spacing w:after="0" w:line="240" w:lineRule="auto"/>
              <w:jc w:val="right"/>
              <w:rPr>
                <w:sz w:val="18"/>
                <w:szCs w:val="18"/>
              </w:rPr>
            </w:pPr>
            <w:r w:rsidRPr="00BD77D8">
              <w:rPr>
                <w:sz w:val="18"/>
                <w:szCs w:val="18"/>
              </w:rPr>
              <w:t xml:space="preserve">                    3 </w:t>
            </w:r>
          </w:p>
        </w:tc>
        <w:tc>
          <w:tcPr>
            <w:tcW w:w="0" w:type="auto"/>
            <w:tcBorders>
              <w:top w:val="nil"/>
              <w:left w:val="nil"/>
              <w:bottom w:val="nil"/>
              <w:right w:val="nil"/>
            </w:tcBorders>
            <w:shd w:val="clear" w:color="auto" w:fill="auto"/>
            <w:noWrap/>
            <w:vAlign w:val="center"/>
            <w:hideMark/>
          </w:tcPr>
          <w:p w14:paraId="09D068B2" w14:textId="77777777" w:rsidR="00B9311E" w:rsidRPr="00BD77D8" w:rsidRDefault="00B9311E" w:rsidP="00B9311E">
            <w:pPr>
              <w:spacing w:after="0" w:line="240" w:lineRule="auto"/>
              <w:jc w:val="right"/>
              <w:rPr>
                <w:sz w:val="18"/>
                <w:szCs w:val="18"/>
              </w:rPr>
            </w:pPr>
            <w:r w:rsidRPr="00BD77D8">
              <w:rPr>
                <w:sz w:val="18"/>
                <w:szCs w:val="18"/>
              </w:rPr>
              <w:t xml:space="preserve">                 15 </w:t>
            </w:r>
          </w:p>
        </w:tc>
        <w:tc>
          <w:tcPr>
            <w:tcW w:w="0" w:type="auto"/>
            <w:tcBorders>
              <w:top w:val="nil"/>
              <w:left w:val="nil"/>
              <w:bottom w:val="nil"/>
              <w:right w:val="nil"/>
            </w:tcBorders>
            <w:shd w:val="clear" w:color="auto" w:fill="auto"/>
            <w:noWrap/>
            <w:vAlign w:val="center"/>
            <w:hideMark/>
          </w:tcPr>
          <w:p w14:paraId="1B4D2153"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79042A84" w14:textId="77777777" w:rsidR="00B9311E" w:rsidRPr="00BD77D8" w:rsidRDefault="00B9311E" w:rsidP="00B9311E">
            <w:pPr>
              <w:spacing w:after="0" w:line="240" w:lineRule="auto"/>
              <w:jc w:val="right"/>
              <w:rPr>
                <w:sz w:val="18"/>
                <w:szCs w:val="18"/>
              </w:rPr>
            </w:pPr>
            <w:r w:rsidRPr="00BD77D8">
              <w:rPr>
                <w:sz w:val="18"/>
                <w:szCs w:val="18"/>
              </w:rPr>
              <w:t xml:space="preserve">               163 </w:t>
            </w:r>
          </w:p>
        </w:tc>
      </w:tr>
      <w:tr w:rsidR="00BD77D8" w:rsidRPr="00BD77D8" w14:paraId="04A1A3F8" w14:textId="77777777" w:rsidTr="003057FB">
        <w:trPr>
          <w:trHeight w:val="251"/>
        </w:trPr>
        <w:tc>
          <w:tcPr>
            <w:tcW w:w="0" w:type="auto"/>
            <w:tcBorders>
              <w:top w:val="nil"/>
              <w:left w:val="nil"/>
              <w:bottom w:val="nil"/>
              <w:right w:val="nil"/>
            </w:tcBorders>
            <w:shd w:val="clear" w:color="auto" w:fill="auto"/>
            <w:noWrap/>
            <w:vAlign w:val="center"/>
            <w:hideMark/>
          </w:tcPr>
          <w:p w14:paraId="3F96A200" w14:textId="77777777" w:rsidR="00B9311E" w:rsidRPr="00BD77D8" w:rsidRDefault="00B9311E" w:rsidP="00B9311E">
            <w:pPr>
              <w:spacing w:after="0" w:line="240" w:lineRule="auto"/>
              <w:rPr>
                <w:sz w:val="18"/>
                <w:szCs w:val="18"/>
              </w:rPr>
            </w:pPr>
            <w:r w:rsidRPr="00BD77D8">
              <w:rPr>
                <w:sz w:val="18"/>
                <w:szCs w:val="18"/>
              </w:rPr>
              <w:t xml:space="preserve"> Chief Human Resources Officer </w:t>
            </w:r>
          </w:p>
        </w:tc>
        <w:tc>
          <w:tcPr>
            <w:tcW w:w="0" w:type="auto"/>
            <w:tcBorders>
              <w:top w:val="nil"/>
              <w:left w:val="nil"/>
              <w:bottom w:val="nil"/>
              <w:right w:val="nil"/>
            </w:tcBorders>
            <w:shd w:val="clear" w:color="auto" w:fill="auto"/>
            <w:noWrap/>
            <w:vAlign w:val="center"/>
            <w:hideMark/>
          </w:tcPr>
          <w:p w14:paraId="10D1C141" w14:textId="77777777" w:rsidR="00B9311E" w:rsidRPr="00BD77D8" w:rsidRDefault="00B9311E" w:rsidP="00B9311E">
            <w:pPr>
              <w:spacing w:after="0" w:line="240" w:lineRule="auto"/>
              <w:jc w:val="right"/>
              <w:rPr>
                <w:sz w:val="18"/>
                <w:szCs w:val="18"/>
              </w:rPr>
            </w:pPr>
            <w:r w:rsidRPr="00BD77D8">
              <w:rPr>
                <w:sz w:val="18"/>
                <w:szCs w:val="18"/>
              </w:rPr>
              <w:t xml:space="preserve">               125 </w:t>
            </w:r>
          </w:p>
        </w:tc>
        <w:tc>
          <w:tcPr>
            <w:tcW w:w="0" w:type="auto"/>
            <w:tcBorders>
              <w:top w:val="nil"/>
              <w:left w:val="nil"/>
              <w:bottom w:val="nil"/>
              <w:right w:val="nil"/>
            </w:tcBorders>
            <w:shd w:val="clear" w:color="auto" w:fill="auto"/>
            <w:noWrap/>
            <w:vAlign w:val="center"/>
            <w:hideMark/>
          </w:tcPr>
          <w:p w14:paraId="59EF99A0"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57E5861C" w14:textId="77777777" w:rsidR="00B9311E" w:rsidRPr="00BD77D8" w:rsidRDefault="00B9311E" w:rsidP="00B9311E">
            <w:pPr>
              <w:spacing w:after="0" w:line="240" w:lineRule="auto"/>
              <w:jc w:val="right"/>
              <w:rPr>
                <w:sz w:val="18"/>
                <w:szCs w:val="18"/>
              </w:rPr>
            </w:pPr>
            <w:r w:rsidRPr="00BD77D8">
              <w:rPr>
                <w:sz w:val="18"/>
                <w:szCs w:val="18"/>
              </w:rPr>
              <w:t xml:space="preserve">                    3 </w:t>
            </w:r>
          </w:p>
        </w:tc>
        <w:tc>
          <w:tcPr>
            <w:tcW w:w="0" w:type="auto"/>
            <w:tcBorders>
              <w:top w:val="nil"/>
              <w:left w:val="nil"/>
              <w:bottom w:val="nil"/>
              <w:right w:val="nil"/>
            </w:tcBorders>
            <w:shd w:val="clear" w:color="auto" w:fill="auto"/>
            <w:noWrap/>
            <w:vAlign w:val="center"/>
            <w:hideMark/>
          </w:tcPr>
          <w:p w14:paraId="1B56CB19" w14:textId="77777777" w:rsidR="00B9311E" w:rsidRPr="00BD77D8" w:rsidRDefault="00B9311E" w:rsidP="00B9311E">
            <w:pPr>
              <w:spacing w:after="0" w:line="240" w:lineRule="auto"/>
              <w:jc w:val="right"/>
              <w:rPr>
                <w:sz w:val="18"/>
                <w:szCs w:val="18"/>
              </w:rPr>
            </w:pPr>
            <w:r w:rsidRPr="00BD77D8">
              <w:rPr>
                <w:sz w:val="18"/>
                <w:szCs w:val="18"/>
              </w:rPr>
              <w:t xml:space="preserve">                 13 </w:t>
            </w:r>
          </w:p>
        </w:tc>
        <w:tc>
          <w:tcPr>
            <w:tcW w:w="0" w:type="auto"/>
            <w:tcBorders>
              <w:top w:val="nil"/>
              <w:left w:val="nil"/>
              <w:bottom w:val="nil"/>
              <w:right w:val="nil"/>
            </w:tcBorders>
            <w:shd w:val="clear" w:color="auto" w:fill="auto"/>
            <w:noWrap/>
            <w:vAlign w:val="center"/>
            <w:hideMark/>
          </w:tcPr>
          <w:p w14:paraId="6BBA3946"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62341F4C" w14:textId="77777777" w:rsidR="00B9311E" w:rsidRPr="00BD77D8" w:rsidRDefault="00B9311E" w:rsidP="00B9311E">
            <w:pPr>
              <w:spacing w:after="0" w:line="240" w:lineRule="auto"/>
              <w:jc w:val="right"/>
              <w:rPr>
                <w:sz w:val="18"/>
                <w:szCs w:val="18"/>
              </w:rPr>
            </w:pPr>
            <w:r w:rsidRPr="00BD77D8">
              <w:rPr>
                <w:sz w:val="18"/>
                <w:szCs w:val="18"/>
              </w:rPr>
              <w:t xml:space="preserve">               143 </w:t>
            </w:r>
          </w:p>
        </w:tc>
      </w:tr>
      <w:tr w:rsidR="00BD77D8" w:rsidRPr="00BD77D8" w14:paraId="5D880FEF" w14:textId="77777777" w:rsidTr="003057FB">
        <w:trPr>
          <w:trHeight w:val="251"/>
        </w:trPr>
        <w:tc>
          <w:tcPr>
            <w:tcW w:w="0" w:type="auto"/>
            <w:tcBorders>
              <w:top w:val="nil"/>
              <w:left w:val="nil"/>
              <w:bottom w:val="nil"/>
              <w:right w:val="nil"/>
            </w:tcBorders>
            <w:shd w:val="clear" w:color="auto" w:fill="auto"/>
            <w:noWrap/>
            <w:vAlign w:val="center"/>
            <w:hideMark/>
          </w:tcPr>
          <w:p w14:paraId="481C1026" w14:textId="77777777" w:rsidR="00B9311E" w:rsidRPr="00BD77D8" w:rsidRDefault="00B9311E" w:rsidP="00B9311E">
            <w:pPr>
              <w:spacing w:after="0" w:line="240" w:lineRule="auto"/>
              <w:rPr>
                <w:sz w:val="18"/>
                <w:szCs w:val="18"/>
              </w:rPr>
            </w:pPr>
            <w:r w:rsidRPr="00BD77D8">
              <w:rPr>
                <w:sz w:val="18"/>
                <w:szCs w:val="18"/>
              </w:rPr>
              <w:t xml:space="preserve"> Chief Finance Officer </w:t>
            </w:r>
          </w:p>
        </w:tc>
        <w:tc>
          <w:tcPr>
            <w:tcW w:w="0" w:type="auto"/>
            <w:tcBorders>
              <w:top w:val="nil"/>
              <w:left w:val="nil"/>
              <w:bottom w:val="nil"/>
              <w:right w:val="nil"/>
            </w:tcBorders>
            <w:shd w:val="clear" w:color="auto" w:fill="auto"/>
            <w:noWrap/>
            <w:vAlign w:val="center"/>
            <w:hideMark/>
          </w:tcPr>
          <w:p w14:paraId="77A45E57" w14:textId="77777777" w:rsidR="00B9311E" w:rsidRPr="00BD77D8" w:rsidRDefault="00B9311E" w:rsidP="00B9311E">
            <w:pPr>
              <w:spacing w:after="0" w:line="240" w:lineRule="auto"/>
              <w:jc w:val="right"/>
              <w:rPr>
                <w:sz w:val="18"/>
                <w:szCs w:val="18"/>
              </w:rPr>
            </w:pPr>
            <w:r w:rsidRPr="00BD77D8">
              <w:rPr>
                <w:sz w:val="18"/>
                <w:szCs w:val="18"/>
              </w:rPr>
              <w:t xml:space="preserve">               120 </w:t>
            </w:r>
          </w:p>
        </w:tc>
        <w:tc>
          <w:tcPr>
            <w:tcW w:w="0" w:type="auto"/>
            <w:tcBorders>
              <w:top w:val="nil"/>
              <w:left w:val="nil"/>
              <w:bottom w:val="nil"/>
              <w:right w:val="nil"/>
            </w:tcBorders>
            <w:shd w:val="clear" w:color="auto" w:fill="auto"/>
            <w:noWrap/>
            <w:vAlign w:val="center"/>
            <w:hideMark/>
          </w:tcPr>
          <w:p w14:paraId="77C415F4"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388B36A4" w14:textId="77777777" w:rsidR="00B9311E" w:rsidRPr="00BD77D8" w:rsidRDefault="00B9311E" w:rsidP="00B9311E">
            <w:pPr>
              <w:spacing w:after="0" w:line="240" w:lineRule="auto"/>
              <w:jc w:val="right"/>
              <w:rPr>
                <w:sz w:val="18"/>
                <w:szCs w:val="18"/>
              </w:rPr>
            </w:pPr>
            <w:r w:rsidRPr="00BD77D8">
              <w:rPr>
                <w:sz w:val="18"/>
                <w:szCs w:val="18"/>
              </w:rPr>
              <w:t xml:space="preserve">                    3 </w:t>
            </w:r>
          </w:p>
        </w:tc>
        <w:tc>
          <w:tcPr>
            <w:tcW w:w="0" w:type="auto"/>
            <w:tcBorders>
              <w:top w:val="nil"/>
              <w:left w:val="nil"/>
              <w:bottom w:val="nil"/>
              <w:right w:val="nil"/>
            </w:tcBorders>
            <w:shd w:val="clear" w:color="auto" w:fill="auto"/>
            <w:noWrap/>
            <w:vAlign w:val="center"/>
            <w:hideMark/>
          </w:tcPr>
          <w:p w14:paraId="4FBBF4F0" w14:textId="77777777" w:rsidR="00B9311E" w:rsidRPr="00BD77D8" w:rsidRDefault="00B9311E" w:rsidP="00B9311E">
            <w:pPr>
              <w:spacing w:after="0" w:line="240" w:lineRule="auto"/>
              <w:jc w:val="right"/>
              <w:rPr>
                <w:sz w:val="18"/>
                <w:szCs w:val="18"/>
              </w:rPr>
            </w:pPr>
            <w:r w:rsidRPr="00BD77D8">
              <w:rPr>
                <w:sz w:val="18"/>
                <w:szCs w:val="18"/>
              </w:rPr>
              <w:t xml:space="preserve">                 13 </w:t>
            </w:r>
          </w:p>
        </w:tc>
        <w:tc>
          <w:tcPr>
            <w:tcW w:w="0" w:type="auto"/>
            <w:tcBorders>
              <w:top w:val="nil"/>
              <w:left w:val="nil"/>
              <w:bottom w:val="nil"/>
              <w:right w:val="nil"/>
            </w:tcBorders>
            <w:shd w:val="clear" w:color="auto" w:fill="auto"/>
            <w:noWrap/>
            <w:vAlign w:val="center"/>
            <w:hideMark/>
          </w:tcPr>
          <w:p w14:paraId="78B08056"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26386BB0" w14:textId="77777777" w:rsidR="00B9311E" w:rsidRPr="00BD77D8" w:rsidRDefault="00B9311E" w:rsidP="00B9311E">
            <w:pPr>
              <w:spacing w:after="0" w:line="240" w:lineRule="auto"/>
              <w:jc w:val="right"/>
              <w:rPr>
                <w:sz w:val="18"/>
                <w:szCs w:val="18"/>
              </w:rPr>
            </w:pPr>
            <w:r w:rsidRPr="00BD77D8">
              <w:rPr>
                <w:sz w:val="18"/>
                <w:szCs w:val="18"/>
              </w:rPr>
              <w:t xml:space="preserve">               138 </w:t>
            </w:r>
          </w:p>
        </w:tc>
      </w:tr>
      <w:tr w:rsidR="00BD77D8" w:rsidRPr="00BD77D8" w14:paraId="10E75570" w14:textId="77777777" w:rsidTr="003057FB">
        <w:trPr>
          <w:trHeight w:val="251"/>
        </w:trPr>
        <w:tc>
          <w:tcPr>
            <w:tcW w:w="0" w:type="auto"/>
            <w:tcBorders>
              <w:top w:val="nil"/>
              <w:left w:val="nil"/>
              <w:bottom w:val="nil"/>
              <w:right w:val="nil"/>
            </w:tcBorders>
            <w:shd w:val="clear" w:color="auto" w:fill="auto"/>
            <w:noWrap/>
            <w:vAlign w:val="bottom"/>
            <w:hideMark/>
          </w:tcPr>
          <w:p w14:paraId="47D82B3A"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noWrap/>
            <w:vAlign w:val="bottom"/>
            <w:hideMark/>
          </w:tcPr>
          <w:p w14:paraId="4AFF1D05" w14:textId="77777777" w:rsidR="00B9311E" w:rsidRPr="00BD77D8" w:rsidRDefault="00B9311E" w:rsidP="00B931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8093790" w14:textId="77777777" w:rsidR="00B9311E" w:rsidRPr="00BD77D8" w:rsidRDefault="00B9311E" w:rsidP="00B931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4A5549F" w14:textId="77777777" w:rsidR="00B9311E" w:rsidRPr="00BD77D8" w:rsidRDefault="00B9311E" w:rsidP="00B931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5AC3246" w14:textId="77777777" w:rsidR="00B9311E" w:rsidRPr="00BD77D8" w:rsidRDefault="00B9311E" w:rsidP="00B931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A119175" w14:textId="77777777" w:rsidR="00B9311E" w:rsidRPr="00BD77D8" w:rsidRDefault="00B9311E" w:rsidP="00B931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F05E9CE" w14:textId="77777777" w:rsidR="00B9311E" w:rsidRPr="00BD77D8" w:rsidRDefault="00B9311E" w:rsidP="00B9311E">
            <w:pPr>
              <w:spacing w:after="0" w:line="240" w:lineRule="auto"/>
              <w:rPr>
                <w:rFonts w:ascii="Times New Roman" w:hAnsi="Times New Roman" w:cs="Times New Roman"/>
                <w:sz w:val="20"/>
                <w:szCs w:val="20"/>
              </w:rPr>
            </w:pPr>
          </w:p>
        </w:tc>
      </w:tr>
      <w:tr w:rsidR="00BD77D8" w:rsidRPr="00BD77D8" w14:paraId="68FDFA74" w14:textId="77777777" w:rsidTr="003057FB">
        <w:trPr>
          <w:trHeight w:val="477"/>
        </w:trPr>
        <w:tc>
          <w:tcPr>
            <w:tcW w:w="0" w:type="auto"/>
            <w:tcBorders>
              <w:top w:val="nil"/>
              <w:left w:val="nil"/>
              <w:bottom w:val="nil"/>
              <w:right w:val="nil"/>
            </w:tcBorders>
            <w:shd w:val="clear" w:color="auto" w:fill="auto"/>
            <w:noWrap/>
            <w:vAlign w:val="center"/>
            <w:hideMark/>
          </w:tcPr>
          <w:p w14:paraId="15C555C0" w14:textId="77777777" w:rsidR="00B9311E" w:rsidRPr="00BD77D8" w:rsidRDefault="00B9311E" w:rsidP="00B9311E">
            <w:pPr>
              <w:spacing w:after="0" w:line="240" w:lineRule="auto"/>
              <w:rPr>
                <w:rFonts w:ascii="Times New Roman" w:hAnsi="Times New Roman" w:cs="Times New Roman"/>
                <w:sz w:val="20"/>
                <w:szCs w:val="20"/>
              </w:rPr>
            </w:pPr>
          </w:p>
        </w:tc>
        <w:tc>
          <w:tcPr>
            <w:tcW w:w="0" w:type="auto"/>
            <w:gridSpan w:val="2"/>
            <w:tcBorders>
              <w:top w:val="nil"/>
              <w:left w:val="nil"/>
              <w:bottom w:val="nil"/>
              <w:right w:val="nil"/>
            </w:tcBorders>
            <w:shd w:val="clear" w:color="auto" w:fill="auto"/>
            <w:vAlign w:val="center"/>
            <w:hideMark/>
          </w:tcPr>
          <w:p w14:paraId="4E7752BB" w14:textId="77777777" w:rsidR="00B9311E" w:rsidRPr="00BD77D8" w:rsidRDefault="00B9311E" w:rsidP="00B9311E">
            <w:pPr>
              <w:spacing w:after="0" w:line="240" w:lineRule="auto"/>
              <w:jc w:val="center"/>
              <w:rPr>
                <w:b/>
                <w:bCs/>
                <w:sz w:val="18"/>
                <w:szCs w:val="18"/>
              </w:rPr>
            </w:pPr>
            <w:r w:rsidRPr="00BD77D8">
              <w:rPr>
                <w:b/>
                <w:bCs/>
                <w:sz w:val="18"/>
                <w:szCs w:val="18"/>
              </w:rPr>
              <w:t xml:space="preserve"> Short Term Employee Expenses </w:t>
            </w:r>
          </w:p>
        </w:tc>
        <w:tc>
          <w:tcPr>
            <w:tcW w:w="0" w:type="auto"/>
            <w:gridSpan w:val="3"/>
            <w:tcBorders>
              <w:top w:val="nil"/>
              <w:left w:val="nil"/>
              <w:bottom w:val="nil"/>
              <w:right w:val="nil"/>
            </w:tcBorders>
            <w:shd w:val="clear" w:color="auto" w:fill="auto"/>
            <w:vAlign w:val="center"/>
            <w:hideMark/>
          </w:tcPr>
          <w:p w14:paraId="52ADC1AD" w14:textId="77777777" w:rsidR="00B9311E" w:rsidRPr="00BD77D8" w:rsidRDefault="00B9311E" w:rsidP="00B9311E">
            <w:pPr>
              <w:spacing w:after="0" w:line="240" w:lineRule="auto"/>
              <w:jc w:val="center"/>
              <w:rPr>
                <w:b/>
                <w:bCs/>
                <w:sz w:val="18"/>
                <w:szCs w:val="18"/>
              </w:rPr>
            </w:pPr>
            <w:r w:rsidRPr="00BD77D8">
              <w:rPr>
                <w:b/>
                <w:bCs/>
                <w:sz w:val="18"/>
                <w:szCs w:val="18"/>
              </w:rPr>
              <w:t xml:space="preserve"> Other Employee Benefits </w:t>
            </w:r>
          </w:p>
        </w:tc>
        <w:tc>
          <w:tcPr>
            <w:tcW w:w="0" w:type="auto"/>
            <w:tcBorders>
              <w:top w:val="nil"/>
              <w:left w:val="nil"/>
              <w:bottom w:val="nil"/>
              <w:right w:val="nil"/>
            </w:tcBorders>
            <w:shd w:val="clear" w:color="auto" w:fill="auto"/>
            <w:vAlign w:val="center"/>
            <w:hideMark/>
          </w:tcPr>
          <w:p w14:paraId="6EEBD958" w14:textId="77777777" w:rsidR="00B9311E" w:rsidRPr="00BD77D8" w:rsidRDefault="00B9311E" w:rsidP="00B9311E">
            <w:pPr>
              <w:spacing w:after="0" w:line="240" w:lineRule="auto"/>
              <w:jc w:val="center"/>
              <w:rPr>
                <w:b/>
                <w:bCs/>
                <w:sz w:val="18"/>
                <w:szCs w:val="18"/>
              </w:rPr>
            </w:pPr>
          </w:p>
        </w:tc>
      </w:tr>
      <w:tr w:rsidR="00BD77D8" w:rsidRPr="00BD77D8" w14:paraId="65FE2530" w14:textId="77777777" w:rsidTr="003057FB">
        <w:trPr>
          <w:trHeight w:val="636"/>
        </w:trPr>
        <w:tc>
          <w:tcPr>
            <w:tcW w:w="0" w:type="auto"/>
            <w:tcBorders>
              <w:top w:val="nil"/>
              <w:left w:val="nil"/>
              <w:bottom w:val="nil"/>
              <w:right w:val="nil"/>
            </w:tcBorders>
            <w:shd w:val="clear" w:color="auto" w:fill="auto"/>
            <w:vAlign w:val="center"/>
            <w:hideMark/>
          </w:tcPr>
          <w:p w14:paraId="727E2D26" w14:textId="77777777" w:rsidR="00B9311E" w:rsidRPr="00BD77D8" w:rsidRDefault="00B9311E" w:rsidP="00B9311E">
            <w:pPr>
              <w:spacing w:after="0" w:line="240" w:lineRule="auto"/>
              <w:rPr>
                <w:b/>
                <w:bCs/>
                <w:sz w:val="18"/>
                <w:szCs w:val="18"/>
              </w:rPr>
            </w:pPr>
            <w:r w:rsidRPr="00BD77D8">
              <w:rPr>
                <w:b/>
                <w:bCs/>
                <w:sz w:val="18"/>
                <w:szCs w:val="18"/>
              </w:rPr>
              <w:t xml:space="preserve"> 1 July 2020 - 30 November 2020 </w:t>
            </w:r>
          </w:p>
        </w:tc>
        <w:tc>
          <w:tcPr>
            <w:tcW w:w="0" w:type="auto"/>
            <w:tcBorders>
              <w:top w:val="nil"/>
              <w:left w:val="nil"/>
              <w:bottom w:val="nil"/>
              <w:right w:val="nil"/>
            </w:tcBorders>
            <w:shd w:val="clear" w:color="auto" w:fill="auto"/>
            <w:vAlign w:val="center"/>
            <w:hideMark/>
          </w:tcPr>
          <w:p w14:paraId="6D96F20E" w14:textId="77777777" w:rsidR="00B9311E" w:rsidRPr="00BD77D8" w:rsidRDefault="00B9311E" w:rsidP="00B9311E">
            <w:pPr>
              <w:spacing w:after="0" w:line="240" w:lineRule="auto"/>
              <w:jc w:val="center"/>
              <w:rPr>
                <w:b/>
                <w:bCs/>
                <w:sz w:val="18"/>
                <w:szCs w:val="18"/>
              </w:rPr>
            </w:pPr>
            <w:r w:rsidRPr="00BD77D8">
              <w:rPr>
                <w:b/>
                <w:bCs/>
                <w:sz w:val="18"/>
                <w:szCs w:val="18"/>
              </w:rPr>
              <w:t>Monetary Expenses</w:t>
            </w:r>
          </w:p>
        </w:tc>
        <w:tc>
          <w:tcPr>
            <w:tcW w:w="0" w:type="auto"/>
            <w:tcBorders>
              <w:top w:val="nil"/>
              <w:left w:val="nil"/>
              <w:bottom w:val="nil"/>
              <w:right w:val="nil"/>
            </w:tcBorders>
            <w:shd w:val="clear" w:color="auto" w:fill="auto"/>
            <w:vAlign w:val="center"/>
            <w:hideMark/>
          </w:tcPr>
          <w:p w14:paraId="52D0E89D" w14:textId="77777777" w:rsidR="00B9311E" w:rsidRPr="00BD77D8" w:rsidRDefault="00B9311E" w:rsidP="00B9311E">
            <w:pPr>
              <w:spacing w:after="0" w:line="240" w:lineRule="auto"/>
              <w:jc w:val="center"/>
              <w:rPr>
                <w:b/>
                <w:bCs/>
                <w:sz w:val="18"/>
                <w:szCs w:val="18"/>
              </w:rPr>
            </w:pPr>
            <w:proofErr w:type="spellStart"/>
            <w:r w:rsidRPr="00BD77D8">
              <w:rPr>
                <w:b/>
                <w:bCs/>
                <w:sz w:val="18"/>
                <w:szCs w:val="18"/>
              </w:rPr>
              <w:t>Non Monetary</w:t>
            </w:r>
            <w:proofErr w:type="spellEnd"/>
            <w:r w:rsidRPr="00BD77D8">
              <w:rPr>
                <w:b/>
                <w:bCs/>
                <w:sz w:val="18"/>
                <w:szCs w:val="18"/>
              </w:rPr>
              <w:t xml:space="preserve"> Benefits</w:t>
            </w:r>
          </w:p>
        </w:tc>
        <w:tc>
          <w:tcPr>
            <w:tcW w:w="0" w:type="auto"/>
            <w:tcBorders>
              <w:top w:val="nil"/>
              <w:left w:val="nil"/>
              <w:bottom w:val="nil"/>
              <w:right w:val="nil"/>
            </w:tcBorders>
            <w:shd w:val="clear" w:color="auto" w:fill="auto"/>
            <w:vAlign w:val="center"/>
            <w:hideMark/>
          </w:tcPr>
          <w:p w14:paraId="3378ADAC" w14:textId="77777777" w:rsidR="00B9311E" w:rsidRPr="00BD77D8" w:rsidRDefault="00B9311E" w:rsidP="00B9311E">
            <w:pPr>
              <w:spacing w:after="0" w:line="240" w:lineRule="auto"/>
              <w:jc w:val="center"/>
              <w:rPr>
                <w:b/>
                <w:bCs/>
                <w:sz w:val="18"/>
                <w:szCs w:val="18"/>
              </w:rPr>
            </w:pPr>
            <w:r w:rsidRPr="00BD77D8">
              <w:rPr>
                <w:b/>
                <w:bCs/>
                <w:sz w:val="18"/>
                <w:szCs w:val="18"/>
              </w:rPr>
              <w:t>Long Term Employee Expenses</w:t>
            </w:r>
          </w:p>
        </w:tc>
        <w:tc>
          <w:tcPr>
            <w:tcW w:w="0" w:type="auto"/>
            <w:tcBorders>
              <w:top w:val="nil"/>
              <w:left w:val="nil"/>
              <w:bottom w:val="nil"/>
              <w:right w:val="nil"/>
            </w:tcBorders>
            <w:shd w:val="clear" w:color="auto" w:fill="auto"/>
            <w:vAlign w:val="center"/>
            <w:hideMark/>
          </w:tcPr>
          <w:p w14:paraId="37AB62C5" w14:textId="77777777" w:rsidR="00B9311E" w:rsidRPr="00BD77D8" w:rsidRDefault="00B9311E" w:rsidP="00B9311E">
            <w:pPr>
              <w:spacing w:after="0" w:line="240" w:lineRule="auto"/>
              <w:jc w:val="center"/>
              <w:rPr>
                <w:b/>
                <w:bCs/>
                <w:sz w:val="18"/>
                <w:szCs w:val="18"/>
              </w:rPr>
            </w:pPr>
            <w:proofErr w:type="spellStart"/>
            <w:r w:rsidRPr="00BD77D8">
              <w:rPr>
                <w:b/>
                <w:bCs/>
                <w:sz w:val="18"/>
                <w:szCs w:val="18"/>
              </w:rPr>
              <w:t>Post Employment</w:t>
            </w:r>
            <w:proofErr w:type="spellEnd"/>
            <w:r w:rsidRPr="00BD77D8">
              <w:rPr>
                <w:b/>
                <w:bCs/>
                <w:sz w:val="18"/>
                <w:szCs w:val="18"/>
              </w:rPr>
              <w:t xml:space="preserve"> Expenses</w:t>
            </w:r>
          </w:p>
        </w:tc>
        <w:tc>
          <w:tcPr>
            <w:tcW w:w="0" w:type="auto"/>
            <w:tcBorders>
              <w:top w:val="nil"/>
              <w:left w:val="nil"/>
              <w:bottom w:val="nil"/>
              <w:right w:val="nil"/>
            </w:tcBorders>
            <w:shd w:val="clear" w:color="auto" w:fill="auto"/>
            <w:vAlign w:val="center"/>
            <w:hideMark/>
          </w:tcPr>
          <w:p w14:paraId="44F8FDC0" w14:textId="77777777" w:rsidR="00B9311E" w:rsidRPr="00BD77D8" w:rsidRDefault="00B9311E" w:rsidP="00B9311E">
            <w:pPr>
              <w:spacing w:after="0" w:line="240" w:lineRule="auto"/>
              <w:jc w:val="center"/>
              <w:rPr>
                <w:b/>
                <w:bCs/>
                <w:sz w:val="18"/>
                <w:szCs w:val="18"/>
              </w:rPr>
            </w:pPr>
            <w:r w:rsidRPr="00BD77D8">
              <w:rPr>
                <w:b/>
                <w:bCs/>
                <w:sz w:val="18"/>
                <w:szCs w:val="18"/>
              </w:rPr>
              <w:t>Termination Benefits</w:t>
            </w:r>
          </w:p>
        </w:tc>
        <w:tc>
          <w:tcPr>
            <w:tcW w:w="0" w:type="auto"/>
            <w:tcBorders>
              <w:top w:val="nil"/>
              <w:left w:val="nil"/>
              <w:bottom w:val="nil"/>
              <w:right w:val="nil"/>
            </w:tcBorders>
            <w:shd w:val="clear" w:color="auto" w:fill="auto"/>
            <w:vAlign w:val="center"/>
            <w:hideMark/>
          </w:tcPr>
          <w:p w14:paraId="1F2B94F4" w14:textId="77777777" w:rsidR="00B9311E" w:rsidRPr="00BD77D8" w:rsidRDefault="00B9311E" w:rsidP="00B9311E">
            <w:pPr>
              <w:spacing w:after="0" w:line="240" w:lineRule="auto"/>
              <w:jc w:val="center"/>
              <w:rPr>
                <w:b/>
                <w:bCs/>
                <w:sz w:val="18"/>
                <w:szCs w:val="18"/>
              </w:rPr>
            </w:pPr>
            <w:r w:rsidRPr="00BD77D8">
              <w:rPr>
                <w:b/>
                <w:bCs/>
                <w:sz w:val="18"/>
                <w:szCs w:val="18"/>
              </w:rPr>
              <w:t>Total Expenses</w:t>
            </w:r>
          </w:p>
        </w:tc>
      </w:tr>
      <w:tr w:rsidR="00BD77D8" w:rsidRPr="00BD77D8" w14:paraId="4AE178D9" w14:textId="77777777" w:rsidTr="003057FB">
        <w:trPr>
          <w:trHeight w:val="251"/>
        </w:trPr>
        <w:tc>
          <w:tcPr>
            <w:tcW w:w="0" w:type="auto"/>
            <w:tcBorders>
              <w:top w:val="nil"/>
              <w:left w:val="nil"/>
              <w:bottom w:val="nil"/>
              <w:right w:val="nil"/>
            </w:tcBorders>
            <w:shd w:val="clear" w:color="auto" w:fill="auto"/>
            <w:vAlign w:val="center"/>
            <w:hideMark/>
          </w:tcPr>
          <w:p w14:paraId="61E58664" w14:textId="77777777" w:rsidR="00B9311E" w:rsidRPr="00BD77D8" w:rsidRDefault="00B9311E" w:rsidP="00B9311E">
            <w:pPr>
              <w:spacing w:after="0" w:line="240" w:lineRule="auto"/>
              <w:rPr>
                <w:b/>
                <w:bCs/>
                <w:sz w:val="18"/>
                <w:szCs w:val="18"/>
              </w:rPr>
            </w:pPr>
            <w:r w:rsidRPr="00BD77D8">
              <w:rPr>
                <w:b/>
                <w:bCs/>
                <w:sz w:val="18"/>
                <w:szCs w:val="18"/>
              </w:rPr>
              <w:t xml:space="preserve"> Position </w:t>
            </w:r>
          </w:p>
        </w:tc>
        <w:tc>
          <w:tcPr>
            <w:tcW w:w="0" w:type="auto"/>
            <w:tcBorders>
              <w:top w:val="nil"/>
              <w:left w:val="nil"/>
              <w:bottom w:val="single" w:sz="4" w:space="0" w:color="auto"/>
              <w:right w:val="nil"/>
            </w:tcBorders>
            <w:shd w:val="clear" w:color="auto" w:fill="auto"/>
            <w:noWrap/>
            <w:vAlign w:val="center"/>
            <w:hideMark/>
          </w:tcPr>
          <w:p w14:paraId="3D619002"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62DE62DC"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08836C5D"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34E0E87A"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33436F1B"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noWrap/>
            <w:vAlign w:val="center"/>
            <w:hideMark/>
          </w:tcPr>
          <w:p w14:paraId="3D0A3008"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1156D28C" w14:textId="77777777" w:rsidTr="003057FB">
        <w:trPr>
          <w:trHeight w:val="251"/>
        </w:trPr>
        <w:tc>
          <w:tcPr>
            <w:tcW w:w="0" w:type="auto"/>
            <w:tcBorders>
              <w:top w:val="nil"/>
              <w:left w:val="nil"/>
              <w:bottom w:val="nil"/>
              <w:right w:val="nil"/>
            </w:tcBorders>
            <w:shd w:val="clear" w:color="auto" w:fill="auto"/>
            <w:noWrap/>
            <w:vAlign w:val="center"/>
            <w:hideMark/>
          </w:tcPr>
          <w:p w14:paraId="46E603C9" w14:textId="77777777" w:rsidR="00B9311E" w:rsidRPr="00BD77D8" w:rsidRDefault="00B9311E" w:rsidP="00B9311E">
            <w:pPr>
              <w:spacing w:after="0" w:line="240" w:lineRule="auto"/>
              <w:rPr>
                <w:sz w:val="18"/>
                <w:szCs w:val="18"/>
              </w:rPr>
            </w:pPr>
            <w:r w:rsidRPr="00BD77D8">
              <w:rPr>
                <w:sz w:val="18"/>
                <w:szCs w:val="18"/>
              </w:rPr>
              <w:t xml:space="preserve"> Director-General </w:t>
            </w:r>
          </w:p>
        </w:tc>
        <w:tc>
          <w:tcPr>
            <w:tcW w:w="0" w:type="auto"/>
            <w:tcBorders>
              <w:top w:val="nil"/>
              <w:left w:val="nil"/>
              <w:bottom w:val="nil"/>
              <w:right w:val="nil"/>
            </w:tcBorders>
            <w:shd w:val="clear" w:color="auto" w:fill="auto"/>
            <w:noWrap/>
            <w:vAlign w:val="center"/>
            <w:hideMark/>
          </w:tcPr>
          <w:p w14:paraId="012BFF87" w14:textId="77777777" w:rsidR="00B9311E" w:rsidRPr="00BD77D8" w:rsidRDefault="00B9311E" w:rsidP="00B9311E">
            <w:pPr>
              <w:spacing w:after="0" w:line="240" w:lineRule="auto"/>
              <w:jc w:val="right"/>
              <w:rPr>
                <w:sz w:val="18"/>
                <w:szCs w:val="18"/>
              </w:rPr>
            </w:pPr>
            <w:r w:rsidRPr="00BD77D8">
              <w:rPr>
                <w:sz w:val="18"/>
                <w:szCs w:val="18"/>
              </w:rPr>
              <w:t xml:space="preserve">               143 </w:t>
            </w:r>
          </w:p>
        </w:tc>
        <w:tc>
          <w:tcPr>
            <w:tcW w:w="0" w:type="auto"/>
            <w:tcBorders>
              <w:top w:val="nil"/>
              <w:left w:val="nil"/>
              <w:bottom w:val="nil"/>
              <w:right w:val="nil"/>
            </w:tcBorders>
            <w:shd w:val="clear" w:color="auto" w:fill="auto"/>
            <w:noWrap/>
            <w:vAlign w:val="center"/>
            <w:hideMark/>
          </w:tcPr>
          <w:p w14:paraId="0FF698CA"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02504073" w14:textId="77777777" w:rsidR="00B9311E" w:rsidRPr="00BD77D8" w:rsidRDefault="00B9311E" w:rsidP="00B9311E">
            <w:pPr>
              <w:spacing w:after="0" w:line="240" w:lineRule="auto"/>
              <w:jc w:val="right"/>
              <w:rPr>
                <w:sz w:val="18"/>
                <w:szCs w:val="18"/>
              </w:rPr>
            </w:pPr>
            <w:r w:rsidRPr="00BD77D8">
              <w:rPr>
                <w:sz w:val="18"/>
                <w:szCs w:val="18"/>
              </w:rPr>
              <w:t xml:space="preserve">                    3 </w:t>
            </w:r>
          </w:p>
        </w:tc>
        <w:tc>
          <w:tcPr>
            <w:tcW w:w="0" w:type="auto"/>
            <w:tcBorders>
              <w:top w:val="nil"/>
              <w:left w:val="nil"/>
              <w:bottom w:val="nil"/>
              <w:right w:val="nil"/>
            </w:tcBorders>
            <w:shd w:val="clear" w:color="auto" w:fill="auto"/>
            <w:noWrap/>
            <w:vAlign w:val="center"/>
            <w:hideMark/>
          </w:tcPr>
          <w:p w14:paraId="5BC52A32" w14:textId="77777777" w:rsidR="00B9311E" w:rsidRPr="00BD77D8" w:rsidRDefault="00B9311E" w:rsidP="00B9311E">
            <w:pPr>
              <w:spacing w:after="0" w:line="240" w:lineRule="auto"/>
              <w:jc w:val="right"/>
              <w:rPr>
                <w:sz w:val="18"/>
                <w:szCs w:val="18"/>
              </w:rPr>
            </w:pPr>
            <w:r w:rsidRPr="00BD77D8">
              <w:rPr>
                <w:sz w:val="18"/>
                <w:szCs w:val="18"/>
              </w:rPr>
              <w:t xml:space="preserve">                 18 </w:t>
            </w:r>
          </w:p>
        </w:tc>
        <w:tc>
          <w:tcPr>
            <w:tcW w:w="0" w:type="auto"/>
            <w:tcBorders>
              <w:top w:val="nil"/>
              <w:left w:val="nil"/>
              <w:bottom w:val="nil"/>
              <w:right w:val="nil"/>
            </w:tcBorders>
            <w:shd w:val="clear" w:color="auto" w:fill="auto"/>
            <w:noWrap/>
            <w:vAlign w:val="center"/>
            <w:hideMark/>
          </w:tcPr>
          <w:p w14:paraId="35F09B05"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6A77CF41" w14:textId="77777777" w:rsidR="00B9311E" w:rsidRPr="00BD77D8" w:rsidRDefault="00B9311E" w:rsidP="00B9311E">
            <w:pPr>
              <w:spacing w:after="0" w:line="240" w:lineRule="auto"/>
              <w:jc w:val="right"/>
              <w:rPr>
                <w:sz w:val="18"/>
                <w:szCs w:val="18"/>
              </w:rPr>
            </w:pPr>
            <w:r w:rsidRPr="00BD77D8">
              <w:rPr>
                <w:sz w:val="18"/>
                <w:szCs w:val="18"/>
              </w:rPr>
              <w:t xml:space="preserve">               166 </w:t>
            </w:r>
          </w:p>
        </w:tc>
      </w:tr>
      <w:tr w:rsidR="00BD77D8" w:rsidRPr="00BD77D8" w14:paraId="45F6E98B" w14:textId="77777777" w:rsidTr="003057FB">
        <w:trPr>
          <w:trHeight w:val="251"/>
        </w:trPr>
        <w:tc>
          <w:tcPr>
            <w:tcW w:w="0" w:type="auto"/>
            <w:tcBorders>
              <w:top w:val="nil"/>
              <w:left w:val="nil"/>
              <w:bottom w:val="nil"/>
              <w:right w:val="nil"/>
            </w:tcBorders>
            <w:shd w:val="clear" w:color="auto" w:fill="auto"/>
            <w:noWrap/>
            <w:vAlign w:val="center"/>
            <w:hideMark/>
          </w:tcPr>
          <w:p w14:paraId="4AD807D8" w14:textId="77777777" w:rsidR="00B9311E" w:rsidRPr="00BD77D8" w:rsidRDefault="00B9311E" w:rsidP="00B9311E">
            <w:pPr>
              <w:spacing w:after="0" w:line="240" w:lineRule="auto"/>
              <w:rPr>
                <w:sz w:val="18"/>
                <w:szCs w:val="18"/>
              </w:rPr>
            </w:pPr>
            <w:r w:rsidRPr="00BD77D8">
              <w:rPr>
                <w:sz w:val="18"/>
                <w:szCs w:val="18"/>
              </w:rPr>
              <w:t xml:space="preserve"> Assistant Director-General (Community Services and Seniors) </w:t>
            </w:r>
          </w:p>
        </w:tc>
        <w:tc>
          <w:tcPr>
            <w:tcW w:w="0" w:type="auto"/>
            <w:tcBorders>
              <w:top w:val="nil"/>
              <w:left w:val="nil"/>
              <w:bottom w:val="nil"/>
              <w:right w:val="nil"/>
            </w:tcBorders>
            <w:shd w:val="clear" w:color="auto" w:fill="auto"/>
            <w:noWrap/>
            <w:vAlign w:val="center"/>
            <w:hideMark/>
          </w:tcPr>
          <w:p w14:paraId="5CB1D224" w14:textId="77777777" w:rsidR="00B9311E" w:rsidRPr="00BD77D8" w:rsidRDefault="00B9311E" w:rsidP="00B9311E">
            <w:pPr>
              <w:spacing w:after="0" w:line="240" w:lineRule="auto"/>
              <w:jc w:val="right"/>
              <w:rPr>
                <w:sz w:val="18"/>
                <w:szCs w:val="18"/>
              </w:rPr>
            </w:pPr>
            <w:r w:rsidRPr="00BD77D8">
              <w:rPr>
                <w:sz w:val="18"/>
                <w:szCs w:val="18"/>
              </w:rPr>
              <w:t xml:space="preserve">                 95 </w:t>
            </w:r>
          </w:p>
        </w:tc>
        <w:tc>
          <w:tcPr>
            <w:tcW w:w="0" w:type="auto"/>
            <w:tcBorders>
              <w:top w:val="nil"/>
              <w:left w:val="nil"/>
              <w:bottom w:val="nil"/>
              <w:right w:val="nil"/>
            </w:tcBorders>
            <w:shd w:val="clear" w:color="auto" w:fill="auto"/>
            <w:noWrap/>
            <w:vAlign w:val="center"/>
            <w:hideMark/>
          </w:tcPr>
          <w:p w14:paraId="2CD7A5C4" w14:textId="77777777" w:rsidR="00B9311E" w:rsidRPr="00BD77D8" w:rsidRDefault="00B9311E" w:rsidP="00B9311E">
            <w:pPr>
              <w:spacing w:after="0" w:line="240" w:lineRule="auto"/>
              <w:jc w:val="right"/>
              <w:rPr>
                <w:sz w:val="18"/>
                <w:szCs w:val="18"/>
              </w:rPr>
            </w:pPr>
            <w:r w:rsidRPr="00BD77D8">
              <w:rPr>
                <w:sz w:val="18"/>
                <w:szCs w:val="18"/>
              </w:rPr>
              <w:t xml:space="preserve">                    1 </w:t>
            </w:r>
          </w:p>
        </w:tc>
        <w:tc>
          <w:tcPr>
            <w:tcW w:w="0" w:type="auto"/>
            <w:tcBorders>
              <w:top w:val="nil"/>
              <w:left w:val="nil"/>
              <w:bottom w:val="nil"/>
              <w:right w:val="nil"/>
            </w:tcBorders>
            <w:shd w:val="clear" w:color="auto" w:fill="auto"/>
            <w:noWrap/>
            <w:vAlign w:val="center"/>
            <w:hideMark/>
          </w:tcPr>
          <w:p w14:paraId="67FF1F40"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415ECC4B" w14:textId="77777777" w:rsidR="00B9311E" w:rsidRPr="00BD77D8" w:rsidRDefault="00B9311E" w:rsidP="00B9311E">
            <w:pPr>
              <w:spacing w:after="0" w:line="240" w:lineRule="auto"/>
              <w:jc w:val="right"/>
              <w:rPr>
                <w:sz w:val="18"/>
                <w:szCs w:val="18"/>
              </w:rPr>
            </w:pPr>
            <w:r w:rsidRPr="00BD77D8">
              <w:rPr>
                <w:sz w:val="18"/>
                <w:szCs w:val="18"/>
              </w:rPr>
              <w:t xml:space="preserve">                 11 </w:t>
            </w:r>
          </w:p>
        </w:tc>
        <w:tc>
          <w:tcPr>
            <w:tcW w:w="0" w:type="auto"/>
            <w:tcBorders>
              <w:top w:val="nil"/>
              <w:left w:val="nil"/>
              <w:bottom w:val="nil"/>
              <w:right w:val="nil"/>
            </w:tcBorders>
            <w:shd w:val="clear" w:color="auto" w:fill="auto"/>
            <w:noWrap/>
            <w:vAlign w:val="center"/>
            <w:hideMark/>
          </w:tcPr>
          <w:p w14:paraId="6CD01E41"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0725889F" w14:textId="77777777" w:rsidR="00B9311E" w:rsidRPr="00BD77D8" w:rsidRDefault="00B9311E" w:rsidP="00B9311E">
            <w:pPr>
              <w:spacing w:after="0" w:line="240" w:lineRule="auto"/>
              <w:jc w:val="right"/>
              <w:rPr>
                <w:sz w:val="18"/>
                <w:szCs w:val="18"/>
              </w:rPr>
            </w:pPr>
            <w:r w:rsidRPr="00BD77D8">
              <w:rPr>
                <w:sz w:val="18"/>
                <w:szCs w:val="18"/>
              </w:rPr>
              <w:t xml:space="preserve">               109 </w:t>
            </w:r>
          </w:p>
        </w:tc>
      </w:tr>
      <w:tr w:rsidR="00BD77D8" w:rsidRPr="00BD77D8" w14:paraId="1BD37928" w14:textId="77777777" w:rsidTr="003057FB">
        <w:trPr>
          <w:trHeight w:val="251"/>
        </w:trPr>
        <w:tc>
          <w:tcPr>
            <w:tcW w:w="0" w:type="auto"/>
            <w:tcBorders>
              <w:top w:val="nil"/>
              <w:left w:val="nil"/>
              <w:bottom w:val="nil"/>
              <w:right w:val="nil"/>
            </w:tcBorders>
            <w:shd w:val="clear" w:color="auto" w:fill="auto"/>
            <w:noWrap/>
            <w:vAlign w:val="center"/>
            <w:hideMark/>
          </w:tcPr>
          <w:p w14:paraId="2C6A52AA" w14:textId="77777777" w:rsidR="00B9311E" w:rsidRPr="00BD77D8" w:rsidRDefault="00B9311E" w:rsidP="00B9311E">
            <w:pPr>
              <w:spacing w:after="0" w:line="240" w:lineRule="auto"/>
              <w:rPr>
                <w:sz w:val="18"/>
                <w:szCs w:val="18"/>
              </w:rPr>
            </w:pPr>
            <w:r w:rsidRPr="00BD77D8">
              <w:rPr>
                <w:sz w:val="18"/>
                <w:szCs w:val="18"/>
              </w:rPr>
              <w:t xml:space="preserve"> Assistant Director-General (Disability, Accommodation and Respite Services) </w:t>
            </w:r>
          </w:p>
        </w:tc>
        <w:tc>
          <w:tcPr>
            <w:tcW w:w="0" w:type="auto"/>
            <w:tcBorders>
              <w:top w:val="nil"/>
              <w:left w:val="nil"/>
              <w:bottom w:val="nil"/>
              <w:right w:val="nil"/>
            </w:tcBorders>
            <w:shd w:val="clear" w:color="auto" w:fill="auto"/>
            <w:noWrap/>
            <w:vAlign w:val="center"/>
            <w:hideMark/>
          </w:tcPr>
          <w:p w14:paraId="05F1FD15" w14:textId="77777777" w:rsidR="00B9311E" w:rsidRPr="00BD77D8" w:rsidRDefault="00B9311E" w:rsidP="00B9311E">
            <w:pPr>
              <w:spacing w:after="0" w:line="240" w:lineRule="auto"/>
              <w:jc w:val="right"/>
              <w:rPr>
                <w:sz w:val="18"/>
                <w:szCs w:val="18"/>
              </w:rPr>
            </w:pPr>
            <w:r w:rsidRPr="00BD77D8">
              <w:rPr>
                <w:sz w:val="18"/>
                <w:szCs w:val="18"/>
              </w:rPr>
              <w:t xml:space="preserve">               104 </w:t>
            </w:r>
          </w:p>
        </w:tc>
        <w:tc>
          <w:tcPr>
            <w:tcW w:w="0" w:type="auto"/>
            <w:tcBorders>
              <w:top w:val="nil"/>
              <w:left w:val="nil"/>
              <w:bottom w:val="nil"/>
              <w:right w:val="nil"/>
            </w:tcBorders>
            <w:shd w:val="clear" w:color="auto" w:fill="auto"/>
            <w:noWrap/>
            <w:vAlign w:val="center"/>
            <w:hideMark/>
          </w:tcPr>
          <w:p w14:paraId="2F86C062" w14:textId="77777777" w:rsidR="00B9311E" w:rsidRPr="00BD77D8" w:rsidRDefault="00B9311E" w:rsidP="00B9311E">
            <w:pPr>
              <w:spacing w:after="0" w:line="240" w:lineRule="auto"/>
              <w:jc w:val="right"/>
              <w:rPr>
                <w:sz w:val="18"/>
                <w:szCs w:val="18"/>
              </w:rPr>
            </w:pPr>
            <w:r w:rsidRPr="00BD77D8">
              <w:rPr>
                <w:sz w:val="18"/>
                <w:szCs w:val="18"/>
              </w:rPr>
              <w:t xml:space="preserve">                    1 </w:t>
            </w:r>
          </w:p>
        </w:tc>
        <w:tc>
          <w:tcPr>
            <w:tcW w:w="0" w:type="auto"/>
            <w:tcBorders>
              <w:top w:val="nil"/>
              <w:left w:val="nil"/>
              <w:bottom w:val="nil"/>
              <w:right w:val="nil"/>
            </w:tcBorders>
            <w:shd w:val="clear" w:color="auto" w:fill="auto"/>
            <w:noWrap/>
            <w:vAlign w:val="center"/>
            <w:hideMark/>
          </w:tcPr>
          <w:p w14:paraId="5F8F3A74"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14C25F97" w14:textId="77777777" w:rsidR="00B9311E" w:rsidRPr="00BD77D8" w:rsidRDefault="00B9311E" w:rsidP="00B9311E">
            <w:pPr>
              <w:spacing w:after="0" w:line="240" w:lineRule="auto"/>
              <w:jc w:val="right"/>
              <w:rPr>
                <w:sz w:val="18"/>
                <w:szCs w:val="18"/>
              </w:rPr>
            </w:pPr>
            <w:r w:rsidRPr="00BD77D8">
              <w:rPr>
                <w:sz w:val="18"/>
                <w:szCs w:val="18"/>
              </w:rPr>
              <w:t xml:space="preserve">                 11 </w:t>
            </w:r>
          </w:p>
        </w:tc>
        <w:tc>
          <w:tcPr>
            <w:tcW w:w="0" w:type="auto"/>
            <w:tcBorders>
              <w:top w:val="nil"/>
              <w:left w:val="nil"/>
              <w:bottom w:val="nil"/>
              <w:right w:val="nil"/>
            </w:tcBorders>
            <w:shd w:val="clear" w:color="auto" w:fill="auto"/>
            <w:noWrap/>
            <w:vAlign w:val="center"/>
            <w:hideMark/>
          </w:tcPr>
          <w:p w14:paraId="7FD9E976"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65DE4A40" w14:textId="77777777" w:rsidR="00B9311E" w:rsidRPr="00BD77D8" w:rsidRDefault="00B9311E" w:rsidP="00B9311E">
            <w:pPr>
              <w:spacing w:after="0" w:line="240" w:lineRule="auto"/>
              <w:jc w:val="right"/>
              <w:rPr>
                <w:sz w:val="18"/>
                <w:szCs w:val="18"/>
              </w:rPr>
            </w:pPr>
            <w:r w:rsidRPr="00BD77D8">
              <w:rPr>
                <w:sz w:val="18"/>
                <w:szCs w:val="18"/>
              </w:rPr>
              <w:t xml:space="preserve">               118 </w:t>
            </w:r>
          </w:p>
        </w:tc>
      </w:tr>
      <w:tr w:rsidR="00BD77D8" w:rsidRPr="00BD77D8" w14:paraId="40646F30" w14:textId="77777777" w:rsidTr="003057FB">
        <w:trPr>
          <w:trHeight w:val="251"/>
        </w:trPr>
        <w:tc>
          <w:tcPr>
            <w:tcW w:w="0" w:type="auto"/>
            <w:tcBorders>
              <w:top w:val="nil"/>
              <w:left w:val="nil"/>
              <w:bottom w:val="nil"/>
              <w:right w:val="nil"/>
            </w:tcBorders>
            <w:shd w:val="clear" w:color="auto" w:fill="auto"/>
            <w:noWrap/>
            <w:vAlign w:val="center"/>
            <w:hideMark/>
          </w:tcPr>
          <w:p w14:paraId="1ADBA955" w14:textId="77777777" w:rsidR="00B9311E" w:rsidRPr="00BD77D8" w:rsidRDefault="00B9311E" w:rsidP="00B9311E">
            <w:pPr>
              <w:spacing w:after="0" w:line="240" w:lineRule="auto"/>
              <w:rPr>
                <w:sz w:val="18"/>
                <w:szCs w:val="18"/>
              </w:rPr>
            </w:pPr>
            <w:r w:rsidRPr="00BD77D8">
              <w:rPr>
                <w:sz w:val="18"/>
                <w:szCs w:val="18"/>
              </w:rPr>
              <w:t xml:space="preserve"> Assistant Director-General (Disability Connect Queensland) </w:t>
            </w:r>
          </w:p>
        </w:tc>
        <w:tc>
          <w:tcPr>
            <w:tcW w:w="0" w:type="auto"/>
            <w:tcBorders>
              <w:top w:val="nil"/>
              <w:left w:val="nil"/>
              <w:bottom w:val="nil"/>
              <w:right w:val="nil"/>
            </w:tcBorders>
            <w:shd w:val="clear" w:color="auto" w:fill="auto"/>
            <w:noWrap/>
            <w:vAlign w:val="center"/>
            <w:hideMark/>
          </w:tcPr>
          <w:p w14:paraId="77FBE563" w14:textId="77777777" w:rsidR="00B9311E" w:rsidRPr="00BD77D8" w:rsidRDefault="00B9311E" w:rsidP="00B9311E">
            <w:pPr>
              <w:spacing w:after="0" w:line="240" w:lineRule="auto"/>
              <w:jc w:val="right"/>
              <w:rPr>
                <w:sz w:val="18"/>
                <w:szCs w:val="18"/>
              </w:rPr>
            </w:pPr>
            <w:r w:rsidRPr="00BD77D8">
              <w:rPr>
                <w:sz w:val="18"/>
                <w:szCs w:val="18"/>
              </w:rPr>
              <w:t xml:space="preserve">                 88 </w:t>
            </w:r>
          </w:p>
        </w:tc>
        <w:tc>
          <w:tcPr>
            <w:tcW w:w="0" w:type="auto"/>
            <w:tcBorders>
              <w:top w:val="nil"/>
              <w:left w:val="nil"/>
              <w:bottom w:val="nil"/>
              <w:right w:val="nil"/>
            </w:tcBorders>
            <w:shd w:val="clear" w:color="auto" w:fill="auto"/>
            <w:noWrap/>
            <w:vAlign w:val="center"/>
            <w:hideMark/>
          </w:tcPr>
          <w:p w14:paraId="159BFA0F" w14:textId="77777777" w:rsidR="00B9311E" w:rsidRPr="00BD77D8" w:rsidRDefault="00B9311E" w:rsidP="00B9311E">
            <w:pPr>
              <w:spacing w:after="0" w:line="240" w:lineRule="auto"/>
              <w:jc w:val="right"/>
              <w:rPr>
                <w:sz w:val="18"/>
                <w:szCs w:val="18"/>
              </w:rPr>
            </w:pPr>
            <w:r w:rsidRPr="00BD77D8">
              <w:rPr>
                <w:sz w:val="18"/>
                <w:szCs w:val="18"/>
              </w:rPr>
              <w:t xml:space="preserve">                    1 </w:t>
            </w:r>
          </w:p>
        </w:tc>
        <w:tc>
          <w:tcPr>
            <w:tcW w:w="0" w:type="auto"/>
            <w:tcBorders>
              <w:top w:val="nil"/>
              <w:left w:val="nil"/>
              <w:bottom w:val="nil"/>
              <w:right w:val="nil"/>
            </w:tcBorders>
            <w:shd w:val="clear" w:color="auto" w:fill="auto"/>
            <w:noWrap/>
            <w:vAlign w:val="center"/>
            <w:hideMark/>
          </w:tcPr>
          <w:p w14:paraId="1BD4C4ED"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4C9389C5" w14:textId="77777777" w:rsidR="00B9311E" w:rsidRPr="00BD77D8" w:rsidRDefault="00B9311E" w:rsidP="00B9311E">
            <w:pPr>
              <w:spacing w:after="0" w:line="240" w:lineRule="auto"/>
              <w:jc w:val="right"/>
              <w:rPr>
                <w:sz w:val="18"/>
                <w:szCs w:val="18"/>
              </w:rPr>
            </w:pPr>
            <w:r w:rsidRPr="00BD77D8">
              <w:rPr>
                <w:sz w:val="18"/>
                <w:szCs w:val="18"/>
              </w:rPr>
              <w:t xml:space="preserve">                 10 </w:t>
            </w:r>
          </w:p>
        </w:tc>
        <w:tc>
          <w:tcPr>
            <w:tcW w:w="0" w:type="auto"/>
            <w:tcBorders>
              <w:top w:val="nil"/>
              <w:left w:val="nil"/>
              <w:bottom w:val="nil"/>
              <w:right w:val="nil"/>
            </w:tcBorders>
            <w:shd w:val="clear" w:color="auto" w:fill="auto"/>
            <w:noWrap/>
            <w:vAlign w:val="center"/>
            <w:hideMark/>
          </w:tcPr>
          <w:p w14:paraId="531923F4"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06853C3C" w14:textId="77777777" w:rsidR="00B9311E" w:rsidRPr="00BD77D8" w:rsidRDefault="00B9311E" w:rsidP="00B9311E">
            <w:pPr>
              <w:spacing w:after="0" w:line="240" w:lineRule="auto"/>
              <w:jc w:val="right"/>
              <w:rPr>
                <w:sz w:val="18"/>
                <w:szCs w:val="18"/>
              </w:rPr>
            </w:pPr>
            <w:r w:rsidRPr="00BD77D8">
              <w:rPr>
                <w:sz w:val="18"/>
                <w:szCs w:val="18"/>
              </w:rPr>
              <w:t xml:space="preserve">               101 </w:t>
            </w:r>
          </w:p>
        </w:tc>
      </w:tr>
      <w:tr w:rsidR="00BD77D8" w:rsidRPr="00BD77D8" w14:paraId="5A0DDB74" w14:textId="77777777" w:rsidTr="003057FB">
        <w:trPr>
          <w:trHeight w:val="251"/>
        </w:trPr>
        <w:tc>
          <w:tcPr>
            <w:tcW w:w="0" w:type="auto"/>
            <w:tcBorders>
              <w:top w:val="nil"/>
              <w:left w:val="nil"/>
              <w:bottom w:val="nil"/>
              <w:right w:val="nil"/>
            </w:tcBorders>
            <w:shd w:val="clear" w:color="auto" w:fill="auto"/>
            <w:noWrap/>
            <w:vAlign w:val="center"/>
            <w:hideMark/>
          </w:tcPr>
          <w:p w14:paraId="680A506A" w14:textId="77777777" w:rsidR="00B9311E" w:rsidRPr="00BD77D8" w:rsidRDefault="00B9311E" w:rsidP="00B9311E">
            <w:pPr>
              <w:spacing w:after="0" w:line="240" w:lineRule="auto"/>
              <w:rPr>
                <w:sz w:val="18"/>
                <w:szCs w:val="18"/>
              </w:rPr>
            </w:pPr>
            <w:r w:rsidRPr="00BD77D8">
              <w:rPr>
                <w:sz w:val="18"/>
                <w:szCs w:val="18"/>
              </w:rPr>
              <w:t xml:space="preserve"> Assistant Director-General (Corporate Services) </w:t>
            </w:r>
          </w:p>
        </w:tc>
        <w:tc>
          <w:tcPr>
            <w:tcW w:w="0" w:type="auto"/>
            <w:tcBorders>
              <w:top w:val="nil"/>
              <w:left w:val="nil"/>
              <w:bottom w:val="nil"/>
              <w:right w:val="nil"/>
            </w:tcBorders>
            <w:shd w:val="clear" w:color="auto" w:fill="auto"/>
            <w:noWrap/>
            <w:vAlign w:val="center"/>
            <w:hideMark/>
          </w:tcPr>
          <w:p w14:paraId="6EBBD363" w14:textId="77777777" w:rsidR="00B9311E" w:rsidRPr="00BD77D8" w:rsidRDefault="00B9311E" w:rsidP="00B9311E">
            <w:pPr>
              <w:spacing w:after="0" w:line="240" w:lineRule="auto"/>
              <w:jc w:val="right"/>
              <w:rPr>
                <w:sz w:val="18"/>
                <w:szCs w:val="18"/>
              </w:rPr>
            </w:pPr>
            <w:r w:rsidRPr="00BD77D8">
              <w:rPr>
                <w:sz w:val="18"/>
                <w:szCs w:val="18"/>
              </w:rPr>
              <w:t xml:space="preserve">                 91 </w:t>
            </w:r>
          </w:p>
        </w:tc>
        <w:tc>
          <w:tcPr>
            <w:tcW w:w="0" w:type="auto"/>
            <w:tcBorders>
              <w:top w:val="nil"/>
              <w:left w:val="nil"/>
              <w:bottom w:val="nil"/>
              <w:right w:val="nil"/>
            </w:tcBorders>
            <w:shd w:val="clear" w:color="auto" w:fill="auto"/>
            <w:noWrap/>
            <w:vAlign w:val="center"/>
            <w:hideMark/>
          </w:tcPr>
          <w:p w14:paraId="36A977D9" w14:textId="77777777" w:rsidR="00B9311E" w:rsidRPr="00BD77D8" w:rsidRDefault="00B9311E" w:rsidP="00B9311E">
            <w:pPr>
              <w:spacing w:after="0" w:line="240" w:lineRule="auto"/>
              <w:jc w:val="right"/>
              <w:rPr>
                <w:sz w:val="18"/>
                <w:szCs w:val="18"/>
              </w:rPr>
            </w:pPr>
            <w:r w:rsidRPr="00BD77D8">
              <w:rPr>
                <w:sz w:val="18"/>
                <w:szCs w:val="18"/>
              </w:rPr>
              <w:t xml:space="preserve">                    1 </w:t>
            </w:r>
          </w:p>
        </w:tc>
        <w:tc>
          <w:tcPr>
            <w:tcW w:w="0" w:type="auto"/>
            <w:tcBorders>
              <w:top w:val="nil"/>
              <w:left w:val="nil"/>
              <w:bottom w:val="nil"/>
              <w:right w:val="nil"/>
            </w:tcBorders>
            <w:shd w:val="clear" w:color="auto" w:fill="auto"/>
            <w:noWrap/>
            <w:vAlign w:val="center"/>
            <w:hideMark/>
          </w:tcPr>
          <w:p w14:paraId="1E67957A"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06DE3467" w14:textId="77777777" w:rsidR="00B9311E" w:rsidRPr="00BD77D8" w:rsidRDefault="00B9311E" w:rsidP="00B9311E">
            <w:pPr>
              <w:spacing w:after="0" w:line="240" w:lineRule="auto"/>
              <w:jc w:val="right"/>
              <w:rPr>
                <w:sz w:val="18"/>
                <w:szCs w:val="18"/>
              </w:rPr>
            </w:pPr>
            <w:r w:rsidRPr="00BD77D8">
              <w:rPr>
                <w:sz w:val="18"/>
                <w:szCs w:val="18"/>
              </w:rPr>
              <w:t xml:space="preserve">                 10 </w:t>
            </w:r>
          </w:p>
        </w:tc>
        <w:tc>
          <w:tcPr>
            <w:tcW w:w="0" w:type="auto"/>
            <w:tcBorders>
              <w:top w:val="nil"/>
              <w:left w:val="nil"/>
              <w:bottom w:val="nil"/>
              <w:right w:val="nil"/>
            </w:tcBorders>
            <w:shd w:val="clear" w:color="auto" w:fill="auto"/>
            <w:noWrap/>
            <w:vAlign w:val="center"/>
            <w:hideMark/>
          </w:tcPr>
          <w:p w14:paraId="158D070C"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5E54109A" w14:textId="77777777" w:rsidR="00B9311E" w:rsidRPr="00BD77D8" w:rsidRDefault="00B9311E" w:rsidP="00B9311E">
            <w:pPr>
              <w:spacing w:after="0" w:line="240" w:lineRule="auto"/>
              <w:jc w:val="right"/>
              <w:rPr>
                <w:sz w:val="18"/>
                <w:szCs w:val="18"/>
              </w:rPr>
            </w:pPr>
            <w:r w:rsidRPr="00BD77D8">
              <w:rPr>
                <w:sz w:val="18"/>
                <w:szCs w:val="18"/>
              </w:rPr>
              <w:t xml:space="preserve">               104 </w:t>
            </w:r>
          </w:p>
        </w:tc>
      </w:tr>
      <w:tr w:rsidR="00BD77D8" w:rsidRPr="00BD77D8" w14:paraId="2A652FC7" w14:textId="77777777" w:rsidTr="003057FB">
        <w:trPr>
          <w:trHeight w:val="251"/>
        </w:trPr>
        <w:tc>
          <w:tcPr>
            <w:tcW w:w="0" w:type="auto"/>
            <w:tcBorders>
              <w:top w:val="nil"/>
              <w:left w:val="nil"/>
              <w:bottom w:val="nil"/>
              <w:right w:val="nil"/>
            </w:tcBorders>
            <w:shd w:val="clear" w:color="auto" w:fill="auto"/>
            <w:noWrap/>
            <w:vAlign w:val="center"/>
            <w:hideMark/>
          </w:tcPr>
          <w:p w14:paraId="60A8E67A" w14:textId="77777777" w:rsidR="00B9311E" w:rsidRPr="00BD77D8" w:rsidRDefault="00B9311E" w:rsidP="00B9311E">
            <w:pPr>
              <w:spacing w:after="0" w:line="240" w:lineRule="auto"/>
              <w:rPr>
                <w:sz w:val="18"/>
                <w:szCs w:val="18"/>
              </w:rPr>
            </w:pPr>
            <w:r w:rsidRPr="00BD77D8">
              <w:rPr>
                <w:sz w:val="18"/>
                <w:szCs w:val="18"/>
              </w:rPr>
              <w:t xml:space="preserve"> Executive Director (Strategic Policy and Legislation) </w:t>
            </w:r>
          </w:p>
        </w:tc>
        <w:tc>
          <w:tcPr>
            <w:tcW w:w="0" w:type="auto"/>
            <w:tcBorders>
              <w:top w:val="nil"/>
              <w:left w:val="nil"/>
              <w:bottom w:val="nil"/>
              <w:right w:val="nil"/>
            </w:tcBorders>
            <w:shd w:val="clear" w:color="auto" w:fill="auto"/>
            <w:noWrap/>
            <w:vAlign w:val="center"/>
            <w:hideMark/>
          </w:tcPr>
          <w:p w14:paraId="4A9EC164" w14:textId="77777777" w:rsidR="00B9311E" w:rsidRPr="00BD77D8" w:rsidRDefault="00B9311E" w:rsidP="00B9311E">
            <w:pPr>
              <w:spacing w:after="0" w:line="240" w:lineRule="auto"/>
              <w:jc w:val="right"/>
              <w:rPr>
                <w:sz w:val="18"/>
                <w:szCs w:val="18"/>
              </w:rPr>
            </w:pPr>
            <w:r w:rsidRPr="00BD77D8">
              <w:rPr>
                <w:sz w:val="18"/>
                <w:szCs w:val="18"/>
              </w:rPr>
              <w:t xml:space="preserve">                 74 </w:t>
            </w:r>
          </w:p>
        </w:tc>
        <w:tc>
          <w:tcPr>
            <w:tcW w:w="0" w:type="auto"/>
            <w:tcBorders>
              <w:top w:val="nil"/>
              <w:left w:val="nil"/>
              <w:bottom w:val="nil"/>
              <w:right w:val="nil"/>
            </w:tcBorders>
            <w:shd w:val="clear" w:color="auto" w:fill="auto"/>
            <w:noWrap/>
            <w:vAlign w:val="center"/>
            <w:hideMark/>
          </w:tcPr>
          <w:p w14:paraId="476E08D2" w14:textId="77777777" w:rsidR="00B9311E" w:rsidRPr="00BD77D8" w:rsidRDefault="00B9311E" w:rsidP="00B9311E">
            <w:pPr>
              <w:spacing w:after="0" w:line="240" w:lineRule="auto"/>
              <w:jc w:val="right"/>
              <w:rPr>
                <w:sz w:val="18"/>
                <w:szCs w:val="18"/>
              </w:rPr>
            </w:pPr>
            <w:r w:rsidRPr="00BD77D8">
              <w:rPr>
                <w:sz w:val="18"/>
                <w:szCs w:val="18"/>
              </w:rPr>
              <w:t xml:space="preserve">                    1 </w:t>
            </w:r>
          </w:p>
        </w:tc>
        <w:tc>
          <w:tcPr>
            <w:tcW w:w="0" w:type="auto"/>
            <w:tcBorders>
              <w:top w:val="nil"/>
              <w:left w:val="nil"/>
              <w:bottom w:val="nil"/>
              <w:right w:val="nil"/>
            </w:tcBorders>
            <w:shd w:val="clear" w:color="auto" w:fill="auto"/>
            <w:noWrap/>
            <w:vAlign w:val="center"/>
            <w:hideMark/>
          </w:tcPr>
          <w:p w14:paraId="635544EA"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5941C309" w14:textId="77777777" w:rsidR="00B9311E" w:rsidRPr="00BD77D8" w:rsidRDefault="00B9311E" w:rsidP="00B9311E">
            <w:pPr>
              <w:spacing w:after="0" w:line="240" w:lineRule="auto"/>
              <w:jc w:val="right"/>
              <w:rPr>
                <w:sz w:val="18"/>
                <w:szCs w:val="18"/>
              </w:rPr>
            </w:pPr>
            <w:r w:rsidRPr="00BD77D8">
              <w:rPr>
                <w:sz w:val="18"/>
                <w:szCs w:val="18"/>
              </w:rPr>
              <w:t xml:space="preserve">                    9 </w:t>
            </w:r>
          </w:p>
        </w:tc>
        <w:tc>
          <w:tcPr>
            <w:tcW w:w="0" w:type="auto"/>
            <w:tcBorders>
              <w:top w:val="nil"/>
              <w:left w:val="nil"/>
              <w:bottom w:val="nil"/>
              <w:right w:val="nil"/>
            </w:tcBorders>
            <w:shd w:val="clear" w:color="auto" w:fill="auto"/>
            <w:noWrap/>
            <w:vAlign w:val="center"/>
            <w:hideMark/>
          </w:tcPr>
          <w:p w14:paraId="4AE41E0A"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2C614372" w14:textId="77777777" w:rsidR="00B9311E" w:rsidRPr="00BD77D8" w:rsidRDefault="00B9311E" w:rsidP="00B9311E">
            <w:pPr>
              <w:spacing w:after="0" w:line="240" w:lineRule="auto"/>
              <w:jc w:val="right"/>
              <w:rPr>
                <w:sz w:val="18"/>
                <w:szCs w:val="18"/>
              </w:rPr>
            </w:pPr>
            <w:r w:rsidRPr="00BD77D8">
              <w:rPr>
                <w:sz w:val="18"/>
                <w:szCs w:val="18"/>
              </w:rPr>
              <w:t xml:space="preserve">                 86 </w:t>
            </w:r>
          </w:p>
        </w:tc>
      </w:tr>
      <w:tr w:rsidR="00BD77D8" w:rsidRPr="00BD77D8" w14:paraId="49BE7FF4" w14:textId="77777777" w:rsidTr="003057FB">
        <w:trPr>
          <w:trHeight w:val="251"/>
        </w:trPr>
        <w:tc>
          <w:tcPr>
            <w:tcW w:w="0" w:type="auto"/>
            <w:tcBorders>
              <w:top w:val="nil"/>
              <w:left w:val="nil"/>
              <w:bottom w:val="nil"/>
              <w:right w:val="nil"/>
            </w:tcBorders>
            <w:shd w:val="clear" w:color="auto" w:fill="auto"/>
            <w:noWrap/>
            <w:vAlign w:val="center"/>
            <w:hideMark/>
          </w:tcPr>
          <w:p w14:paraId="06E6A416" w14:textId="77777777" w:rsidR="00B9311E" w:rsidRPr="00BD77D8" w:rsidRDefault="00B9311E" w:rsidP="00B9311E">
            <w:pPr>
              <w:spacing w:after="0" w:line="240" w:lineRule="auto"/>
              <w:rPr>
                <w:sz w:val="18"/>
                <w:szCs w:val="18"/>
              </w:rPr>
            </w:pPr>
            <w:r w:rsidRPr="00BD77D8">
              <w:rPr>
                <w:sz w:val="18"/>
                <w:szCs w:val="18"/>
              </w:rPr>
              <w:t xml:space="preserve"> Chief Human Resources Officer </w:t>
            </w:r>
          </w:p>
        </w:tc>
        <w:tc>
          <w:tcPr>
            <w:tcW w:w="0" w:type="auto"/>
            <w:tcBorders>
              <w:top w:val="nil"/>
              <w:left w:val="nil"/>
              <w:bottom w:val="nil"/>
              <w:right w:val="nil"/>
            </w:tcBorders>
            <w:shd w:val="clear" w:color="auto" w:fill="auto"/>
            <w:noWrap/>
            <w:vAlign w:val="center"/>
            <w:hideMark/>
          </w:tcPr>
          <w:p w14:paraId="59319BB5" w14:textId="77777777" w:rsidR="00B9311E" w:rsidRPr="00BD77D8" w:rsidRDefault="00B9311E" w:rsidP="00B9311E">
            <w:pPr>
              <w:spacing w:after="0" w:line="240" w:lineRule="auto"/>
              <w:jc w:val="right"/>
              <w:rPr>
                <w:sz w:val="18"/>
                <w:szCs w:val="18"/>
              </w:rPr>
            </w:pPr>
            <w:r w:rsidRPr="00BD77D8">
              <w:rPr>
                <w:sz w:val="18"/>
                <w:szCs w:val="18"/>
              </w:rPr>
              <w:t xml:space="preserve">                 89 </w:t>
            </w:r>
          </w:p>
        </w:tc>
        <w:tc>
          <w:tcPr>
            <w:tcW w:w="0" w:type="auto"/>
            <w:tcBorders>
              <w:top w:val="nil"/>
              <w:left w:val="nil"/>
              <w:bottom w:val="nil"/>
              <w:right w:val="nil"/>
            </w:tcBorders>
            <w:shd w:val="clear" w:color="auto" w:fill="auto"/>
            <w:noWrap/>
            <w:vAlign w:val="center"/>
            <w:hideMark/>
          </w:tcPr>
          <w:p w14:paraId="5F2F660A" w14:textId="77777777" w:rsidR="00B9311E" w:rsidRPr="00BD77D8" w:rsidRDefault="00B9311E" w:rsidP="00B9311E">
            <w:pPr>
              <w:spacing w:after="0" w:line="240" w:lineRule="auto"/>
              <w:jc w:val="right"/>
              <w:rPr>
                <w:sz w:val="18"/>
                <w:szCs w:val="18"/>
              </w:rPr>
            </w:pPr>
            <w:r w:rsidRPr="00BD77D8">
              <w:rPr>
                <w:sz w:val="18"/>
                <w:szCs w:val="18"/>
              </w:rPr>
              <w:t xml:space="preserve">                    1 </w:t>
            </w:r>
          </w:p>
        </w:tc>
        <w:tc>
          <w:tcPr>
            <w:tcW w:w="0" w:type="auto"/>
            <w:tcBorders>
              <w:top w:val="nil"/>
              <w:left w:val="nil"/>
              <w:bottom w:val="nil"/>
              <w:right w:val="nil"/>
            </w:tcBorders>
            <w:shd w:val="clear" w:color="auto" w:fill="auto"/>
            <w:noWrap/>
            <w:vAlign w:val="center"/>
            <w:hideMark/>
          </w:tcPr>
          <w:p w14:paraId="386A6E11"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660D533F" w14:textId="77777777" w:rsidR="00B9311E" w:rsidRPr="00BD77D8" w:rsidRDefault="00B9311E" w:rsidP="00B9311E">
            <w:pPr>
              <w:spacing w:after="0" w:line="240" w:lineRule="auto"/>
              <w:jc w:val="right"/>
              <w:rPr>
                <w:sz w:val="18"/>
                <w:szCs w:val="18"/>
              </w:rPr>
            </w:pPr>
            <w:r w:rsidRPr="00BD77D8">
              <w:rPr>
                <w:sz w:val="18"/>
                <w:szCs w:val="18"/>
              </w:rPr>
              <w:t xml:space="preserve">                    9 </w:t>
            </w:r>
          </w:p>
        </w:tc>
        <w:tc>
          <w:tcPr>
            <w:tcW w:w="0" w:type="auto"/>
            <w:tcBorders>
              <w:top w:val="nil"/>
              <w:left w:val="nil"/>
              <w:bottom w:val="nil"/>
              <w:right w:val="nil"/>
            </w:tcBorders>
            <w:shd w:val="clear" w:color="auto" w:fill="auto"/>
            <w:noWrap/>
            <w:vAlign w:val="center"/>
            <w:hideMark/>
          </w:tcPr>
          <w:p w14:paraId="283F8642"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280E5ACF" w14:textId="77777777" w:rsidR="00B9311E" w:rsidRPr="00BD77D8" w:rsidRDefault="00B9311E" w:rsidP="00B9311E">
            <w:pPr>
              <w:spacing w:after="0" w:line="240" w:lineRule="auto"/>
              <w:jc w:val="right"/>
              <w:rPr>
                <w:sz w:val="18"/>
                <w:szCs w:val="18"/>
              </w:rPr>
            </w:pPr>
            <w:r w:rsidRPr="00BD77D8">
              <w:rPr>
                <w:sz w:val="18"/>
                <w:szCs w:val="18"/>
              </w:rPr>
              <w:t xml:space="preserve">               101 </w:t>
            </w:r>
          </w:p>
        </w:tc>
      </w:tr>
      <w:tr w:rsidR="00B9311E" w:rsidRPr="00BD77D8" w14:paraId="0901C1D0" w14:textId="77777777" w:rsidTr="003057FB">
        <w:trPr>
          <w:trHeight w:val="251"/>
        </w:trPr>
        <w:tc>
          <w:tcPr>
            <w:tcW w:w="0" w:type="auto"/>
            <w:tcBorders>
              <w:top w:val="nil"/>
              <w:left w:val="nil"/>
              <w:bottom w:val="nil"/>
              <w:right w:val="nil"/>
            </w:tcBorders>
            <w:shd w:val="clear" w:color="auto" w:fill="auto"/>
            <w:noWrap/>
            <w:vAlign w:val="center"/>
            <w:hideMark/>
          </w:tcPr>
          <w:p w14:paraId="2C3F9BCB" w14:textId="77777777" w:rsidR="00B9311E" w:rsidRPr="00BD77D8" w:rsidRDefault="00B9311E" w:rsidP="00B9311E">
            <w:pPr>
              <w:spacing w:after="0" w:line="240" w:lineRule="auto"/>
              <w:rPr>
                <w:sz w:val="18"/>
                <w:szCs w:val="18"/>
              </w:rPr>
            </w:pPr>
            <w:r w:rsidRPr="00BD77D8">
              <w:rPr>
                <w:sz w:val="18"/>
                <w:szCs w:val="18"/>
              </w:rPr>
              <w:t xml:space="preserve"> Chief Finance Officer </w:t>
            </w:r>
          </w:p>
        </w:tc>
        <w:tc>
          <w:tcPr>
            <w:tcW w:w="0" w:type="auto"/>
            <w:tcBorders>
              <w:top w:val="nil"/>
              <w:left w:val="nil"/>
              <w:bottom w:val="nil"/>
              <w:right w:val="nil"/>
            </w:tcBorders>
            <w:shd w:val="clear" w:color="auto" w:fill="auto"/>
            <w:noWrap/>
            <w:vAlign w:val="center"/>
            <w:hideMark/>
          </w:tcPr>
          <w:p w14:paraId="1F4880A8" w14:textId="77777777" w:rsidR="00B9311E" w:rsidRPr="00BD77D8" w:rsidRDefault="00B9311E" w:rsidP="00B9311E">
            <w:pPr>
              <w:spacing w:after="0" w:line="240" w:lineRule="auto"/>
              <w:jc w:val="right"/>
              <w:rPr>
                <w:sz w:val="18"/>
                <w:szCs w:val="18"/>
              </w:rPr>
            </w:pPr>
            <w:r w:rsidRPr="00BD77D8">
              <w:rPr>
                <w:sz w:val="18"/>
                <w:szCs w:val="18"/>
              </w:rPr>
              <w:t xml:space="preserve">                 84 </w:t>
            </w:r>
          </w:p>
        </w:tc>
        <w:tc>
          <w:tcPr>
            <w:tcW w:w="0" w:type="auto"/>
            <w:tcBorders>
              <w:top w:val="nil"/>
              <w:left w:val="nil"/>
              <w:bottom w:val="nil"/>
              <w:right w:val="nil"/>
            </w:tcBorders>
            <w:shd w:val="clear" w:color="auto" w:fill="auto"/>
            <w:noWrap/>
            <w:vAlign w:val="center"/>
            <w:hideMark/>
          </w:tcPr>
          <w:p w14:paraId="3B7C7291" w14:textId="77777777" w:rsidR="00B9311E" w:rsidRPr="00BD77D8" w:rsidRDefault="00B9311E" w:rsidP="00B9311E">
            <w:pPr>
              <w:spacing w:after="0" w:line="240" w:lineRule="auto"/>
              <w:jc w:val="right"/>
              <w:rPr>
                <w:sz w:val="18"/>
                <w:szCs w:val="18"/>
              </w:rPr>
            </w:pPr>
            <w:r w:rsidRPr="00BD77D8">
              <w:rPr>
                <w:sz w:val="18"/>
                <w:szCs w:val="18"/>
              </w:rPr>
              <w:t xml:space="preserve">                    1 </w:t>
            </w:r>
          </w:p>
        </w:tc>
        <w:tc>
          <w:tcPr>
            <w:tcW w:w="0" w:type="auto"/>
            <w:tcBorders>
              <w:top w:val="nil"/>
              <w:left w:val="nil"/>
              <w:bottom w:val="nil"/>
              <w:right w:val="nil"/>
            </w:tcBorders>
            <w:shd w:val="clear" w:color="auto" w:fill="auto"/>
            <w:noWrap/>
            <w:vAlign w:val="center"/>
            <w:hideMark/>
          </w:tcPr>
          <w:p w14:paraId="3043EDBB" w14:textId="77777777" w:rsidR="00B9311E" w:rsidRPr="00BD77D8" w:rsidRDefault="00B9311E" w:rsidP="00B9311E">
            <w:pPr>
              <w:spacing w:after="0" w:line="240" w:lineRule="auto"/>
              <w:jc w:val="right"/>
              <w:rPr>
                <w:sz w:val="18"/>
                <w:szCs w:val="18"/>
              </w:rPr>
            </w:pPr>
            <w:r w:rsidRPr="00BD77D8">
              <w:rPr>
                <w:sz w:val="18"/>
                <w:szCs w:val="18"/>
              </w:rPr>
              <w:t xml:space="preserve">                    2 </w:t>
            </w:r>
          </w:p>
        </w:tc>
        <w:tc>
          <w:tcPr>
            <w:tcW w:w="0" w:type="auto"/>
            <w:tcBorders>
              <w:top w:val="nil"/>
              <w:left w:val="nil"/>
              <w:bottom w:val="nil"/>
              <w:right w:val="nil"/>
            </w:tcBorders>
            <w:shd w:val="clear" w:color="auto" w:fill="auto"/>
            <w:noWrap/>
            <w:vAlign w:val="center"/>
            <w:hideMark/>
          </w:tcPr>
          <w:p w14:paraId="3903FC98" w14:textId="77777777" w:rsidR="00B9311E" w:rsidRPr="00BD77D8" w:rsidRDefault="00B9311E" w:rsidP="00B9311E">
            <w:pPr>
              <w:spacing w:after="0" w:line="240" w:lineRule="auto"/>
              <w:jc w:val="right"/>
              <w:rPr>
                <w:sz w:val="18"/>
                <w:szCs w:val="18"/>
              </w:rPr>
            </w:pPr>
            <w:r w:rsidRPr="00BD77D8">
              <w:rPr>
                <w:sz w:val="18"/>
                <w:szCs w:val="18"/>
              </w:rPr>
              <w:t xml:space="preserve">                    9 </w:t>
            </w:r>
          </w:p>
        </w:tc>
        <w:tc>
          <w:tcPr>
            <w:tcW w:w="0" w:type="auto"/>
            <w:tcBorders>
              <w:top w:val="nil"/>
              <w:left w:val="nil"/>
              <w:bottom w:val="nil"/>
              <w:right w:val="nil"/>
            </w:tcBorders>
            <w:shd w:val="clear" w:color="auto" w:fill="auto"/>
            <w:noWrap/>
            <w:vAlign w:val="center"/>
            <w:hideMark/>
          </w:tcPr>
          <w:p w14:paraId="68FE2F01"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noWrap/>
            <w:vAlign w:val="center"/>
            <w:hideMark/>
          </w:tcPr>
          <w:p w14:paraId="7A5E26C1" w14:textId="77777777" w:rsidR="00B9311E" w:rsidRPr="00BD77D8" w:rsidRDefault="00B9311E" w:rsidP="00B9311E">
            <w:pPr>
              <w:spacing w:after="0" w:line="240" w:lineRule="auto"/>
              <w:jc w:val="right"/>
              <w:rPr>
                <w:sz w:val="18"/>
                <w:szCs w:val="18"/>
              </w:rPr>
            </w:pPr>
            <w:r w:rsidRPr="00BD77D8">
              <w:rPr>
                <w:sz w:val="18"/>
                <w:szCs w:val="18"/>
              </w:rPr>
              <w:t xml:space="preserve">                 96 </w:t>
            </w:r>
          </w:p>
        </w:tc>
      </w:tr>
    </w:tbl>
    <w:p w14:paraId="2374FA3E" w14:textId="77777777" w:rsidR="00B9311E" w:rsidRPr="00BD77D8" w:rsidRDefault="00B9311E" w:rsidP="00B9311E">
      <w:pPr>
        <w:spacing w:after="0" w:line="20" w:lineRule="exact"/>
        <w:rPr>
          <w:rFonts w:eastAsia="PMingLiU"/>
          <w:sz w:val="18"/>
          <w:szCs w:val="18"/>
          <w:lang w:eastAsia="en-US"/>
        </w:rPr>
        <w:sectPr w:rsidR="00B9311E" w:rsidRPr="00BD77D8" w:rsidSect="00496174">
          <w:pgSz w:w="16838" w:h="11909" w:orient="landscape"/>
          <w:pgMar w:top="680" w:right="680" w:bottom="680" w:left="680" w:header="720" w:footer="720" w:gutter="0"/>
          <w:cols w:space="720"/>
          <w:docGrid w:linePitch="245"/>
        </w:sectPr>
      </w:pPr>
    </w:p>
    <w:p w14:paraId="59B0E068"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719DE559"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517472EE"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7B69E801" w14:textId="77777777" w:rsidR="00B9311E" w:rsidRPr="00BD77D8" w:rsidRDefault="00B9311E" w:rsidP="00B9311E">
      <w:pPr>
        <w:pBdr>
          <w:bottom w:val="single" w:sz="4" w:space="1" w:color="auto"/>
        </w:pBdr>
        <w:spacing w:after="0" w:line="252" w:lineRule="exact"/>
        <w:textAlignment w:val="baseline"/>
        <w:rPr>
          <w:rFonts w:eastAsia="Arial"/>
          <w:b/>
          <w:sz w:val="18"/>
          <w:szCs w:val="18"/>
          <w:lang w:eastAsia="en-US"/>
        </w:rPr>
      </w:pPr>
    </w:p>
    <w:p w14:paraId="0E47C1AB" w14:textId="77777777" w:rsidR="00B9311E" w:rsidRPr="00BD77D8" w:rsidRDefault="00B9311E" w:rsidP="00727CAE">
      <w:pPr>
        <w:spacing w:before="200" w:line="252" w:lineRule="exact"/>
        <w:textAlignment w:val="baseline"/>
        <w:rPr>
          <w:rFonts w:eastAsia="Arial"/>
          <w:b/>
          <w:bCs/>
          <w:sz w:val="22"/>
          <w:szCs w:val="22"/>
          <w:lang w:eastAsia="en-US"/>
        </w:rPr>
      </w:pPr>
      <w:r w:rsidRPr="00BD77D8">
        <w:rPr>
          <w:rFonts w:eastAsia="Arial"/>
          <w:b/>
          <w:bCs/>
          <w:sz w:val="22"/>
          <w:szCs w:val="22"/>
          <w:lang w:eastAsia="en-US"/>
        </w:rPr>
        <w:t>F1 Key Management Personnel Disclosures (continued)</w:t>
      </w:r>
    </w:p>
    <w:p w14:paraId="5896FF58" w14:textId="77777777" w:rsidR="00B9311E" w:rsidRPr="00BD77D8" w:rsidRDefault="00B9311E" w:rsidP="00727CAE">
      <w:pPr>
        <w:spacing w:line="206" w:lineRule="exact"/>
        <w:textAlignment w:val="baseline"/>
        <w:rPr>
          <w:rFonts w:eastAsia="Arial"/>
          <w:b/>
          <w:bCs/>
          <w:spacing w:val="3"/>
          <w:sz w:val="18"/>
          <w:szCs w:val="18"/>
          <w:lang w:eastAsia="en-US"/>
        </w:rPr>
      </w:pPr>
      <w:r w:rsidRPr="00BD77D8">
        <w:rPr>
          <w:rFonts w:eastAsia="Arial"/>
          <w:b/>
          <w:bCs/>
          <w:spacing w:val="3"/>
          <w:sz w:val="18"/>
          <w:szCs w:val="18"/>
          <w:lang w:eastAsia="en-US"/>
        </w:rPr>
        <w:t>F1-2 Remuneration Policies</w:t>
      </w:r>
    </w:p>
    <w:p w14:paraId="1F405F67"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sz w:val="18"/>
          <w:szCs w:val="18"/>
          <w:lang w:eastAsia="en-US"/>
        </w:rPr>
        <w:t xml:space="preserve">Ministerial remuneration entitlements are outlined in the Legislative Assembly of Queensland’s Members’ Remuneration </w:t>
      </w:r>
    </w:p>
    <w:p w14:paraId="0398AEE4"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sz w:val="18"/>
          <w:szCs w:val="18"/>
          <w:lang w:eastAsia="en-US"/>
        </w:rPr>
        <w:t xml:space="preserve">Handbook. The department does not bear any cost of remuneration of Ministers. The majority of Ministerial entitlements are paid </w:t>
      </w:r>
    </w:p>
    <w:p w14:paraId="137A0459"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sz w:val="18"/>
          <w:szCs w:val="18"/>
          <w:lang w:eastAsia="en-US"/>
        </w:rPr>
        <w:t xml:space="preserve">by the Legislative Assembly, with the remaining entitlements being provided by Ministerial Services Branch within the </w:t>
      </w:r>
    </w:p>
    <w:p w14:paraId="4B05818E"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sz w:val="18"/>
          <w:szCs w:val="18"/>
          <w:lang w:eastAsia="en-US"/>
        </w:rPr>
        <w:t xml:space="preserve">Department of the Premier and Cabinet. As all Ministers are reported as KMP of the Queensland Government, aggregate </w:t>
      </w:r>
    </w:p>
    <w:p w14:paraId="2D47F968"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sz w:val="18"/>
          <w:szCs w:val="18"/>
          <w:lang w:eastAsia="en-US"/>
        </w:rPr>
        <w:t xml:space="preserve">remuneration expenses for all Ministers </w:t>
      </w:r>
      <w:proofErr w:type="gramStart"/>
      <w:r w:rsidRPr="00BD77D8">
        <w:rPr>
          <w:rFonts w:eastAsia="Arial"/>
          <w:sz w:val="18"/>
          <w:szCs w:val="18"/>
          <w:lang w:eastAsia="en-US"/>
        </w:rPr>
        <w:t>is</w:t>
      </w:r>
      <w:proofErr w:type="gramEnd"/>
      <w:r w:rsidRPr="00BD77D8">
        <w:rPr>
          <w:rFonts w:eastAsia="Arial"/>
          <w:sz w:val="18"/>
          <w:szCs w:val="18"/>
          <w:lang w:eastAsia="en-US"/>
        </w:rPr>
        <w:t xml:space="preserve"> disclosed in the Queensland General Government and Whole of Government </w:t>
      </w:r>
    </w:p>
    <w:p w14:paraId="3D37D5EF" w14:textId="77777777" w:rsidR="00B9311E" w:rsidRPr="00BD77D8" w:rsidRDefault="00B9311E" w:rsidP="00727CAE">
      <w:pPr>
        <w:spacing w:line="206" w:lineRule="exact"/>
        <w:textAlignment w:val="baseline"/>
        <w:rPr>
          <w:rFonts w:eastAsia="Arial"/>
          <w:b/>
          <w:bCs/>
          <w:sz w:val="18"/>
          <w:szCs w:val="18"/>
          <w:lang w:eastAsia="en-US"/>
        </w:rPr>
      </w:pPr>
      <w:r w:rsidRPr="00BD77D8">
        <w:rPr>
          <w:rFonts w:eastAsia="Arial"/>
          <w:sz w:val="18"/>
          <w:szCs w:val="18"/>
          <w:lang w:eastAsia="en-US"/>
        </w:rPr>
        <w:t>Consolidated Financial Statements, which are published as part of Queensland Treasury’s Report on State Finances.</w:t>
      </w:r>
    </w:p>
    <w:p w14:paraId="6A385E24"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sz w:val="18"/>
          <w:szCs w:val="18"/>
          <w:lang w:eastAsia="en-US"/>
        </w:rPr>
        <w:t xml:space="preserve">Remuneration policy for the department's other KMP is set by the Queensland Public Service Commission as provided for under </w:t>
      </w:r>
    </w:p>
    <w:p w14:paraId="0F8082F7"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sz w:val="18"/>
          <w:szCs w:val="18"/>
          <w:lang w:eastAsia="en-US"/>
        </w:rPr>
        <w:t xml:space="preserve">the Public Service Act 2008. Individual remuneration and other terms of employment (including motor vehicle entitlements and </w:t>
      </w:r>
    </w:p>
    <w:p w14:paraId="502D092F" w14:textId="77777777" w:rsidR="00B9311E" w:rsidRPr="00BD77D8" w:rsidRDefault="00B9311E" w:rsidP="00727CAE">
      <w:pPr>
        <w:spacing w:line="206" w:lineRule="exact"/>
        <w:textAlignment w:val="baseline"/>
        <w:rPr>
          <w:rFonts w:eastAsia="Arial"/>
          <w:b/>
          <w:bCs/>
          <w:sz w:val="18"/>
          <w:szCs w:val="18"/>
          <w:lang w:eastAsia="en-US"/>
        </w:rPr>
      </w:pPr>
      <w:r w:rsidRPr="00BD77D8">
        <w:rPr>
          <w:rFonts w:eastAsia="Arial"/>
          <w:sz w:val="18"/>
          <w:szCs w:val="18"/>
          <w:lang w:eastAsia="en-US"/>
        </w:rPr>
        <w:t xml:space="preserve">performance payments if applicable) are specified in employment contracts. </w:t>
      </w:r>
    </w:p>
    <w:p w14:paraId="4EC16D80" w14:textId="77777777" w:rsidR="00B9311E" w:rsidRPr="00BD77D8" w:rsidRDefault="00B9311E" w:rsidP="00727CAE">
      <w:pPr>
        <w:spacing w:line="206" w:lineRule="exact"/>
        <w:textAlignment w:val="baseline"/>
        <w:rPr>
          <w:rFonts w:eastAsia="Arial"/>
          <w:b/>
          <w:bCs/>
          <w:sz w:val="18"/>
          <w:szCs w:val="18"/>
          <w:lang w:eastAsia="en-US"/>
        </w:rPr>
      </w:pPr>
      <w:r w:rsidRPr="00BD77D8">
        <w:rPr>
          <w:rFonts w:eastAsia="Arial"/>
          <w:sz w:val="18"/>
          <w:szCs w:val="18"/>
          <w:lang w:eastAsia="en-US"/>
        </w:rPr>
        <w:t>Remuneration expenses for those KMP comprise the following components:</w:t>
      </w:r>
    </w:p>
    <w:p w14:paraId="2C41A3EB" w14:textId="77777777" w:rsidR="00B9311E" w:rsidRPr="00BD77D8" w:rsidRDefault="00B9311E" w:rsidP="00727CAE">
      <w:pPr>
        <w:spacing w:line="206" w:lineRule="exact"/>
        <w:textAlignment w:val="baseline"/>
        <w:rPr>
          <w:rFonts w:eastAsia="Arial"/>
          <w:b/>
          <w:bCs/>
          <w:sz w:val="18"/>
          <w:szCs w:val="18"/>
          <w:lang w:eastAsia="en-US"/>
        </w:rPr>
      </w:pPr>
      <w:r w:rsidRPr="00BD77D8">
        <w:rPr>
          <w:rFonts w:eastAsia="Arial"/>
          <w:i/>
          <w:iCs/>
          <w:sz w:val="18"/>
          <w:szCs w:val="18"/>
          <w:u w:val="single"/>
          <w:lang w:eastAsia="en-US"/>
        </w:rPr>
        <w:t>Short-term employee expenses</w:t>
      </w:r>
      <w:r w:rsidRPr="00BD77D8">
        <w:rPr>
          <w:rFonts w:eastAsia="Arial"/>
          <w:sz w:val="18"/>
          <w:szCs w:val="18"/>
          <w:lang w:eastAsia="en-US"/>
        </w:rPr>
        <w:t>, including:</w:t>
      </w:r>
    </w:p>
    <w:p w14:paraId="6DF7280C" w14:textId="77777777" w:rsidR="00B9311E" w:rsidRPr="00BD77D8" w:rsidRDefault="00B9311E" w:rsidP="003954C5">
      <w:pPr>
        <w:numPr>
          <w:ilvl w:val="0"/>
          <w:numId w:val="80"/>
        </w:numPr>
        <w:spacing w:after="0" w:line="206" w:lineRule="exact"/>
        <w:contextualSpacing/>
        <w:textAlignment w:val="baseline"/>
        <w:rPr>
          <w:rFonts w:eastAsia="Arial"/>
          <w:b/>
          <w:bCs/>
          <w:sz w:val="18"/>
          <w:szCs w:val="18"/>
          <w:lang w:eastAsia="en-US"/>
        </w:rPr>
      </w:pPr>
      <w:r w:rsidRPr="00BD77D8">
        <w:rPr>
          <w:rFonts w:eastAsia="Arial"/>
          <w:sz w:val="18"/>
          <w:szCs w:val="18"/>
          <w:lang w:eastAsia="en-US"/>
        </w:rPr>
        <w:t xml:space="preserve">salaries, allowances and leave entitlements earned and expensed for the entire year, or for that part of the year during </w:t>
      </w:r>
    </w:p>
    <w:p w14:paraId="3DC850AA" w14:textId="77777777" w:rsidR="00B9311E" w:rsidRPr="00BD77D8" w:rsidRDefault="00B9311E" w:rsidP="00727CAE">
      <w:pPr>
        <w:spacing w:line="206" w:lineRule="exact"/>
        <w:ind w:left="720"/>
        <w:textAlignment w:val="baseline"/>
        <w:rPr>
          <w:rFonts w:eastAsia="Arial"/>
          <w:b/>
          <w:bCs/>
          <w:sz w:val="18"/>
          <w:szCs w:val="18"/>
          <w:lang w:eastAsia="en-US"/>
        </w:rPr>
      </w:pPr>
      <w:r w:rsidRPr="00BD77D8">
        <w:rPr>
          <w:rFonts w:eastAsia="Arial"/>
          <w:sz w:val="18"/>
          <w:szCs w:val="18"/>
          <w:lang w:eastAsia="en-US"/>
        </w:rPr>
        <w:t xml:space="preserve">which the employee occupied a KMP position; </w:t>
      </w:r>
    </w:p>
    <w:p w14:paraId="3FB29F7E" w14:textId="77777777" w:rsidR="00B9311E" w:rsidRPr="00BD77D8" w:rsidRDefault="00B9311E" w:rsidP="003954C5">
      <w:pPr>
        <w:numPr>
          <w:ilvl w:val="0"/>
          <w:numId w:val="80"/>
        </w:numPr>
        <w:spacing w:line="206" w:lineRule="exact"/>
        <w:textAlignment w:val="baseline"/>
        <w:rPr>
          <w:rFonts w:eastAsia="Arial"/>
          <w:b/>
          <w:bCs/>
          <w:sz w:val="18"/>
          <w:szCs w:val="18"/>
          <w:lang w:eastAsia="en-US"/>
        </w:rPr>
      </w:pPr>
      <w:r w:rsidRPr="00BD77D8">
        <w:rPr>
          <w:rFonts w:eastAsia="Arial"/>
          <w:sz w:val="18"/>
          <w:szCs w:val="18"/>
          <w:lang w:eastAsia="en-US"/>
        </w:rPr>
        <w:t>performance payments recognised as an expense during the year; and</w:t>
      </w:r>
    </w:p>
    <w:p w14:paraId="2F87D947" w14:textId="77777777" w:rsidR="00B9311E" w:rsidRPr="00BD77D8" w:rsidRDefault="00B9311E" w:rsidP="003954C5">
      <w:pPr>
        <w:numPr>
          <w:ilvl w:val="0"/>
          <w:numId w:val="80"/>
        </w:numPr>
        <w:spacing w:line="206" w:lineRule="exact"/>
        <w:textAlignment w:val="baseline"/>
        <w:rPr>
          <w:rFonts w:eastAsia="Arial"/>
          <w:b/>
          <w:bCs/>
          <w:sz w:val="18"/>
          <w:szCs w:val="18"/>
          <w:lang w:eastAsia="en-US"/>
        </w:rPr>
      </w:pPr>
      <w:r w:rsidRPr="00BD77D8">
        <w:rPr>
          <w:rFonts w:eastAsia="Arial"/>
          <w:sz w:val="18"/>
          <w:szCs w:val="18"/>
          <w:lang w:eastAsia="en-US"/>
        </w:rPr>
        <w:t>non-monetary benefits - consisting of provision of vehicle together with fringe benefits tax applicable to the benefit</w:t>
      </w:r>
    </w:p>
    <w:p w14:paraId="7017852E" w14:textId="77777777" w:rsidR="00B9311E" w:rsidRPr="00BD77D8" w:rsidRDefault="00B9311E" w:rsidP="00727CAE">
      <w:pPr>
        <w:spacing w:line="206" w:lineRule="exact"/>
        <w:textAlignment w:val="baseline"/>
        <w:rPr>
          <w:rFonts w:eastAsia="Arial"/>
          <w:b/>
          <w:bCs/>
          <w:sz w:val="18"/>
          <w:szCs w:val="18"/>
          <w:lang w:eastAsia="en-US"/>
        </w:rPr>
      </w:pPr>
      <w:r w:rsidRPr="00BD77D8">
        <w:rPr>
          <w:rFonts w:eastAsia="Arial"/>
          <w:i/>
          <w:iCs/>
          <w:sz w:val="18"/>
          <w:szCs w:val="18"/>
          <w:u w:val="single"/>
          <w:lang w:eastAsia="en-US"/>
        </w:rPr>
        <w:t>Long term employee expenses</w:t>
      </w:r>
      <w:r w:rsidRPr="00BD77D8">
        <w:rPr>
          <w:rFonts w:eastAsia="Arial"/>
          <w:sz w:val="18"/>
          <w:szCs w:val="18"/>
          <w:lang w:eastAsia="en-US"/>
        </w:rPr>
        <w:t xml:space="preserve"> include amounts expensed in respect of long service leave entitlements earned. </w:t>
      </w:r>
    </w:p>
    <w:p w14:paraId="7EA2727F" w14:textId="77777777" w:rsidR="00B9311E" w:rsidRPr="00BD77D8" w:rsidRDefault="00B9311E" w:rsidP="00727CAE">
      <w:pPr>
        <w:spacing w:line="206" w:lineRule="exact"/>
        <w:textAlignment w:val="baseline"/>
        <w:rPr>
          <w:rFonts w:eastAsia="Arial"/>
          <w:b/>
          <w:bCs/>
          <w:sz w:val="18"/>
          <w:szCs w:val="18"/>
          <w:lang w:eastAsia="en-US"/>
        </w:rPr>
      </w:pPr>
      <w:r w:rsidRPr="00BD77D8">
        <w:rPr>
          <w:rFonts w:eastAsia="Arial"/>
          <w:i/>
          <w:iCs/>
          <w:sz w:val="18"/>
          <w:szCs w:val="18"/>
          <w:u w:val="single"/>
          <w:lang w:eastAsia="en-US"/>
        </w:rPr>
        <w:t>Post-employment expenses</w:t>
      </w:r>
      <w:r w:rsidRPr="00BD77D8">
        <w:rPr>
          <w:rFonts w:eastAsia="Arial"/>
          <w:sz w:val="18"/>
          <w:szCs w:val="18"/>
          <w:lang w:eastAsia="en-US"/>
        </w:rPr>
        <w:t xml:space="preserve"> include amounts expensed in respect of employer superannuation obligations. </w:t>
      </w:r>
    </w:p>
    <w:p w14:paraId="1D46CBF3"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i/>
          <w:iCs/>
          <w:sz w:val="18"/>
          <w:szCs w:val="18"/>
          <w:u w:val="single"/>
          <w:lang w:eastAsia="en-US"/>
        </w:rPr>
        <w:t>Termination benefits</w:t>
      </w:r>
      <w:r w:rsidRPr="00BD77D8">
        <w:rPr>
          <w:rFonts w:eastAsia="Arial"/>
          <w:sz w:val="18"/>
          <w:szCs w:val="18"/>
          <w:lang w:eastAsia="en-US"/>
        </w:rPr>
        <w:t xml:space="preserve"> include payments in lieu of notice on termination and other lump sum separation entitlements (excluding </w:t>
      </w:r>
    </w:p>
    <w:p w14:paraId="400AE0E0" w14:textId="77777777" w:rsidR="00B9311E" w:rsidRPr="00BD77D8" w:rsidRDefault="00B9311E" w:rsidP="00B9311E">
      <w:pPr>
        <w:spacing w:after="0" w:line="206" w:lineRule="exact"/>
        <w:textAlignment w:val="baseline"/>
        <w:rPr>
          <w:rFonts w:eastAsia="Arial"/>
          <w:b/>
          <w:bCs/>
          <w:sz w:val="18"/>
          <w:szCs w:val="18"/>
          <w:lang w:eastAsia="en-US"/>
        </w:rPr>
      </w:pPr>
      <w:r w:rsidRPr="00BD77D8">
        <w:rPr>
          <w:rFonts w:eastAsia="Arial"/>
          <w:sz w:val="18"/>
          <w:szCs w:val="18"/>
          <w:lang w:eastAsia="en-US"/>
        </w:rPr>
        <w:t xml:space="preserve">annual and long service leave entitlements) payable on termination of employment or acceptance of an offer of termination of </w:t>
      </w:r>
    </w:p>
    <w:p w14:paraId="7C61C2AB" w14:textId="77777777" w:rsidR="00B9311E" w:rsidRPr="00BD77D8" w:rsidRDefault="00B9311E" w:rsidP="00727CAE">
      <w:pPr>
        <w:spacing w:line="206" w:lineRule="exact"/>
        <w:textAlignment w:val="baseline"/>
        <w:rPr>
          <w:rFonts w:eastAsia="Arial"/>
          <w:b/>
          <w:bCs/>
          <w:spacing w:val="2"/>
          <w:sz w:val="18"/>
          <w:szCs w:val="18"/>
          <w:lang w:eastAsia="en-US"/>
        </w:rPr>
      </w:pPr>
      <w:r w:rsidRPr="00BD77D8">
        <w:rPr>
          <w:rFonts w:eastAsia="Arial"/>
          <w:sz w:val="18"/>
          <w:szCs w:val="18"/>
          <w:lang w:eastAsia="en-US"/>
        </w:rPr>
        <w:t>employment.</w:t>
      </w:r>
      <w:r w:rsidRPr="00BD77D8">
        <w:rPr>
          <w:rFonts w:eastAsia="Arial"/>
          <w:spacing w:val="2"/>
          <w:sz w:val="18"/>
          <w:szCs w:val="18"/>
          <w:lang w:eastAsia="en-US"/>
        </w:rPr>
        <w:t xml:space="preserve"> </w:t>
      </w:r>
    </w:p>
    <w:p w14:paraId="47528E86" w14:textId="77777777" w:rsidR="00B9311E" w:rsidRPr="00BD77D8" w:rsidRDefault="00B9311E" w:rsidP="00727CAE">
      <w:pPr>
        <w:spacing w:line="206" w:lineRule="exact"/>
        <w:textAlignment w:val="baseline"/>
        <w:rPr>
          <w:rFonts w:eastAsia="Arial"/>
          <w:b/>
          <w:bCs/>
          <w:spacing w:val="2"/>
          <w:sz w:val="18"/>
          <w:szCs w:val="18"/>
          <w:lang w:eastAsia="en-US"/>
        </w:rPr>
      </w:pPr>
      <w:r w:rsidRPr="00BD77D8">
        <w:rPr>
          <w:rFonts w:eastAsia="Arial"/>
          <w:b/>
          <w:bCs/>
          <w:spacing w:val="2"/>
          <w:sz w:val="18"/>
          <w:szCs w:val="18"/>
          <w:lang w:eastAsia="en-US"/>
        </w:rPr>
        <w:t>F1-3 Performance Payments</w:t>
      </w:r>
    </w:p>
    <w:p w14:paraId="3BAE6F89" w14:textId="77777777" w:rsidR="00B9311E" w:rsidRPr="00BD77D8" w:rsidRDefault="00B9311E" w:rsidP="00727CAE">
      <w:pPr>
        <w:spacing w:line="205" w:lineRule="exact"/>
        <w:textAlignment w:val="baseline"/>
        <w:rPr>
          <w:rFonts w:eastAsia="Arial"/>
          <w:b/>
          <w:bCs/>
          <w:sz w:val="18"/>
          <w:szCs w:val="18"/>
          <w:lang w:eastAsia="en-US"/>
        </w:rPr>
      </w:pPr>
      <w:r w:rsidRPr="00BD77D8">
        <w:rPr>
          <w:rFonts w:eastAsia="Arial"/>
          <w:sz w:val="18"/>
          <w:szCs w:val="18"/>
          <w:lang w:eastAsia="en-US"/>
        </w:rPr>
        <w:t>No remuneration packages for KMP provide for any performance or bonus payments.</w:t>
      </w:r>
    </w:p>
    <w:p w14:paraId="5ED1FF02" w14:textId="77777777" w:rsidR="00B9311E" w:rsidRPr="00BD77D8" w:rsidRDefault="00B9311E" w:rsidP="007D087A">
      <w:pPr>
        <w:rPr>
          <w:rFonts w:eastAsia="Arial"/>
          <w:b/>
          <w:bCs/>
          <w:sz w:val="22"/>
          <w:szCs w:val="22"/>
          <w:lang w:eastAsia="en-US"/>
        </w:rPr>
      </w:pPr>
      <w:bookmarkStart w:id="261" w:name="_Toc111494823"/>
      <w:bookmarkStart w:id="262" w:name="_Toc111540695"/>
      <w:bookmarkStart w:id="263" w:name="_Toc111559259"/>
      <w:bookmarkStart w:id="264" w:name="_Toc113196531"/>
      <w:bookmarkStart w:id="265" w:name="_Toc113196879"/>
      <w:bookmarkStart w:id="266" w:name="_Toc113262009"/>
      <w:bookmarkStart w:id="267" w:name="_Toc113349163"/>
      <w:bookmarkStart w:id="268" w:name="_Toc113358088"/>
      <w:r w:rsidRPr="00BD77D8">
        <w:rPr>
          <w:rFonts w:eastAsia="Arial"/>
          <w:b/>
          <w:bCs/>
          <w:sz w:val="22"/>
          <w:szCs w:val="22"/>
          <w:lang w:eastAsia="en-US"/>
        </w:rPr>
        <w:t>F2 Related Party Transactions</w:t>
      </w:r>
      <w:bookmarkEnd w:id="261"/>
      <w:bookmarkEnd w:id="262"/>
      <w:bookmarkEnd w:id="263"/>
      <w:bookmarkEnd w:id="264"/>
      <w:bookmarkEnd w:id="265"/>
      <w:bookmarkEnd w:id="266"/>
      <w:bookmarkEnd w:id="267"/>
      <w:bookmarkEnd w:id="268"/>
    </w:p>
    <w:p w14:paraId="20C2A510" w14:textId="77777777" w:rsidR="00B9311E" w:rsidRPr="00BD77D8" w:rsidRDefault="00B9311E" w:rsidP="00727CAE">
      <w:pPr>
        <w:spacing w:line="206" w:lineRule="exact"/>
        <w:textAlignment w:val="baseline"/>
        <w:rPr>
          <w:rFonts w:eastAsia="Arial"/>
          <w:b/>
          <w:bCs/>
          <w:spacing w:val="1"/>
          <w:sz w:val="18"/>
          <w:szCs w:val="18"/>
          <w:lang w:eastAsia="en-US"/>
        </w:rPr>
      </w:pPr>
      <w:r w:rsidRPr="00BD77D8">
        <w:rPr>
          <w:rFonts w:eastAsia="Arial"/>
          <w:b/>
          <w:bCs/>
          <w:spacing w:val="1"/>
          <w:sz w:val="18"/>
          <w:szCs w:val="18"/>
          <w:lang w:eastAsia="en-US"/>
        </w:rPr>
        <w:t>F2-1 Transactions with other Queensland Government-controlled entities</w:t>
      </w:r>
    </w:p>
    <w:p w14:paraId="396F36B2" w14:textId="77777777" w:rsidR="00B9311E" w:rsidRPr="00BD77D8" w:rsidRDefault="00B9311E" w:rsidP="00727CAE">
      <w:pPr>
        <w:spacing w:line="206" w:lineRule="exact"/>
        <w:ind w:right="288"/>
        <w:textAlignment w:val="baseline"/>
        <w:rPr>
          <w:rFonts w:eastAsia="Arial"/>
          <w:b/>
          <w:bCs/>
          <w:sz w:val="18"/>
          <w:szCs w:val="18"/>
          <w:lang w:eastAsia="en-US"/>
        </w:rPr>
      </w:pPr>
      <w:r w:rsidRPr="00BD77D8">
        <w:rPr>
          <w:rFonts w:eastAsia="Arial"/>
          <w:sz w:val="18"/>
          <w:szCs w:val="18"/>
          <w:lang w:eastAsia="en-US"/>
        </w:rPr>
        <w:t>The department’s primary ongoing sources of funding from State Government for its services are appropriation revenue (refer Note B1-1) and equity injections (refer Note C8-2), both of which are provided in cash via Queensland Treasury.</w:t>
      </w:r>
    </w:p>
    <w:p w14:paraId="530DE05B" w14:textId="77777777" w:rsidR="00B9311E" w:rsidRPr="00BD77D8" w:rsidRDefault="00B9311E" w:rsidP="00B9311E">
      <w:pPr>
        <w:spacing w:after="0" w:line="207" w:lineRule="exact"/>
        <w:ind w:right="144"/>
        <w:textAlignment w:val="baseline"/>
        <w:rPr>
          <w:rFonts w:eastAsia="Arial"/>
          <w:b/>
          <w:bCs/>
          <w:sz w:val="18"/>
          <w:szCs w:val="18"/>
          <w:lang w:eastAsia="en-US"/>
        </w:rPr>
      </w:pPr>
      <w:r w:rsidRPr="00BD77D8">
        <w:rPr>
          <w:rFonts w:eastAsia="Arial"/>
          <w:sz w:val="18"/>
          <w:szCs w:val="18"/>
          <w:lang w:eastAsia="en-US"/>
        </w:rPr>
        <w:t xml:space="preserve">The department’s primary source of accommodation, motor vehicles and asset </w:t>
      </w:r>
      <w:proofErr w:type="gramStart"/>
      <w:r w:rsidRPr="00BD77D8">
        <w:rPr>
          <w:rFonts w:eastAsia="Arial"/>
          <w:sz w:val="18"/>
          <w:szCs w:val="18"/>
          <w:lang w:eastAsia="en-US"/>
        </w:rPr>
        <w:t>works</w:t>
      </w:r>
      <w:proofErr w:type="gramEnd"/>
      <w:r w:rsidRPr="00BD77D8">
        <w:rPr>
          <w:rFonts w:eastAsia="Arial"/>
          <w:sz w:val="18"/>
          <w:szCs w:val="18"/>
          <w:lang w:eastAsia="en-US"/>
        </w:rPr>
        <w:t xml:space="preserve"> and repairs are managed through the Department of Energy and Public Works.</w:t>
      </w:r>
    </w:p>
    <w:p w14:paraId="5664D627" w14:textId="77777777" w:rsidR="00B9311E" w:rsidRPr="00BD77D8" w:rsidRDefault="00B9311E" w:rsidP="00B9311E">
      <w:pPr>
        <w:spacing w:before="240" w:after="0" w:line="206" w:lineRule="exact"/>
        <w:ind w:right="864"/>
        <w:textAlignment w:val="baseline"/>
        <w:rPr>
          <w:rFonts w:eastAsia="PMingLiU"/>
          <w:b/>
          <w:bCs/>
          <w:sz w:val="18"/>
          <w:szCs w:val="22"/>
          <w:lang w:eastAsia="en-US"/>
        </w:rPr>
      </w:pPr>
      <w:r w:rsidRPr="00BD77D8">
        <w:rPr>
          <w:rFonts w:eastAsia="PMingLiU"/>
          <w:sz w:val="18"/>
          <w:szCs w:val="22"/>
          <w:lang w:eastAsia="en-US"/>
        </w:rPr>
        <w:t>The department purchases a range of services provided by other State Agencies under Memorandum of Understanding arrangements (MOU). These includes Information, Communication and Technology services from the Department of Children, Youth Justice and Multicultural Affairs, and transactional payroll and financial processing services from the Department of Communities, Housing and Digital Economy.  </w:t>
      </w:r>
    </w:p>
    <w:p w14:paraId="757880DD" w14:textId="77777777" w:rsidR="00B9311E" w:rsidRPr="00BD77D8" w:rsidRDefault="00B9311E" w:rsidP="00727CAE">
      <w:pPr>
        <w:spacing w:before="240" w:line="206" w:lineRule="exact"/>
        <w:ind w:right="864"/>
        <w:textAlignment w:val="baseline"/>
        <w:rPr>
          <w:rFonts w:eastAsia="PMingLiU"/>
          <w:b/>
          <w:bCs/>
          <w:sz w:val="18"/>
          <w:szCs w:val="22"/>
          <w:lang w:eastAsia="en-US"/>
        </w:rPr>
      </w:pPr>
      <w:r w:rsidRPr="00BD77D8">
        <w:rPr>
          <w:rFonts w:eastAsia="PMingLiU"/>
          <w:sz w:val="18"/>
          <w:szCs w:val="22"/>
          <w:lang w:eastAsia="en-US"/>
        </w:rPr>
        <w:t>The department also purchases services from Queensland Police and the Department of Transport and Main Roads to support Disability Worker Screening processes (refer Note B2-2).</w:t>
      </w:r>
    </w:p>
    <w:p w14:paraId="037709EC" w14:textId="77777777" w:rsidR="00B9311E" w:rsidRPr="00BD77D8" w:rsidRDefault="00B9311E" w:rsidP="00727CAE">
      <w:pPr>
        <w:spacing w:line="206" w:lineRule="exact"/>
        <w:textAlignment w:val="baseline"/>
        <w:rPr>
          <w:rFonts w:eastAsia="Arial"/>
          <w:b/>
          <w:bCs/>
          <w:spacing w:val="1"/>
          <w:sz w:val="18"/>
          <w:szCs w:val="18"/>
          <w:lang w:eastAsia="en-US"/>
        </w:rPr>
      </w:pPr>
      <w:r w:rsidRPr="00BD77D8">
        <w:rPr>
          <w:rFonts w:eastAsia="Arial"/>
          <w:b/>
          <w:bCs/>
          <w:spacing w:val="1"/>
          <w:sz w:val="18"/>
          <w:szCs w:val="18"/>
          <w:lang w:eastAsia="en-US"/>
        </w:rPr>
        <w:t>F2-2 Transactions with people/entities related to KMP</w:t>
      </w:r>
    </w:p>
    <w:p w14:paraId="6F9C423E" w14:textId="77777777" w:rsidR="00B9311E" w:rsidRPr="00BD77D8" w:rsidRDefault="00B9311E" w:rsidP="00B9311E">
      <w:pPr>
        <w:spacing w:after="0" w:line="206" w:lineRule="exact"/>
        <w:ind w:right="288"/>
        <w:textAlignment w:val="baseline"/>
        <w:rPr>
          <w:rFonts w:eastAsia="Arial"/>
          <w:b/>
          <w:bCs/>
          <w:sz w:val="18"/>
          <w:szCs w:val="18"/>
          <w:lang w:eastAsia="en-US"/>
        </w:rPr>
      </w:pPr>
      <w:r w:rsidRPr="00BD77D8">
        <w:rPr>
          <w:rFonts w:eastAsia="Arial"/>
          <w:sz w:val="18"/>
          <w:szCs w:val="18"/>
          <w:lang w:eastAsia="en-US"/>
        </w:rPr>
        <w:t>Based upon KMP declarations, there have been no transactions with related parties that have materially affected the agency’s operating result and/or financial position.</w:t>
      </w:r>
    </w:p>
    <w:p w14:paraId="58A63D02" w14:textId="5E4409FA" w:rsidR="00B9311E" w:rsidRPr="00BD77D8" w:rsidRDefault="00DD09A8" w:rsidP="00B9311E">
      <w:pPr>
        <w:spacing w:after="0" w:line="240" w:lineRule="auto"/>
        <w:rPr>
          <w:rFonts w:eastAsia="Arial"/>
          <w:b/>
          <w:bCs/>
          <w:sz w:val="18"/>
          <w:szCs w:val="18"/>
          <w:lang w:eastAsia="en-US"/>
        </w:rPr>
      </w:pP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t>Page 37 of 45</w:t>
      </w:r>
      <w:r w:rsidR="00B9311E" w:rsidRPr="00BD77D8">
        <w:rPr>
          <w:rFonts w:eastAsia="Arial"/>
          <w:sz w:val="18"/>
          <w:szCs w:val="18"/>
          <w:lang w:eastAsia="en-US"/>
        </w:rPr>
        <w:br w:type="page"/>
      </w:r>
    </w:p>
    <w:p w14:paraId="7C7F528F" w14:textId="77777777" w:rsidR="00B9311E" w:rsidRPr="00BD77D8" w:rsidRDefault="00B9311E" w:rsidP="00B9311E">
      <w:pPr>
        <w:spacing w:after="0" w:line="201"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3B8F3A2D" w14:textId="77777777" w:rsidR="00B9311E" w:rsidRPr="00BD77D8" w:rsidRDefault="00B9311E" w:rsidP="00B9311E">
      <w:pPr>
        <w:spacing w:after="0" w:line="201"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00B79E81" w14:textId="77777777" w:rsidR="00B9311E" w:rsidRPr="00BD77D8" w:rsidRDefault="00B9311E" w:rsidP="00B9311E">
      <w:pPr>
        <w:spacing w:after="0" w:line="201"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1F485949" w14:textId="77777777" w:rsidR="00B9311E" w:rsidRPr="00BD77D8" w:rsidRDefault="00B9311E" w:rsidP="00B9311E">
      <w:pPr>
        <w:pBdr>
          <w:bottom w:val="single" w:sz="4" w:space="1" w:color="auto"/>
        </w:pBdr>
        <w:spacing w:after="0" w:line="252" w:lineRule="exact"/>
        <w:textAlignment w:val="baseline"/>
        <w:rPr>
          <w:rFonts w:eastAsia="Arial"/>
          <w:b/>
          <w:sz w:val="18"/>
          <w:szCs w:val="18"/>
          <w:lang w:eastAsia="en-US"/>
        </w:rPr>
      </w:pPr>
    </w:p>
    <w:p w14:paraId="59C83A68" w14:textId="77777777" w:rsidR="00B9311E" w:rsidRPr="00BD77D8" w:rsidRDefault="00B9311E" w:rsidP="00727CAE">
      <w:pPr>
        <w:spacing w:before="200"/>
        <w:rPr>
          <w:rFonts w:eastAsia="Arial"/>
          <w:b/>
          <w:bCs/>
          <w:sz w:val="22"/>
          <w:szCs w:val="22"/>
          <w:lang w:eastAsia="en-US"/>
        </w:rPr>
      </w:pPr>
      <w:bookmarkStart w:id="269" w:name="_Toc111494824"/>
      <w:bookmarkStart w:id="270" w:name="_Toc111540696"/>
      <w:bookmarkStart w:id="271" w:name="_Toc111559260"/>
      <w:bookmarkStart w:id="272" w:name="_Toc113196532"/>
      <w:bookmarkStart w:id="273" w:name="_Toc113196880"/>
      <w:bookmarkStart w:id="274" w:name="_Toc113262010"/>
      <w:bookmarkStart w:id="275" w:name="_Toc113349164"/>
      <w:bookmarkStart w:id="276" w:name="_Toc113358089"/>
      <w:r w:rsidRPr="00BD77D8">
        <w:rPr>
          <w:rFonts w:eastAsia="Arial"/>
          <w:b/>
          <w:bCs/>
          <w:sz w:val="22"/>
          <w:szCs w:val="22"/>
          <w:lang w:eastAsia="en-US"/>
        </w:rPr>
        <w:t>F3 First Year Application of New Accounting Standards or Change in Accounting Policy</w:t>
      </w:r>
      <w:bookmarkEnd w:id="269"/>
      <w:bookmarkEnd w:id="270"/>
      <w:bookmarkEnd w:id="271"/>
      <w:bookmarkEnd w:id="272"/>
      <w:bookmarkEnd w:id="273"/>
      <w:bookmarkEnd w:id="274"/>
      <w:bookmarkEnd w:id="275"/>
      <w:bookmarkEnd w:id="276"/>
    </w:p>
    <w:p w14:paraId="45E60C52" w14:textId="77777777" w:rsidR="00B9311E" w:rsidRPr="00BD77D8" w:rsidRDefault="00B9311E" w:rsidP="00727CAE">
      <w:pPr>
        <w:spacing w:line="206" w:lineRule="exact"/>
        <w:ind w:right="289"/>
        <w:textAlignment w:val="baseline"/>
        <w:rPr>
          <w:rFonts w:eastAsia="PMingLiU"/>
          <w:b/>
          <w:bCs/>
          <w:sz w:val="18"/>
          <w:szCs w:val="22"/>
          <w:lang w:eastAsia="en-US"/>
        </w:rPr>
      </w:pPr>
      <w:r w:rsidRPr="00BD77D8">
        <w:rPr>
          <w:rFonts w:eastAsia="PMingLiU"/>
          <w:b/>
          <w:bCs/>
          <w:sz w:val="18"/>
          <w:szCs w:val="22"/>
          <w:lang w:eastAsia="en-US"/>
        </w:rPr>
        <w:t>Accounting standards applied for the first time</w:t>
      </w:r>
    </w:p>
    <w:p w14:paraId="58C66E40" w14:textId="77777777" w:rsidR="00B9311E" w:rsidRPr="00BD77D8" w:rsidRDefault="00B9311E" w:rsidP="00727CAE">
      <w:pPr>
        <w:spacing w:line="206" w:lineRule="exact"/>
        <w:ind w:right="289"/>
        <w:textAlignment w:val="baseline"/>
        <w:rPr>
          <w:rFonts w:eastAsia="Arial"/>
          <w:b/>
          <w:bCs/>
          <w:sz w:val="18"/>
          <w:szCs w:val="18"/>
          <w:lang w:eastAsia="en-US"/>
        </w:rPr>
      </w:pPr>
      <w:r w:rsidRPr="00BD77D8">
        <w:rPr>
          <w:rFonts w:eastAsia="Arial"/>
          <w:sz w:val="18"/>
          <w:szCs w:val="18"/>
          <w:lang w:eastAsia="en-US"/>
        </w:rPr>
        <w:t>No new accounting standards or interpretations that apply to the department for the first time in 2021-22 had any material impact on the financial statements.</w:t>
      </w:r>
    </w:p>
    <w:p w14:paraId="0B02BA69" w14:textId="77777777" w:rsidR="00B9311E" w:rsidRPr="00BD77D8" w:rsidRDefault="00B9311E" w:rsidP="00727CAE">
      <w:pPr>
        <w:spacing w:line="206" w:lineRule="exact"/>
        <w:ind w:right="289"/>
        <w:textAlignment w:val="baseline"/>
        <w:rPr>
          <w:rFonts w:eastAsia="Arial"/>
          <w:b/>
          <w:bCs/>
          <w:sz w:val="18"/>
          <w:szCs w:val="18"/>
          <w:lang w:eastAsia="en-US"/>
        </w:rPr>
      </w:pPr>
      <w:r w:rsidRPr="00BD77D8">
        <w:rPr>
          <w:rFonts w:eastAsia="Arial"/>
          <w:sz w:val="18"/>
          <w:szCs w:val="18"/>
          <w:lang w:eastAsia="en-US"/>
        </w:rPr>
        <w:t>Following the issuance of IFRIC’s agenda decision on Configuration or Customisation Costs in a Cloud Computing Arrangement in April 2021, the department has changed its accounting policy for certain cloud computing and software-as-a-service (SaaS) costs. The effect of this change is detailed in Note F3-1 below.</w:t>
      </w:r>
    </w:p>
    <w:p w14:paraId="1DF2A535" w14:textId="77777777" w:rsidR="00B9311E" w:rsidRPr="00BD77D8" w:rsidRDefault="00B9311E" w:rsidP="00727CAE">
      <w:pPr>
        <w:spacing w:line="206" w:lineRule="exact"/>
        <w:ind w:right="289"/>
        <w:textAlignment w:val="baseline"/>
        <w:rPr>
          <w:rFonts w:eastAsia="Arial"/>
          <w:b/>
          <w:bCs/>
          <w:sz w:val="18"/>
          <w:szCs w:val="18"/>
          <w:lang w:eastAsia="en-US"/>
        </w:rPr>
      </w:pPr>
      <w:r w:rsidRPr="00BD77D8">
        <w:rPr>
          <w:rFonts w:eastAsia="Arial"/>
          <w:b/>
          <w:bCs/>
          <w:sz w:val="18"/>
          <w:szCs w:val="18"/>
          <w:lang w:eastAsia="en-US"/>
        </w:rPr>
        <w:t>Accounting standards early adopted</w:t>
      </w:r>
    </w:p>
    <w:p w14:paraId="486B6089" w14:textId="77777777" w:rsidR="00B9311E" w:rsidRPr="00BD77D8" w:rsidRDefault="00B9311E" w:rsidP="00727CAE">
      <w:pPr>
        <w:spacing w:line="206" w:lineRule="exact"/>
        <w:ind w:right="289"/>
        <w:textAlignment w:val="baseline"/>
        <w:rPr>
          <w:rFonts w:eastAsia="Arial"/>
          <w:b/>
          <w:bCs/>
          <w:sz w:val="18"/>
          <w:szCs w:val="18"/>
          <w:lang w:eastAsia="en-US"/>
        </w:rPr>
      </w:pPr>
      <w:r w:rsidRPr="00BD77D8">
        <w:rPr>
          <w:rFonts w:eastAsia="Arial"/>
          <w:sz w:val="18"/>
          <w:szCs w:val="18"/>
          <w:lang w:eastAsia="en-US"/>
        </w:rPr>
        <w:t>No Australian Accounting Standards have been early adopted for 2021-22.</w:t>
      </w:r>
    </w:p>
    <w:p w14:paraId="2AD651F5" w14:textId="77777777" w:rsidR="00B9311E" w:rsidRPr="00BD77D8" w:rsidRDefault="00B9311E" w:rsidP="00727CAE">
      <w:pPr>
        <w:spacing w:line="206" w:lineRule="exact"/>
        <w:ind w:right="289"/>
        <w:textAlignment w:val="baseline"/>
        <w:rPr>
          <w:rFonts w:eastAsia="Arial"/>
          <w:b/>
          <w:bCs/>
          <w:sz w:val="18"/>
          <w:szCs w:val="18"/>
          <w:lang w:eastAsia="en-US"/>
        </w:rPr>
      </w:pPr>
      <w:r w:rsidRPr="00BD77D8">
        <w:rPr>
          <w:rFonts w:eastAsia="Arial"/>
          <w:b/>
          <w:bCs/>
          <w:sz w:val="18"/>
          <w:szCs w:val="18"/>
          <w:lang w:eastAsia="en-US"/>
        </w:rPr>
        <w:t>F3-1 Configuration or Customisation Costs in a Cloud Computing Arrangement</w:t>
      </w:r>
    </w:p>
    <w:p w14:paraId="22AC98A0" w14:textId="77777777" w:rsidR="00B9311E" w:rsidRPr="00BD77D8" w:rsidRDefault="00B9311E" w:rsidP="00727CAE">
      <w:pPr>
        <w:spacing w:line="206" w:lineRule="exact"/>
        <w:ind w:right="289"/>
        <w:textAlignment w:val="baseline"/>
        <w:rPr>
          <w:rFonts w:eastAsia="Arial"/>
          <w:b/>
          <w:bCs/>
          <w:sz w:val="18"/>
          <w:szCs w:val="18"/>
          <w:lang w:eastAsia="en-US"/>
        </w:rPr>
      </w:pPr>
      <w:r w:rsidRPr="00BD77D8">
        <w:rPr>
          <w:rFonts w:eastAsia="Arial"/>
          <w:b/>
          <w:bCs/>
          <w:sz w:val="18"/>
          <w:szCs w:val="18"/>
          <w:lang w:eastAsia="en-US"/>
        </w:rPr>
        <w:t xml:space="preserve">Summary of change in accounting policy </w:t>
      </w:r>
    </w:p>
    <w:p w14:paraId="7A1BF15E" w14:textId="77777777" w:rsidR="00B9311E" w:rsidRPr="00BD77D8" w:rsidRDefault="00B9311E" w:rsidP="00B9311E">
      <w:pPr>
        <w:spacing w:after="0" w:line="206" w:lineRule="exact"/>
        <w:ind w:right="288"/>
        <w:textAlignment w:val="baseline"/>
        <w:rPr>
          <w:rFonts w:eastAsia="Arial"/>
          <w:b/>
          <w:bCs/>
          <w:sz w:val="18"/>
          <w:szCs w:val="18"/>
          <w:lang w:eastAsia="en-US"/>
        </w:rPr>
      </w:pPr>
      <w:r w:rsidRPr="00BD77D8">
        <w:rPr>
          <w:rFonts w:eastAsia="Arial"/>
          <w:sz w:val="18"/>
          <w:szCs w:val="18"/>
          <w:lang w:eastAsia="en-US"/>
        </w:rPr>
        <w:t xml:space="preserve">The department changed its accounting policies in 2021-22 after completing a full analysis of the department’s previously </w:t>
      </w:r>
    </w:p>
    <w:p w14:paraId="1D07A54D" w14:textId="77777777" w:rsidR="00B9311E" w:rsidRPr="00BD77D8" w:rsidRDefault="00B9311E" w:rsidP="00727CAE">
      <w:pPr>
        <w:spacing w:line="206" w:lineRule="exact"/>
        <w:ind w:right="289"/>
        <w:textAlignment w:val="baseline"/>
        <w:rPr>
          <w:rFonts w:eastAsia="Arial"/>
          <w:b/>
          <w:bCs/>
          <w:sz w:val="18"/>
          <w:szCs w:val="18"/>
          <w:lang w:eastAsia="en-US"/>
        </w:rPr>
      </w:pPr>
      <w:r w:rsidRPr="00BD77D8">
        <w:rPr>
          <w:rFonts w:eastAsia="Arial"/>
          <w:sz w:val="18"/>
          <w:szCs w:val="18"/>
          <w:lang w:eastAsia="en-US"/>
        </w:rPr>
        <w:t xml:space="preserve">capitalised software in response to the IFRIC agenda decision released in March 2021. </w:t>
      </w:r>
    </w:p>
    <w:p w14:paraId="19BCE192" w14:textId="77777777" w:rsidR="00B9311E" w:rsidRPr="00BD77D8" w:rsidRDefault="00B9311E" w:rsidP="00727CAE">
      <w:pPr>
        <w:spacing w:line="206" w:lineRule="exact"/>
        <w:ind w:right="289"/>
        <w:textAlignment w:val="baseline"/>
        <w:rPr>
          <w:rFonts w:eastAsia="Arial"/>
          <w:b/>
          <w:bCs/>
          <w:sz w:val="18"/>
          <w:szCs w:val="18"/>
          <w:lang w:eastAsia="en-US"/>
        </w:rPr>
      </w:pPr>
      <w:r w:rsidRPr="00BD77D8">
        <w:rPr>
          <w:rFonts w:eastAsia="Arial"/>
          <w:sz w:val="18"/>
          <w:szCs w:val="18"/>
          <w:lang w:eastAsia="en-US"/>
        </w:rPr>
        <w:t>The department’s new accounting policy now considers where the software code resides, whether it is identifiable and whether the department has the power to both obtain economic benefits from the software and restrict the access of others to those benefits. Configuration or customisation costs that do not qualify for recognition as an intangible asset are further assessed as to the appropriate timing of expense recognition, using the following criteria:</w:t>
      </w:r>
    </w:p>
    <w:p w14:paraId="1E2C10F9" w14:textId="77777777" w:rsidR="00B9311E" w:rsidRPr="00BD77D8" w:rsidRDefault="00B9311E" w:rsidP="003954C5">
      <w:pPr>
        <w:numPr>
          <w:ilvl w:val="0"/>
          <w:numId w:val="79"/>
        </w:numPr>
        <w:spacing w:line="206" w:lineRule="exact"/>
        <w:ind w:right="289"/>
        <w:textAlignment w:val="baseline"/>
        <w:rPr>
          <w:rFonts w:eastAsia="Arial"/>
          <w:b/>
          <w:bCs/>
          <w:sz w:val="18"/>
          <w:szCs w:val="18"/>
          <w:lang w:eastAsia="en-US"/>
        </w:rPr>
      </w:pPr>
      <w:r w:rsidRPr="00BD77D8">
        <w:rPr>
          <w:rFonts w:eastAsia="Arial"/>
          <w:sz w:val="18"/>
          <w:szCs w:val="18"/>
          <w:lang w:eastAsia="en-US"/>
        </w:rPr>
        <w:t>Where the configuration or customisation is considered a distinct (</w:t>
      </w:r>
      <w:proofErr w:type="gramStart"/>
      <w:r w:rsidRPr="00BD77D8">
        <w:rPr>
          <w:rFonts w:eastAsia="Arial"/>
          <w:sz w:val="18"/>
          <w:szCs w:val="18"/>
          <w:lang w:eastAsia="en-US"/>
        </w:rPr>
        <w:t>i.e.</w:t>
      </w:r>
      <w:proofErr w:type="gramEnd"/>
      <w:r w:rsidRPr="00BD77D8">
        <w:rPr>
          <w:rFonts w:eastAsia="Arial"/>
          <w:sz w:val="18"/>
          <w:szCs w:val="18"/>
          <w:lang w:eastAsia="en-US"/>
        </w:rPr>
        <w:t xml:space="preserve"> separately identifiable) service from the subsequent access to the cloud software, the costs are expensed when the configuration or customisation services are received. This is typically the case when the vendor providing the services is different from the vendor providing access to the software. </w:t>
      </w:r>
    </w:p>
    <w:p w14:paraId="1494A2B4" w14:textId="77777777" w:rsidR="00B9311E" w:rsidRPr="00BD77D8" w:rsidRDefault="00B9311E" w:rsidP="003954C5">
      <w:pPr>
        <w:numPr>
          <w:ilvl w:val="0"/>
          <w:numId w:val="79"/>
        </w:numPr>
        <w:spacing w:after="0" w:line="206" w:lineRule="exact"/>
        <w:ind w:right="288"/>
        <w:contextualSpacing/>
        <w:textAlignment w:val="baseline"/>
        <w:rPr>
          <w:rFonts w:eastAsia="Arial"/>
          <w:b/>
          <w:bCs/>
          <w:sz w:val="18"/>
          <w:szCs w:val="18"/>
          <w:lang w:eastAsia="en-US"/>
        </w:rPr>
      </w:pPr>
      <w:r w:rsidRPr="00BD77D8">
        <w:rPr>
          <w:rFonts w:eastAsia="Arial"/>
          <w:sz w:val="18"/>
          <w:szCs w:val="18"/>
          <w:lang w:eastAsia="en-US"/>
        </w:rPr>
        <w:t xml:space="preserve">Where the configuration or customisation is not a distinct service from the department’s right to access the software, the costs are expensed over the period of access on a straight-line basis. A prepayment asset is recognised when the payment is made </w:t>
      </w:r>
      <w:proofErr w:type="spellStart"/>
      <w:r w:rsidRPr="00BD77D8">
        <w:rPr>
          <w:rFonts w:eastAsia="Arial"/>
          <w:sz w:val="18"/>
          <w:szCs w:val="18"/>
          <w:lang w:eastAsia="en-US"/>
        </w:rPr>
        <w:t>upfront</w:t>
      </w:r>
      <w:proofErr w:type="spellEnd"/>
      <w:r w:rsidRPr="00BD77D8">
        <w:rPr>
          <w:rFonts w:eastAsia="Arial"/>
          <w:sz w:val="18"/>
          <w:szCs w:val="18"/>
          <w:lang w:eastAsia="en-US"/>
        </w:rPr>
        <w:t xml:space="preserve">. This is usually the case when the same vendor is providing both the configuration </w:t>
      </w:r>
      <w:proofErr w:type="gramStart"/>
      <w:r w:rsidRPr="00BD77D8">
        <w:rPr>
          <w:rFonts w:eastAsia="Arial"/>
          <w:sz w:val="18"/>
          <w:szCs w:val="18"/>
          <w:lang w:eastAsia="en-US"/>
        </w:rPr>
        <w:t>or</w:t>
      </w:r>
      <w:proofErr w:type="gramEnd"/>
      <w:r w:rsidRPr="00BD77D8">
        <w:rPr>
          <w:rFonts w:eastAsia="Arial"/>
          <w:sz w:val="18"/>
          <w:szCs w:val="18"/>
          <w:lang w:eastAsia="en-US"/>
        </w:rPr>
        <w:t xml:space="preserve"> </w:t>
      </w:r>
    </w:p>
    <w:p w14:paraId="25327DBA" w14:textId="77777777" w:rsidR="00B9311E" w:rsidRPr="00BD77D8" w:rsidRDefault="00B9311E" w:rsidP="00727CAE">
      <w:pPr>
        <w:spacing w:line="206" w:lineRule="exact"/>
        <w:ind w:right="289" w:firstLine="720"/>
        <w:textAlignment w:val="baseline"/>
        <w:rPr>
          <w:rFonts w:eastAsia="Arial"/>
          <w:b/>
          <w:bCs/>
          <w:sz w:val="18"/>
          <w:szCs w:val="18"/>
          <w:lang w:eastAsia="en-US"/>
        </w:rPr>
      </w:pPr>
      <w:r w:rsidRPr="00BD77D8">
        <w:rPr>
          <w:rFonts w:eastAsia="Arial"/>
          <w:sz w:val="18"/>
          <w:szCs w:val="18"/>
          <w:lang w:eastAsia="en-US"/>
        </w:rPr>
        <w:t xml:space="preserve">customisation services and the access to the cloud software. </w:t>
      </w:r>
    </w:p>
    <w:p w14:paraId="4025E085" w14:textId="77777777" w:rsidR="00B9311E" w:rsidRPr="00BD77D8" w:rsidRDefault="00B9311E" w:rsidP="00727CAE">
      <w:pPr>
        <w:spacing w:line="206" w:lineRule="exact"/>
        <w:ind w:right="289"/>
        <w:textAlignment w:val="baseline"/>
        <w:rPr>
          <w:rFonts w:eastAsia="Arial"/>
          <w:b/>
          <w:bCs/>
          <w:sz w:val="18"/>
          <w:szCs w:val="18"/>
          <w:lang w:eastAsia="en-US"/>
        </w:rPr>
      </w:pPr>
      <w:r w:rsidRPr="00BD77D8">
        <w:rPr>
          <w:rFonts w:eastAsia="Arial"/>
          <w:sz w:val="18"/>
          <w:szCs w:val="18"/>
          <w:lang w:eastAsia="en-US"/>
        </w:rPr>
        <w:t xml:space="preserve">Any software that qualifies as an intangible asset is recognised and accounted for in accordance with the department’s existing accounting policies on software assets in Note C5, which have not changed. </w:t>
      </w:r>
    </w:p>
    <w:p w14:paraId="44F118EC" w14:textId="77777777" w:rsidR="00B9311E" w:rsidRPr="00BD77D8" w:rsidRDefault="00B9311E" w:rsidP="00727CAE">
      <w:pPr>
        <w:spacing w:line="206" w:lineRule="exact"/>
        <w:ind w:right="289"/>
        <w:textAlignment w:val="baseline"/>
        <w:rPr>
          <w:rFonts w:eastAsia="Arial"/>
          <w:b/>
          <w:bCs/>
          <w:sz w:val="18"/>
          <w:szCs w:val="18"/>
          <w:lang w:eastAsia="en-US"/>
        </w:rPr>
      </w:pPr>
      <w:r w:rsidRPr="00BD77D8">
        <w:rPr>
          <w:rFonts w:eastAsia="Arial"/>
          <w:sz w:val="18"/>
          <w:szCs w:val="18"/>
          <w:lang w:eastAsia="en-US"/>
        </w:rPr>
        <w:t>The changes have been applied retrospectively with an adjustment of comparative opening balances at 1 July 2020. However, a separate statement of financial position as at 1 July 2020 is not provided because the overall impact of these changes is not considered material.</w:t>
      </w:r>
    </w:p>
    <w:p w14:paraId="2CC90115" w14:textId="77777777" w:rsidR="00B9311E" w:rsidRPr="00BD77D8" w:rsidRDefault="00B9311E" w:rsidP="00727CAE">
      <w:pPr>
        <w:spacing w:line="206" w:lineRule="exact"/>
        <w:ind w:right="289"/>
        <w:textAlignment w:val="baseline"/>
        <w:rPr>
          <w:rFonts w:eastAsia="Arial"/>
          <w:b/>
          <w:bCs/>
          <w:sz w:val="18"/>
          <w:szCs w:val="18"/>
          <w:lang w:eastAsia="en-US"/>
        </w:rPr>
      </w:pPr>
      <w:r w:rsidRPr="00BD77D8">
        <w:rPr>
          <w:rFonts w:eastAsia="Arial"/>
          <w:b/>
          <w:bCs/>
          <w:sz w:val="18"/>
          <w:szCs w:val="18"/>
          <w:lang w:eastAsia="en-US"/>
        </w:rPr>
        <w:t>Impact of changes</w:t>
      </w:r>
    </w:p>
    <w:p w14:paraId="1D884294" w14:textId="77777777" w:rsidR="00B9311E" w:rsidRPr="00BD77D8" w:rsidRDefault="00B9311E" w:rsidP="00B9311E">
      <w:pPr>
        <w:spacing w:after="0" w:line="206" w:lineRule="exact"/>
        <w:ind w:right="288"/>
        <w:textAlignment w:val="baseline"/>
        <w:rPr>
          <w:rFonts w:eastAsia="Arial"/>
          <w:b/>
          <w:bCs/>
          <w:sz w:val="18"/>
          <w:szCs w:val="18"/>
          <w:lang w:eastAsia="en-US"/>
        </w:rPr>
      </w:pPr>
      <w:r w:rsidRPr="00BD77D8">
        <w:rPr>
          <w:rFonts w:eastAsia="Arial"/>
          <w:sz w:val="18"/>
          <w:szCs w:val="18"/>
          <w:lang w:eastAsia="en-US"/>
        </w:rPr>
        <w:t xml:space="preserve">As a result of the change in accounting policy, $0.507M of capitalised software intangible assets as at 1 July 2020 have been </w:t>
      </w:r>
    </w:p>
    <w:p w14:paraId="0F6EF6F8" w14:textId="77777777" w:rsidR="00B9311E" w:rsidRPr="00BD77D8" w:rsidRDefault="00B9311E" w:rsidP="00B9311E">
      <w:pPr>
        <w:spacing w:after="0" w:line="206" w:lineRule="exact"/>
        <w:ind w:right="288"/>
        <w:textAlignment w:val="baseline"/>
        <w:rPr>
          <w:rFonts w:eastAsia="Arial"/>
          <w:b/>
          <w:bCs/>
          <w:sz w:val="18"/>
          <w:szCs w:val="18"/>
          <w:lang w:eastAsia="en-US"/>
        </w:rPr>
      </w:pPr>
      <w:r w:rsidRPr="00BD77D8">
        <w:rPr>
          <w:rFonts w:eastAsia="Arial"/>
          <w:sz w:val="18"/>
          <w:szCs w:val="18"/>
          <w:lang w:eastAsia="en-US"/>
        </w:rPr>
        <w:t xml:space="preserve">expensed through opening accumulated surplus, with a $0.066M reduction in 2020-21’s reported amortisation expense. </w:t>
      </w:r>
    </w:p>
    <w:p w14:paraId="60E24163" w14:textId="25163066" w:rsidR="00B9311E" w:rsidRPr="00BD77D8" w:rsidRDefault="00FC037C" w:rsidP="0089639E">
      <w:pPr>
        <w:spacing w:before="2160" w:after="0" w:line="201" w:lineRule="exact"/>
        <w:textAlignment w:val="baseline"/>
        <w:rPr>
          <w:rFonts w:eastAsia="Arial"/>
          <w:bCs/>
          <w:sz w:val="18"/>
          <w:szCs w:val="18"/>
          <w:lang w:eastAsia="en-US"/>
        </w:rPr>
      </w:pP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r>
      <w:r w:rsidRPr="00BD77D8">
        <w:rPr>
          <w:rFonts w:eastAsia="Arial"/>
          <w:bCs/>
          <w:sz w:val="18"/>
          <w:szCs w:val="18"/>
          <w:lang w:eastAsia="en-US"/>
        </w:rPr>
        <w:tab/>
        <w:t>Page 38 of 45</w:t>
      </w:r>
    </w:p>
    <w:p w14:paraId="3C5B348A" w14:textId="77777777" w:rsidR="0089639E" w:rsidRPr="00BD77D8" w:rsidRDefault="0089639E">
      <w:pPr>
        <w:spacing w:after="0" w:line="240" w:lineRule="auto"/>
        <w:rPr>
          <w:rFonts w:eastAsia="Arial"/>
          <w:b/>
          <w:bCs/>
          <w:sz w:val="18"/>
          <w:szCs w:val="18"/>
          <w:lang w:eastAsia="en-US"/>
        </w:rPr>
      </w:pPr>
      <w:r w:rsidRPr="00BD77D8">
        <w:rPr>
          <w:rFonts w:eastAsia="Arial"/>
          <w:b/>
          <w:bCs/>
          <w:sz w:val="18"/>
          <w:szCs w:val="18"/>
          <w:lang w:eastAsia="en-US"/>
        </w:rPr>
        <w:br w:type="page"/>
      </w:r>
    </w:p>
    <w:p w14:paraId="6BD9AE34" w14:textId="2FBB37DF" w:rsidR="00B9311E" w:rsidRPr="00BD77D8" w:rsidRDefault="00B9311E" w:rsidP="00B9311E">
      <w:pPr>
        <w:spacing w:after="0" w:line="201"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18FCFF26" w14:textId="77777777" w:rsidR="00B9311E" w:rsidRPr="00BD77D8" w:rsidRDefault="00B9311E" w:rsidP="00B9311E">
      <w:pPr>
        <w:spacing w:after="0" w:line="201"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3CD50AD4" w14:textId="77777777" w:rsidR="00B9311E" w:rsidRPr="00BD77D8" w:rsidRDefault="00B9311E" w:rsidP="00B9311E">
      <w:pPr>
        <w:spacing w:after="0" w:line="201"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540D3F6E" w14:textId="77777777" w:rsidR="00B9311E" w:rsidRPr="00BD77D8" w:rsidRDefault="00B9311E" w:rsidP="00B9311E">
      <w:pPr>
        <w:pBdr>
          <w:bottom w:val="single" w:sz="4" w:space="1" w:color="auto"/>
        </w:pBdr>
        <w:spacing w:after="0" w:line="252" w:lineRule="exact"/>
        <w:textAlignment w:val="baseline"/>
        <w:rPr>
          <w:rFonts w:eastAsia="Arial"/>
          <w:b/>
          <w:sz w:val="18"/>
          <w:szCs w:val="18"/>
          <w:lang w:eastAsia="en-US"/>
        </w:rPr>
      </w:pPr>
    </w:p>
    <w:p w14:paraId="18494BE7" w14:textId="77777777" w:rsidR="00B9311E" w:rsidRPr="00BD77D8" w:rsidRDefault="00B9311E" w:rsidP="00727CAE">
      <w:pPr>
        <w:spacing w:before="200"/>
        <w:rPr>
          <w:rFonts w:eastAsia="Arial"/>
          <w:b/>
          <w:bCs/>
          <w:sz w:val="22"/>
          <w:szCs w:val="22"/>
          <w:lang w:eastAsia="en-US"/>
        </w:rPr>
      </w:pPr>
      <w:bookmarkStart w:id="277" w:name="_Toc111494825"/>
      <w:bookmarkStart w:id="278" w:name="_Toc111540697"/>
      <w:bookmarkStart w:id="279" w:name="_Toc111559261"/>
      <w:bookmarkStart w:id="280" w:name="_Toc113196533"/>
      <w:bookmarkStart w:id="281" w:name="_Toc113196881"/>
      <w:bookmarkStart w:id="282" w:name="_Toc113262011"/>
      <w:bookmarkStart w:id="283" w:name="_Toc113349165"/>
      <w:bookmarkStart w:id="284" w:name="_Toc113358090"/>
      <w:bookmarkStart w:id="285" w:name="_Hlk98334811"/>
      <w:r w:rsidRPr="00BD77D8">
        <w:rPr>
          <w:rFonts w:eastAsia="Arial"/>
          <w:b/>
          <w:bCs/>
          <w:sz w:val="22"/>
          <w:szCs w:val="22"/>
          <w:lang w:eastAsia="en-US"/>
        </w:rPr>
        <w:t>F4 Climate Risk Assessment</w:t>
      </w:r>
      <w:bookmarkEnd w:id="277"/>
      <w:bookmarkEnd w:id="278"/>
      <w:bookmarkEnd w:id="279"/>
      <w:bookmarkEnd w:id="280"/>
      <w:bookmarkEnd w:id="281"/>
      <w:bookmarkEnd w:id="282"/>
      <w:bookmarkEnd w:id="283"/>
      <w:bookmarkEnd w:id="284"/>
    </w:p>
    <w:p w14:paraId="272E627B" w14:textId="77777777" w:rsidR="00B9311E" w:rsidRPr="00BD77D8" w:rsidRDefault="00B9311E" w:rsidP="00B9311E">
      <w:pPr>
        <w:spacing w:after="0" w:line="208" w:lineRule="exact"/>
        <w:ind w:right="360"/>
        <w:textAlignment w:val="baseline"/>
        <w:rPr>
          <w:rFonts w:eastAsia="Arial"/>
          <w:b/>
          <w:bCs/>
          <w:sz w:val="18"/>
          <w:szCs w:val="18"/>
          <w:lang w:eastAsia="en-US"/>
        </w:rPr>
      </w:pPr>
      <w:r w:rsidRPr="00BD77D8">
        <w:rPr>
          <w:rFonts w:eastAsia="Arial"/>
          <w:sz w:val="18"/>
          <w:szCs w:val="18"/>
          <w:lang w:eastAsia="en-US"/>
        </w:rPr>
        <w:t xml:space="preserve">The department has not identified any material climate related risks relevant to the financial report at the reporting date. The </w:t>
      </w:r>
    </w:p>
    <w:p w14:paraId="3984DC87" w14:textId="77777777" w:rsidR="00B9311E" w:rsidRPr="00BD77D8" w:rsidRDefault="00B9311E" w:rsidP="00727CAE">
      <w:pPr>
        <w:spacing w:line="208" w:lineRule="exact"/>
        <w:ind w:right="357"/>
        <w:textAlignment w:val="baseline"/>
        <w:rPr>
          <w:rFonts w:eastAsia="Arial"/>
          <w:b/>
          <w:bCs/>
          <w:sz w:val="18"/>
          <w:szCs w:val="18"/>
          <w:lang w:eastAsia="en-US"/>
        </w:rPr>
      </w:pPr>
      <w:r w:rsidRPr="00BD77D8">
        <w:rPr>
          <w:rFonts w:eastAsia="Arial"/>
          <w:sz w:val="18"/>
          <w:szCs w:val="18"/>
          <w:lang w:eastAsia="en-US"/>
        </w:rPr>
        <w:t>department continues to monitor the emergence of such risks under the Queensland Government’s Climate Transition Strategy, and Climate Action Plan 2030.</w:t>
      </w:r>
    </w:p>
    <w:p w14:paraId="44603ED5" w14:textId="77777777" w:rsidR="00B9311E" w:rsidRPr="00BD77D8" w:rsidRDefault="00B9311E" w:rsidP="007D087A">
      <w:pPr>
        <w:rPr>
          <w:rFonts w:eastAsia="Arial"/>
          <w:b/>
          <w:bCs/>
          <w:sz w:val="22"/>
          <w:szCs w:val="22"/>
          <w:lang w:eastAsia="en-US"/>
        </w:rPr>
      </w:pPr>
      <w:bookmarkStart w:id="286" w:name="_Toc111494826"/>
      <w:bookmarkStart w:id="287" w:name="_Toc111540698"/>
      <w:bookmarkStart w:id="288" w:name="_Toc111559262"/>
      <w:bookmarkStart w:id="289" w:name="_Toc113196534"/>
      <w:bookmarkStart w:id="290" w:name="_Toc113196882"/>
      <w:bookmarkStart w:id="291" w:name="_Toc113262012"/>
      <w:bookmarkStart w:id="292" w:name="_Toc113349166"/>
      <w:bookmarkStart w:id="293" w:name="_Toc113358091"/>
      <w:bookmarkEnd w:id="285"/>
      <w:r w:rsidRPr="00BD77D8">
        <w:rPr>
          <w:rFonts w:eastAsia="Arial"/>
          <w:b/>
          <w:bCs/>
          <w:sz w:val="22"/>
          <w:szCs w:val="22"/>
          <w:lang w:eastAsia="en-US"/>
        </w:rPr>
        <w:t>F5 Impact of COVID-19 Pandemic</w:t>
      </w:r>
      <w:bookmarkEnd w:id="286"/>
      <w:bookmarkEnd w:id="287"/>
      <w:bookmarkEnd w:id="288"/>
      <w:bookmarkEnd w:id="289"/>
      <w:bookmarkEnd w:id="290"/>
      <w:bookmarkEnd w:id="291"/>
      <w:bookmarkEnd w:id="292"/>
      <w:bookmarkEnd w:id="293"/>
    </w:p>
    <w:p w14:paraId="1E71DA94" w14:textId="77777777" w:rsidR="00B9311E" w:rsidRPr="00BD77D8" w:rsidRDefault="00B9311E" w:rsidP="00727CAE">
      <w:pPr>
        <w:spacing w:line="208" w:lineRule="exact"/>
        <w:ind w:right="357"/>
        <w:textAlignment w:val="baseline"/>
        <w:rPr>
          <w:rFonts w:eastAsia="Arial"/>
          <w:sz w:val="18"/>
          <w:szCs w:val="18"/>
          <w:lang w:eastAsia="en-US"/>
        </w:rPr>
      </w:pPr>
      <w:r w:rsidRPr="00BD77D8">
        <w:rPr>
          <w:rFonts w:eastAsia="Arial"/>
          <w:sz w:val="18"/>
          <w:szCs w:val="18"/>
          <w:lang w:eastAsia="en-US"/>
        </w:rPr>
        <w:t>The department provided the financial assistance below during the financial year as a result of the pandemic. The assistance has a limited life and expenditure between years is not comparable.</w:t>
      </w:r>
    </w:p>
    <w:p w14:paraId="42FBFAFA" w14:textId="77777777" w:rsidR="00B9311E" w:rsidRPr="00BD77D8" w:rsidRDefault="00B9311E" w:rsidP="00727CAE">
      <w:pPr>
        <w:spacing w:line="208" w:lineRule="exact"/>
        <w:ind w:right="357"/>
        <w:textAlignment w:val="baseline"/>
        <w:rPr>
          <w:rFonts w:eastAsia="Arial"/>
          <w:sz w:val="18"/>
          <w:szCs w:val="18"/>
          <w:lang w:eastAsia="en-US"/>
        </w:rPr>
      </w:pPr>
      <w:r w:rsidRPr="00BD77D8">
        <w:rPr>
          <w:rFonts w:eastAsia="Arial"/>
          <w:sz w:val="18"/>
          <w:szCs w:val="18"/>
          <w:lang w:eastAsia="en-US"/>
        </w:rPr>
        <w:t>Expenditure recognised in the statement of comprehensive income - administered includes the following items under the heading of grants and subsidies.</w:t>
      </w:r>
    </w:p>
    <w:p w14:paraId="6C129A12" w14:textId="438F01F5" w:rsidR="00B9311E" w:rsidRPr="00BD77D8" w:rsidRDefault="00B9311E" w:rsidP="003954C5">
      <w:pPr>
        <w:numPr>
          <w:ilvl w:val="0"/>
          <w:numId w:val="77"/>
        </w:numPr>
        <w:tabs>
          <w:tab w:val="left" w:pos="720"/>
        </w:tabs>
        <w:spacing w:line="180" w:lineRule="atLeast"/>
        <w:ind w:left="720" w:right="72" w:hanging="646"/>
        <w:textAlignment w:val="baseline"/>
        <w:rPr>
          <w:rFonts w:eastAsia="Arial"/>
          <w:b/>
          <w:bCs/>
          <w:sz w:val="18"/>
          <w:szCs w:val="18"/>
          <w:lang w:eastAsia="en-US"/>
        </w:rPr>
      </w:pPr>
      <w:r w:rsidRPr="00BD77D8">
        <w:rPr>
          <w:rFonts w:eastAsia="Arial"/>
          <w:sz w:val="18"/>
          <w:szCs w:val="18"/>
          <w:lang w:eastAsia="en-US"/>
        </w:rPr>
        <w:t>$0.316M in electricity relief payments provided under the State Government Power Bill Relief Package for small and medium business enterprises with consumption less than 100,000 kilowatt hours (kWh), with a $500 rebate being automatically applied to electricity accounts. $6.708M provided in 2020-21.</w:t>
      </w:r>
    </w:p>
    <w:p w14:paraId="3E45B969" w14:textId="5F2E9B64" w:rsidR="00B9311E" w:rsidRPr="00BD77D8" w:rsidRDefault="00B9311E" w:rsidP="003954C5">
      <w:pPr>
        <w:numPr>
          <w:ilvl w:val="0"/>
          <w:numId w:val="77"/>
        </w:numPr>
        <w:tabs>
          <w:tab w:val="left" w:pos="720"/>
        </w:tabs>
        <w:spacing w:line="180" w:lineRule="atLeast"/>
        <w:ind w:left="720" w:right="360" w:hanging="646"/>
        <w:textAlignment w:val="baseline"/>
        <w:rPr>
          <w:rFonts w:eastAsia="Arial"/>
          <w:b/>
          <w:bCs/>
          <w:sz w:val="18"/>
          <w:szCs w:val="18"/>
          <w:lang w:eastAsia="en-US"/>
        </w:rPr>
      </w:pPr>
      <w:r w:rsidRPr="00BD77D8">
        <w:rPr>
          <w:rFonts w:eastAsia="Arial"/>
          <w:sz w:val="18"/>
          <w:szCs w:val="18"/>
          <w:lang w:eastAsia="en-US"/>
        </w:rPr>
        <w:t>$0.317M in electricity relief payments provided under the State Government Household Utility Assistance Package to Queensland residential households, with a $50 rebate being automatically applied to their electricity accounts. $11.447M provided in 2020-21.</w:t>
      </w:r>
    </w:p>
    <w:p w14:paraId="13E6D673" w14:textId="77777777" w:rsidR="00B9311E" w:rsidRPr="00BD77D8" w:rsidRDefault="00B9311E" w:rsidP="00B9311E">
      <w:pPr>
        <w:spacing w:after="0" w:line="180" w:lineRule="atLeast"/>
        <w:ind w:left="72" w:right="216"/>
        <w:textAlignment w:val="baseline"/>
        <w:rPr>
          <w:rFonts w:eastAsia="Arial"/>
          <w:b/>
          <w:bCs/>
          <w:sz w:val="18"/>
          <w:szCs w:val="18"/>
          <w:lang w:eastAsia="en-US"/>
        </w:rPr>
      </w:pPr>
      <w:r w:rsidRPr="00BD77D8">
        <w:rPr>
          <w:rFonts w:eastAsia="Arial"/>
          <w:sz w:val="18"/>
          <w:szCs w:val="18"/>
          <w:lang w:eastAsia="en-US"/>
        </w:rPr>
        <w:t>Further information on the impact of the COVID-19 pandemic is provided within Note C2, Receivables and Note C6 Payables.</w:t>
      </w:r>
    </w:p>
    <w:p w14:paraId="19BDC36F" w14:textId="748B4011" w:rsidR="00B9311E" w:rsidRPr="00BD77D8" w:rsidRDefault="00FC037C" w:rsidP="0089639E">
      <w:pPr>
        <w:spacing w:before="4080" w:after="0" w:line="240" w:lineRule="auto"/>
        <w:rPr>
          <w:rFonts w:eastAsia="Arial"/>
          <w:bCs/>
          <w:sz w:val="18"/>
          <w:szCs w:val="18"/>
          <w:lang w:eastAsia="en-US"/>
        </w:rPr>
      </w:pPr>
      <w:bookmarkStart w:id="294" w:name="_Hlk80120833"/>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t>Page 39 of 45</w:t>
      </w:r>
      <w:r w:rsidR="00B9311E" w:rsidRPr="00BD77D8">
        <w:rPr>
          <w:rFonts w:eastAsia="Arial"/>
          <w:sz w:val="18"/>
          <w:szCs w:val="18"/>
          <w:lang w:eastAsia="en-US"/>
        </w:rPr>
        <w:br w:type="page"/>
      </w:r>
    </w:p>
    <w:p w14:paraId="1FFF4202" w14:textId="77777777" w:rsidR="00B9311E" w:rsidRPr="00BD77D8" w:rsidRDefault="00B9311E" w:rsidP="00B9311E">
      <w:pPr>
        <w:spacing w:after="0" w:line="200"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1E94018C" w14:textId="77777777" w:rsidR="00B9311E" w:rsidRPr="00BD77D8" w:rsidRDefault="00B9311E" w:rsidP="007150A3">
      <w:pPr>
        <w:spacing w:after="0" w:line="200" w:lineRule="exact"/>
        <w:textAlignment w:val="baseline"/>
        <w:rPr>
          <w:rFonts w:eastAsia="Arial"/>
          <w:b/>
          <w:bCs/>
          <w:sz w:val="18"/>
          <w:szCs w:val="18"/>
          <w:lang w:eastAsia="en-US"/>
        </w:rPr>
      </w:pPr>
      <w:r w:rsidRPr="00BD77D8">
        <w:rPr>
          <w:rFonts w:eastAsia="Arial"/>
          <w:b/>
          <w:bCs/>
          <w:sz w:val="18"/>
          <w:szCs w:val="18"/>
          <w:lang w:eastAsia="en-US"/>
        </w:rPr>
        <w:t>Administered Activities</w:t>
      </w:r>
    </w:p>
    <w:p w14:paraId="2F0C21E4" w14:textId="77777777" w:rsidR="00B9311E" w:rsidRPr="00BD77D8" w:rsidRDefault="00B9311E" w:rsidP="00B9311E">
      <w:pPr>
        <w:spacing w:after="0" w:line="196" w:lineRule="exact"/>
        <w:textAlignment w:val="baseline"/>
        <w:rPr>
          <w:rFonts w:eastAsia="Arial"/>
          <w:b/>
          <w:bCs/>
          <w:spacing w:val="-1"/>
          <w:sz w:val="18"/>
          <w:szCs w:val="18"/>
          <w:lang w:eastAsia="en-US"/>
        </w:rPr>
      </w:pPr>
      <w:r w:rsidRPr="00BD77D8">
        <w:rPr>
          <w:rFonts w:eastAsia="Arial"/>
          <w:b/>
          <w:bCs/>
          <w:spacing w:val="-1"/>
          <w:sz w:val="18"/>
          <w:szCs w:val="18"/>
          <w:lang w:eastAsia="en-US"/>
        </w:rPr>
        <w:t>as at 30 June 2022</w:t>
      </w:r>
    </w:p>
    <w:p w14:paraId="7F7CECFC" w14:textId="77777777" w:rsidR="00B9311E" w:rsidRPr="00BD77D8" w:rsidRDefault="00B9311E" w:rsidP="00B9311E">
      <w:pPr>
        <w:pBdr>
          <w:bottom w:val="single" w:sz="4" w:space="1" w:color="auto"/>
        </w:pBdr>
        <w:spacing w:after="0" w:line="200" w:lineRule="exact"/>
        <w:textAlignment w:val="baseline"/>
        <w:rPr>
          <w:rFonts w:eastAsia="Arial"/>
          <w:bCs/>
          <w:sz w:val="18"/>
          <w:szCs w:val="18"/>
          <w:lang w:eastAsia="en-US"/>
        </w:rPr>
      </w:pPr>
    </w:p>
    <w:p w14:paraId="769C727C" w14:textId="77777777" w:rsidR="00B9311E" w:rsidRPr="00BD77D8" w:rsidRDefault="00B9311E" w:rsidP="007D087A">
      <w:pPr>
        <w:spacing w:before="40" w:after="80"/>
        <w:rPr>
          <w:rFonts w:ascii="Calibri Light" w:hAnsi="Calibri Light" w:cs="Times New Roman"/>
          <w:b/>
          <w:bCs/>
          <w:sz w:val="22"/>
          <w:szCs w:val="22"/>
          <w:lang w:eastAsia="en-US"/>
        </w:rPr>
      </w:pPr>
      <w:bookmarkStart w:id="295" w:name="_Toc111463867"/>
      <w:bookmarkStart w:id="296" w:name="_Toc111494827"/>
      <w:bookmarkStart w:id="297" w:name="_Toc111540699"/>
      <w:bookmarkStart w:id="298" w:name="_Toc111559263"/>
      <w:bookmarkStart w:id="299" w:name="_Toc113196535"/>
      <w:bookmarkStart w:id="300" w:name="_Toc113196883"/>
      <w:bookmarkStart w:id="301" w:name="_Toc113262013"/>
      <w:bookmarkStart w:id="302" w:name="_Toc113349167"/>
      <w:bookmarkStart w:id="303" w:name="_Toc113358092"/>
      <w:r w:rsidRPr="00BD77D8">
        <w:rPr>
          <w:b/>
          <w:bCs/>
          <w:sz w:val="22"/>
          <w:szCs w:val="22"/>
          <w:lang w:eastAsia="en-US"/>
        </w:rPr>
        <w:t>What we Look After on Behalf of Whole-of-Government</w:t>
      </w:r>
      <w:bookmarkEnd w:id="295"/>
      <w:bookmarkEnd w:id="296"/>
      <w:bookmarkEnd w:id="297"/>
      <w:bookmarkEnd w:id="298"/>
      <w:bookmarkEnd w:id="299"/>
      <w:bookmarkEnd w:id="300"/>
      <w:bookmarkEnd w:id="301"/>
      <w:bookmarkEnd w:id="302"/>
      <w:bookmarkEnd w:id="303"/>
    </w:p>
    <w:p w14:paraId="6AE0F176" w14:textId="77777777" w:rsidR="00B9311E" w:rsidRPr="00BD77D8" w:rsidRDefault="00B9311E" w:rsidP="007D087A">
      <w:pPr>
        <w:pBdr>
          <w:bottom w:val="single" w:sz="4" w:space="0" w:color="auto"/>
        </w:pBdr>
        <w:tabs>
          <w:tab w:val="left" w:pos="360"/>
        </w:tabs>
        <w:spacing w:after="0" w:line="203" w:lineRule="exact"/>
        <w:textAlignment w:val="baseline"/>
        <w:rPr>
          <w:rFonts w:eastAsia="PMingLiU"/>
          <w:sz w:val="18"/>
          <w:szCs w:val="22"/>
          <w:lang w:eastAsia="en-US"/>
        </w:rPr>
      </w:pPr>
    </w:p>
    <w:p w14:paraId="529C23CB" w14:textId="77777777" w:rsidR="00B9311E" w:rsidRPr="00BD77D8" w:rsidRDefault="00B9311E" w:rsidP="007D087A">
      <w:pPr>
        <w:rPr>
          <w:rFonts w:eastAsia="Arial"/>
          <w:b/>
          <w:bCs/>
          <w:sz w:val="20"/>
          <w:szCs w:val="20"/>
          <w:lang w:eastAsia="en-US"/>
        </w:rPr>
      </w:pPr>
      <w:bookmarkStart w:id="304" w:name="_Toc111494828"/>
      <w:bookmarkStart w:id="305" w:name="_Toc111540700"/>
      <w:bookmarkStart w:id="306" w:name="_Toc111559264"/>
      <w:bookmarkStart w:id="307" w:name="_Toc113196536"/>
      <w:bookmarkStart w:id="308" w:name="_Toc113196884"/>
      <w:bookmarkStart w:id="309" w:name="_Toc113262014"/>
      <w:bookmarkStart w:id="310" w:name="_Toc113349168"/>
      <w:bookmarkStart w:id="311" w:name="_Toc113358093"/>
      <w:r w:rsidRPr="00BD77D8">
        <w:rPr>
          <w:rFonts w:eastAsia="Arial"/>
          <w:b/>
          <w:bCs/>
          <w:sz w:val="20"/>
          <w:szCs w:val="20"/>
          <w:lang w:eastAsia="en-US"/>
        </w:rPr>
        <w:t>G1-1 Schedule of Administered Income and Expenses</w:t>
      </w:r>
      <w:bookmarkEnd w:id="304"/>
      <w:bookmarkEnd w:id="305"/>
      <w:bookmarkEnd w:id="306"/>
      <w:bookmarkEnd w:id="307"/>
      <w:bookmarkEnd w:id="308"/>
      <w:bookmarkEnd w:id="309"/>
      <w:bookmarkEnd w:id="310"/>
      <w:bookmarkEnd w:id="311"/>
    </w:p>
    <w:tbl>
      <w:tblPr>
        <w:tblW w:w="10324" w:type="dxa"/>
        <w:tblCellMar>
          <w:left w:w="0" w:type="dxa"/>
          <w:right w:w="0" w:type="dxa"/>
        </w:tblCellMar>
        <w:tblLook w:val="04A0" w:firstRow="1" w:lastRow="0" w:firstColumn="1" w:lastColumn="0" w:noHBand="0" w:noVBand="1"/>
      </w:tblPr>
      <w:tblGrid>
        <w:gridCol w:w="3185"/>
        <w:gridCol w:w="1941"/>
        <w:gridCol w:w="1272"/>
        <w:gridCol w:w="1298"/>
        <w:gridCol w:w="1342"/>
        <w:gridCol w:w="1286"/>
      </w:tblGrid>
      <w:tr w:rsidR="00BD77D8" w:rsidRPr="00BD77D8" w14:paraId="3D888DF4" w14:textId="77777777" w:rsidTr="003057FB">
        <w:trPr>
          <w:trHeight w:val="827"/>
        </w:trPr>
        <w:tc>
          <w:tcPr>
            <w:tcW w:w="0" w:type="auto"/>
            <w:tcBorders>
              <w:top w:val="nil"/>
              <w:left w:val="nil"/>
              <w:bottom w:val="nil"/>
              <w:right w:val="nil"/>
            </w:tcBorders>
            <w:shd w:val="clear" w:color="auto" w:fill="auto"/>
            <w:noWrap/>
            <w:vAlign w:val="bottom"/>
            <w:hideMark/>
          </w:tcPr>
          <w:p w14:paraId="4B15FA30" w14:textId="77777777" w:rsidR="00B9311E" w:rsidRPr="00BD77D8" w:rsidRDefault="00B9311E" w:rsidP="00B9311E">
            <w:pPr>
              <w:spacing w:after="0" w:line="240" w:lineRule="auto"/>
              <w:rPr>
                <w:rFonts w:ascii="Times New Roman" w:hAnsi="Times New Roman" w:cs="Times New Roman"/>
                <w:sz w:val="24"/>
                <w:szCs w:val="24"/>
              </w:rPr>
            </w:pPr>
          </w:p>
        </w:tc>
        <w:tc>
          <w:tcPr>
            <w:tcW w:w="1925" w:type="dxa"/>
            <w:tcBorders>
              <w:top w:val="nil"/>
              <w:left w:val="nil"/>
              <w:bottom w:val="nil"/>
              <w:right w:val="nil"/>
            </w:tcBorders>
            <w:shd w:val="clear" w:color="auto" w:fill="auto"/>
            <w:noWrap/>
            <w:vAlign w:val="bottom"/>
            <w:hideMark/>
          </w:tcPr>
          <w:p w14:paraId="252BDC4E" w14:textId="77777777" w:rsidR="00B9311E" w:rsidRPr="00BD77D8" w:rsidRDefault="00B9311E" w:rsidP="00B9311E">
            <w:pPr>
              <w:spacing w:after="0" w:line="240" w:lineRule="auto"/>
              <w:jc w:val="center"/>
              <w:rPr>
                <w:b/>
                <w:bCs/>
                <w:sz w:val="18"/>
                <w:szCs w:val="18"/>
              </w:rPr>
            </w:pPr>
            <w:r w:rsidRPr="00BD77D8">
              <w:rPr>
                <w:b/>
                <w:bCs/>
                <w:sz w:val="18"/>
                <w:szCs w:val="18"/>
              </w:rPr>
              <w:t xml:space="preserve"> Note </w:t>
            </w:r>
          </w:p>
        </w:tc>
        <w:tc>
          <w:tcPr>
            <w:tcW w:w="1256" w:type="dxa"/>
            <w:tcBorders>
              <w:top w:val="nil"/>
              <w:left w:val="nil"/>
              <w:bottom w:val="nil"/>
              <w:right w:val="nil"/>
            </w:tcBorders>
            <w:shd w:val="clear" w:color="auto" w:fill="auto"/>
            <w:vAlign w:val="bottom"/>
            <w:hideMark/>
          </w:tcPr>
          <w:p w14:paraId="1EAF6026" w14:textId="77777777" w:rsidR="00B9311E" w:rsidRPr="00BD77D8" w:rsidRDefault="00B9311E" w:rsidP="00B9311E">
            <w:pPr>
              <w:spacing w:after="0" w:line="240" w:lineRule="auto"/>
              <w:jc w:val="right"/>
              <w:rPr>
                <w:b/>
                <w:bCs/>
                <w:sz w:val="18"/>
                <w:szCs w:val="18"/>
              </w:rPr>
            </w:pPr>
            <w:r w:rsidRPr="00BD77D8">
              <w:rPr>
                <w:b/>
                <w:bCs/>
                <w:sz w:val="18"/>
                <w:szCs w:val="18"/>
              </w:rPr>
              <w:t>Actual</w:t>
            </w:r>
            <w:r w:rsidRPr="00BD77D8">
              <w:rPr>
                <w:b/>
                <w:bCs/>
                <w:sz w:val="18"/>
                <w:szCs w:val="18"/>
              </w:rPr>
              <w:br/>
              <w:t xml:space="preserve">2022 </w:t>
            </w:r>
          </w:p>
        </w:tc>
        <w:tc>
          <w:tcPr>
            <w:tcW w:w="1282" w:type="dxa"/>
            <w:tcBorders>
              <w:top w:val="nil"/>
              <w:left w:val="nil"/>
              <w:bottom w:val="nil"/>
              <w:right w:val="nil"/>
            </w:tcBorders>
            <w:shd w:val="clear" w:color="auto" w:fill="auto"/>
            <w:vAlign w:val="bottom"/>
            <w:hideMark/>
          </w:tcPr>
          <w:p w14:paraId="4908540B" w14:textId="77777777" w:rsidR="00B9311E" w:rsidRPr="00BD77D8" w:rsidRDefault="00B9311E" w:rsidP="00B9311E">
            <w:pPr>
              <w:spacing w:after="0" w:line="240" w:lineRule="auto"/>
              <w:jc w:val="right"/>
              <w:rPr>
                <w:b/>
                <w:bCs/>
                <w:sz w:val="18"/>
                <w:szCs w:val="18"/>
              </w:rPr>
            </w:pPr>
            <w:r w:rsidRPr="00BD77D8">
              <w:rPr>
                <w:b/>
                <w:bCs/>
                <w:sz w:val="18"/>
                <w:szCs w:val="18"/>
              </w:rPr>
              <w:t xml:space="preserve"> Original Budget^</w:t>
            </w:r>
            <w:r w:rsidRPr="00BD77D8">
              <w:rPr>
                <w:b/>
                <w:bCs/>
                <w:sz w:val="18"/>
                <w:szCs w:val="18"/>
              </w:rPr>
              <w:br/>
              <w:t xml:space="preserve">2022  </w:t>
            </w:r>
          </w:p>
        </w:tc>
        <w:tc>
          <w:tcPr>
            <w:tcW w:w="1326" w:type="dxa"/>
            <w:tcBorders>
              <w:top w:val="nil"/>
              <w:left w:val="nil"/>
              <w:bottom w:val="nil"/>
              <w:right w:val="nil"/>
            </w:tcBorders>
            <w:shd w:val="clear" w:color="auto" w:fill="auto"/>
            <w:vAlign w:val="bottom"/>
            <w:hideMark/>
          </w:tcPr>
          <w:p w14:paraId="5F8CF359" w14:textId="77777777" w:rsidR="00B9311E" w:rsidRPr="00BD77D8" w:rsidRDefault="00B9311E" w:rsidP="00B9311E">
            <w:pPr>
              <w:spacing w:after="0" w:line="240" w:lineRule="auto"/>
              <w:jc w:val="right"/>
              <w:rPr>
                <w:b/>
                <w:bCs/>
                <w:sz w:val="18"/>
                <w:szCs w:val="18"/>
              </w:rPr>
            </w:pPr>
            <w:r w:rsidRPr="00BD77D8">
              <w:rPr>
                <w:b/>
                <w:bCs/>
                <w:sz w:val="18"/>
                <w:szCs w:val="18"/>
              </w:rPr>
              <w:t xml:space="preserve"> Budget Variance*</w:t>
            </w:r>
            <w:r w:rsidRPr="00BD77D8">
              <w:rPr>
                <w:b/>
                <w:bCs/>
                <w:sz w:val="18"/>
                <w:szCs w:val="18"/>
              </w:rPr>
              <w:br/>
              <w:t xml:space="preserve">2022  </w:t>
            </w:r>
          </w:p>
        </w:tc>
        <w:tc>
          <w:tcPr>
            <w:tcW w:w="0" w:type="auto"/>
            <w:tcBorders>
              <w:top w:val="nil"/>
              <w:left w:val="nil"/>
              <w:bottom w:val="nil"/>
              <w:right w:val="nil"/>
            </w:tcBorders>
            <w:shd w:val="clear" w:color="auto" w:fill="auto"/>
            <w:vAlign w:val="bottom"/>
            <w:hideMark/>
          </w:tcPr>
          <w:p w14:paraId="3D6096DE" w14:textId="77777777" w:rsidR="00B9311E" w:rsidRPr="00BD77D8" w:rsidRDefault="00B9311E" w:rsidP="00B9311E">
            <w:pPr>
              <w:spacing w:after="0" w:line="240" w:lineRule="auto"/>
              <w:jc w:val="right"/>
              <w:rPr>
                <w:b/>
                <w:bCs/>
                <w:sz w:val="18"/>
                <w:szCs w:val="18"/>
              </w:rPr>
            </w:pPr>
            <w:r w:rsidRPr="00BD77D8">
              <w:rPr>
                <w:b/>
                <w:bCs/>
                <w:sz w:val="18"/>
                <w:szCs w:val="18"/>
              </w:rPr>
              <w:t xml:space="preserve"> Actual</w:t>
            </w:r>
            <w:r w:rsidRPr="00BD77D8">
              <w:rPr>
                <w:b/>
                <w:bCs/>
                <w:sz w:val="18"/>
                <w:szCs w:val="18"/>
              </w:rPr>
              <w:br/>
              <w:t xml:space="preserve">2021 </w:t>
            </w:r>
          </w:p>
        </w:tc>
      </w:tr>
      <w:tr w:rsidR="00BD77D8" w:rsidRPr="00BD77D8" w14:paraId="700E8B93" w14:textId="77777777" w:rsidTr="003057FB">
        <w:trPr>
          <w:trHeight w:val="275"/>
        </w:trPr>
        <w:tc>
          <w:tcPr>
            <w:tcW w:w="0" w:type="auto"/>
            <w:tcBorders>
              <w:top w:val="nil"/>
              <w:left w:val="nil"/>
              <w:bottom w:val="nil"/>
              <w:right w:val="nil"/>
            </w:tcBorders>
            <w:shd w:val="clear" w:color="auto" w:fill="auto"/>
            <w:noWrap/>
            <w:vAlign w:val="bottom"/>
            <w:hideMark/>
          </w:tcPr>
          <w:p w14:paraId="3ABA922C" w14:textId="77777777" w:rsidR="00B9311E" w:rsidRPr="00BD77D8" w:rsidRDefault="00B9311E" w:rsidP="00B9311E">
            <w:pPr>
              <w:spacing w:after="0" w:line="240" w:lineRule="auto"/>
              <w:jc w:val="right"/>
              <w:rPr>
                <w:sz w:val="18"/>
                <w:szCs w:val="18"/>
              </w:rPr>
            </w:pPr>
          </w:p>
        </w:tc>
        <w:tc>
          <w:tcPr>
            <w:tcW w:w="1925" w:type="dxa"/>
            <w:tcBorders>
              <w:top w:val="nil"/>
              <w:left w:val="nil"/>
              <w:bottom w:val="nil"/>
              <w:right w:val="nil"/>
            </w:tcBorders>
            <w:shd w:val="clear" w:color="auto" w:fill="auto"/>
            <w:noWrap/>
            <w:vAlign w:val="bottom"/>
            <w:hideMark/>
          </w:tcPr>
          <w:p w14:paraId="2286753B" w14:textId="77777777" w:rsidR="00B9311E" w:rsidRPr="00BD77D8" w:rsidRDefault="00B9311E" w:rsidP="00B9311E">
            <w:pPr>
              <w:spacing w:after="0" w:line="240" w:lineRule="auto"/>
              <w:rPr>
                <w:rFonts w:ascii="Times New Roman" w:hAnsi="Times New Roman" w:cs="Times New Roman"/>
                <w:b/>
                <w:bCs/>
                <w:sz w:val="20"/>
                <w:szCs w:val="20"/>
              </w:rPr>
            </w:pPr>
          </w:p>
        </w:tc>
        <w:tc>
          <w:tcPr>
            <w:tcW w:w="1256" w:type="dxa"/>
            <w:tcBorders>
              <w:top w:val="nil"/>
              <w:left w:val="nil"/>
              <w:bottom w:val="single" w:sz="4" w:space="0" w:color="auto"/>
              <w:right w:val="nil"/>
            </w:tcBorders>
            <w:shd w:val="clear" w:color="auto" w:fill="auto"/>
            <w:vAlign w:val="bottom"/>
            <w:hideMark/>
          </w:tcPr>
          <w:p w14:paraId="1B4C2AB5"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282" w:type="dxa"/>
            <w:tcBorders>
              <w:top w:val="nil"/>
              <w:left w:val="nil"/>
              <w:bottom w:val="single" w:sz="4" w:space="0" w:color="auto"/>
              <w:right w:val="nil"/>
            </w:tcBorders>
            <w:shd w:val="clear" w:color="auto" w:fill="auto"/>
            <w:vAlign w:val="bottom"/>
            <w:hideMark/>
          </w:tcPr>
          <w:p w14:paraId="540F262A"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326" w:type="dxa"/>
            <w:tcBorders>
              <w:top w:val="nil"/>
              <w:left w:val="nil"/>
              <w:bottom w:val="single" w:sz="4" w:space="0" w:color="auto"/>
              <w:right w:val="nil"/>
            </w:tcBorders>
            <w:shd w:val="clear" w:color="auto" w:fill="auto"/>
            <w:vAlign w:val="bottom"/>
            <w:hideMark/>
          </w:tcPr>
          <w:p w14:paraId="6437ECE0"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0" w:type="auto"/>
            <w:tcBorders>
              <w:top w:val="nil"/>
              <w:left w:val="nil"/>
              <w:bottom w:val="single" w:sz="4" w:space="0" w:color="auto"/>
              <w:right w:val="nil"/>
            </w:tcBorders>
            <w:shd w:val="clear" w:color="auto" w:fill="auto"/>
            <w:vAlign w:val="bottom"/>
            <w:hideMark/>
          </w:tcPr>
          <w:p w14:paraId="5087427D"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5A5DAED9" w14:textId="77777777" w:rsidTr="003057FB">
        <w:trPr>
          <w:trHeight w:val="275"/>
        </w:trPr>
        <w:tc>
          <w:tcPr>
            <w:tcW w:w="0" w:type="auto"/>
            <w:tcBorders>
              <w:top w:val="single" w:sz="4" w:space="0" w:color="auto"/>
              <w:left w:val="nil"/>
              <w:bottom w:val="nil"/>
              <w:right w:val="nil"/>
            </w:tcBorders>
            <w:shd w:val="clear" w:color="auto" w:fill="auto"/>
            <w:noWrap/>
            <w:vAlign w:val="bottom"/>
            <w:hideMark/>
          </w:tcPr>
          <w:p w14:paraId="790D8241" w14:textId="77777777" w:rsidR="00B9311E" w:rsidRPr="00BD77D8" w:rsidRDefault="00B9311E" w:rsidP="00B9311E">
            <w:pPr>
              <w:spacing w:after="0" w:line="240" w:lineRule="auto"/>
              <w:rPr>
                <w:sz w:val="18"/>
                <w:szCs w:val="18"/>
              </w:rPr>
            </w:pPr>
            <w:r w:rsidRPr="00BD77D8">
              <w:rPr>
                <w:sz w:val="18"/>
                <w:szCs w:val="18"/>
              </w:rPr>
              <w:t> </w:t>
            </w:r>
          </w:p>
        </w:tc>
        <w:tc>
          <w:tcPr>
            <w:tcW w:w="1925" w:type="dxa"/>
            <w:tcBorders>
              <w:top w:val="single" w:sz="4" w:space="0" w:color="auto"/>
              <w:left w:val="nil"/>
              <w:bottom w:val="nil"/>
              <w:right w:val="nil"/>
            </w:tcBorders>
            <w:shd w:val="clear" w:color="auto" w:fill="auto"/>
            <w:noWrap/>
            <w:vAlign w:val="bottom"/>
            <w:hideMark/>
          </w:tcPr>
          <w:p w14:paraId="164B018F" w14:textId="77777777" w:rsidR="00B9311E" w:rsidRPr="00BD77D8" w:rsidRDefault="00B9311E" w:rsidP="00B9311E">
            <w:pPr>
              <w:spacing w:after="0" w:line="240" w:lineRule="auto"/>
              <w:jc w:val="center"/>
              <w:rPr>
                <w:sz w:val="18"/>
                <w:szCs w:val="18"/>
              </w:rPr>
            </w:pPr>
            <w:r w:rsidRPr="00BD77D8">
              <w:rPr>
                <w:sz w:val="18"/>
                <w:szCs w:val="18"/>
              </w:rPr>
              <w:t> </w:t>
            </w:r>
          </w:p>
        </w:tc>
        <w:tc>
          <w:tcPr>
            <w:tcW w:w="1256" w:type="dxa"/>
            <w:tcBorders>
              <w:top w:val="nil"/>
              <w:left w:val="nil"/>
              <w:bottom w:val="nil"/>
              <w:right w:val="nil"/>
            </w:tcBorders>
            <w:shd w:val="clear" w:color="auto" w:fill="auto"/>
            <w:noWrap/>
            <w:vAlign w:val="bottom"/>
            <w:hideMark/>
          </w:tcPr>
          <w:p w14:paraId="56878DDC" w14:textId="77777777" w:rsidR="00B9311E" w:rsidRPr="00BD77D8" w:rsidRDefault="00B9311E" w:rsidP="00B9311E">
            <w:pPr>
              <w:spacing w:after="0" w:line="240" w:lineRule="auto"/>
              <w:jc w:val="center"/>
              <w:rPr>
                <w:sz w:val="18"/>
                <w:szCs w:val="18"/>
              </w:rPr>
            </w:pPr>
          </w:p>
        </w:tc>
        <w:tc>
          <w:tcPr>
            <w:tcW w:w="1282" w:type="dxa"/>
            <w:tcBorders>
              <w:top w:val="nil"/>
              <w:left w:val="nil"/>
              <w:bottom w:val="nil"/>
              <w:right w:val="nil"/>
            </w:tcBorders>
            <w:shd w:val="clear" w:color="auto" w:fill="auto"/>
            <w:noWrap/>
            <w:vAlign w:val="bottom"/>
            <w:hideMark/>
          </w:tcPr>
          <w:p w14:paraId="295A12A1"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14:paraId="7F897EEE"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8D7657F" w14:textId="77777777" w:rsidR="00B9311E" w:rsidRPr="00BD77D8" w:rsidRDefault="00B9311E" w:rsidP="00B9311E">
            <w:pPr>
              <w:spacing w:after="0" w:line="240" w:lineRule="auto"/>
              <w:jc w:val="center"/>
              <w:rPr>
                <w:rFonts w:ascii="Times New Roman" w:hAnsi="Times New Roman" w:cs="Times New Roman"/>
                <w:sz w:val="20"/>
                <w:szCs w:val="20"/>
              </w:rPr>
            </w:pPr>
          </w:p>
        </w:tc>
      </w:tr>
      <w:tr w:rsidR="00BD77D8" w:rsidRPr="00BD77D8" w14:paraId="3DC5690D" w14:textId="77777777" w:rsidTr="003057FB">
        <w:trPr>
          <w:trHeight w:val="275"/>
        </w:trPr>
        <w:tc>
          <w:tcPr>
            <w:tcW w:w="0" w:type="auto"/>
            <w:tcBorders>
              <w:top w:val="nil"/>
              <w:left w:val="nil"/>
              <w:bottom w:val="nil"/>
              <w:right w:val="nil"/>
            </w:tcBorders>
            <w:shd w:val="clear" w:color="auto" w:fill="auto"/>
            <w:noWrap/>
            <w:vAlign w:val="bottom"/>
            <w:hideMark/>
          </w:tcPr>
          <w:p w14:paraId="5709A262" w14:textId="77777777" w:rsidR="00B9311E" w:rsidRPr="00BD77D8" w:rsidRDefault="00B9311E" w:rsidP="00B9311E">
            <w:pPr>
              <w:spacing w:after="0" w:line="240" w:lineRule="auto"/>
              <w:rPr>
                <w:b/>
                <w:bCs/>
                <w:sz w:val="18"/>
                <w:szCs w:val="18"/>
              </w:rPr>
            </w:pPr>
            <w:r w:rsidRPr="00BD77D8">
              <w:rPr>
                <w:b/>
                <w:bCs/>
                <w:sz w:val="18"/>
                <w:szCs w:val="18"/>
              </w:rPr>
              <w:t xml:space="preserve"> Administered income </w:t>
            </w:r>
          </w:p>
        </w:tc>
        <w:tc>
          <w:tcPr>
            <w:tcW w:w="1925" w:type="dxa"/>
            <w:tcBorders>
              <w:top w:val="nil"/>
              <w:left w:val="nil"/>
              <w:bottom w:val="nil"/>
              <w:right w:val="nil"/>
            </w:tcBorders>
            <w:shd w:val="clear" w:color="auto" w:fill="auto"/>
            <w:noWrap/>
            <w:vAlign w:val="bottom"/>
            <w:hideMark/>
          </w:tcPr>
          <w:p w14:paraId="27A7647E" w14:textId="77777777" w:rsidR="00B9311E" w:rsidRPr="00BD77D8" w:rsidRDefault="00B9311E" w:rsidP="00B9311E">
            <w:pPr>
              <w:spacing w:after="0" w:line="240" w:lineRule="auto"/>
              <w:rPr>
                <w:b/>
                <w:bCs/>
                <w:sz w:val="18"/>
                <w:szCs w:val="18"/>
              </w:rPr>
            </w:pPr>
          </w:p>
        </w:tc>
        <w:tc>
          <w:tcPr>
            <w:tcW w:w="1256" w:type="dxa"/>
            <w:tcBorders>
              <w:top w:val="nil"/>
              <w:left w:val="nil"/>
              <w:bottom w:val="nil"/>
              <w:right w:val="nil"/>
            </w:tcBorders>
            <w:shd w:val="clear" w:color="auto" w:fill="auto"/>
            <w:noWrap/>
            <w:vAlign w:val="bottom"/>
            <w:hideMark/>
          </w:tcPr>
          <w:p w14:paraId="5BC6F5E9"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82" w:type="dxa"/>
            <w:tcBorders>
              <w:top w:val="nil"/>
              <w:left w:val="nil"/>
              <w:bottom w:val="nil"/>
              <w:right w:val="nil"/>
            </w:tcBorders>
            <w:shd w:val="clear" w:color="auto" w:fill="auto"/>
            <w:noWrap/>
            <w:vAlign w:val="bottom"/>
            <w:hideMark/>
          </w:tcPr>
          <w:p w14:paraId="7AD4D810" w14:textId="77777777" w:rsidR="00B9311E" w:rsidRPr="00BD77D8" w:rsidRDefault="00B9311E" w:rsidP="00B9311E">
            <w:pPr>
              <w:spacing w:after="0" w:line="240" w:lineRule="auto"/>
              <w:rPr>
                <w:rFonts w:ascii="Times New Roman" w:hAnsi="Times New Roman" w:cs="Times New Roman"/>
                <w:b/>
                <w:bCs/>
                <w:sz w:val="20"/>
                <w:szCs w:val="20"/>
              </w:rPr>
            </w:pPr>
          </w:p>
        </w:tc>
        <w:tc>
          <w:tcPr>
            <w:tcW w:w="1326" w:type="dxa"/>
            <w:tcBorders>
              <w:top w:val="nil"/>
              <w:left w:val="nil"/>
              <w:bottom w:val="nil"/>
              <w:right w:val="nil"/>
            </w:tcBorders>
            <w:shd w:val="clear" w:color="auto" w:fill="auto"/>
            <w:noWrap/>
            <w:vAlign w:val="bottom"/>
            <w:hideMark/>
          </w:tcPr>
          <w:p w14:paraId="5271D7A5"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0" w:type="auto"/>
            <w:tcBorders>
              <w:top w:val="nil"/>
              <w:left w:val="nil"/>
              <w:bottom w:val="nil"/>
              <w:right w:val="nil"/>
            </w:tcBorders>
            <w:shd w:val="clear" w:color="auto" w:fill="auto"/>
            <w:noWrap/>
            <w:vAlign w:val="bottom"/>
            <w:hideMark/>
          </w:tcPr>
          <w:p w14:paraId="746ABC44" w14:textId="77777777" w:rsidR="00B9311E" w:rsidRPr="00BD77D8" w:rsidRDefault="00B9311E" w:rsidP="00B9311E">
            <w:pPr>
              <w:spacing w:after="0" w:line="240" w:lineRule="auto"/>
              <w:jc w:val="center"/>
              <w:rPr>
                <w:rFonts w:ascii="Times New Roman" w:hAnsi="Times New Roman" w:cs="Times New Roman"/>
                <w:b/>
                <w:bCs/>
                <w:sz w:val="20"/>
                <w:szCs w:val="20"/>
              </w:rPr>
            </w:pPr>
          </w:p>
        </w:tc>
      </w:tr>
      <w:tr w:rsidR="00BD77D8" w:rsidRPr="00BD77D8" w14:paraId="3BA16412" w14:textId="77777777" w:rsidTr="003057FB">
        <w:trPr>
          <w:trHeight w:val="275"/>
        </w:trPr>
        <w:tc>
          <w:tcPr>
            <w:tcW w:w="0" w:type="auto"/>
            <w:tcBorders>
              <w:top w:val="nil"/>
              <w:left w:val="nil"/>
              <w:bottom w:val="nil"/>
              <w:right w:val="nil"/>
            </w:tcBorders>
            <w:shd w:val="clear" w:color="000000" w:fill="FFFFFF"/>
            <w:noWrap/>
            <w:vAlign w:val="bottom"/>
            <w:hideMark/>
          </w:tcPr>
          <w:p w14:paraId="595BE460"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Appropriation revenue * </w:t>
            </w:r>
          </w:p>
        </w:tc>
        <w:tc>
          <w:tcPr>
            <w:tcW w:w="1925" w:type="dxa"/>
            <w:tcBorders>
              <w:top w:val="nil"/>
              <w:left w:val="nil"/>
              <w:bottom w:val="nil"/>
              <w:right w:val="nil"/>
            </w:tcBorders>
            <w:shd w:val="clear" w:color="auto" w:fill="auto"/>
            <w:noWrap/>
            <w:vAlign w:val="bottom"/>
            <w:hideMark/>
          </w:tcPr>
          <w:p w14:paraId="355509BF" w14:textId="77777777" w:rsidR="00B9311E" w:rsidRPr="00BD77D8" w:rsidRDefault="0028582B" w:rsidP="00B9311E">
            <w:pPr>
              <w:spacing w:after="0" w:line="240" w:lineRule="auto"/>
              <w:jc w:val="center"/>
              <w:rPr>
                <w:rFonts w:eastAsia="PMingLiU"/>
                <w:b/>
                <w:bCs/>
                <w:sz w:val="18"/>
                <w:szCs w:val="22"/>
                <w:lang w:eastAsia="en-US"/>
              </w:rPr>
            </w:pPr>
            <w:hyperlink r:id="rId23" w:anchor="'Note G1-1'!A5" w:history="1">
              <w:r w:rsidR="00B9311E" w:rsidRPr="00BD77D8">
                <w:rPr>
                  <w:rFonts w:eastAsia="PMingLiU"/>
                  <w:b/>
                  <w:bCs/>
                  <w:sz w:val="18"/>
                  <w:szCs w:val="22"/>
                  <w:lang w:eastAsia="en-US"/>
                </w:rPr>
                <w:t>G1-3</w:t>
              </w:r>
            </w:hyperlink>
          </w:p>
        </w:tc>
        <w:tc>
          <w:tcPr>
            <w:tcW w:w="1256" w:type="dxa"/>
            <w:tcBorders>
              <w:top w:val="nil"/>
              <w:left w:val="nil"/>
              <w:bottom w:val="nil"/>
              <w:right w:val="nil"/>
            </w:tcBorders>
            <w:shd w:val="clear" w:color="auto" w:fill="auto"/>
            <w:vAlign w:val="bottom"/>
            <w:hideMark/>
          </w:tcPr>
          <w:p w14:paraId="1A63BA2F" w14:textId="77777777" w:rsidR="00B9311E" w:rsidRPr="00BD77D8" w:rsidRDefault="00B9311E" w:rsidP="00B9311E">
            <w:pPr>
              <w:spacing w:after="0" w:line="240" w:lineRule="auto"/>
              <w:jc w:val="right"/>
              <w:rPr>
                <w:b/>
                <w:bCs/>
                <w:sz w:val="18"/>
                <w:szCs w:val="18"/>
              </w:rPr>
            </w:pPr>
            <w:r w:rsidRPr="00BD77D8">
              <w:rPr>
                <w:b/>
                <w:bCs/>
                <w:sz w:val="18"/>
                <w:szCs w:val="18"/>
              </w:rPr>
              <w:t xml:space="preserve">  2,403,611 </w:t>
            </w:r>
          </w:p>
        </w:tc>
        <w:tc>
          <w:tcPr>
            <w:tcW w:w="1282" w:type="dxa"/>
            <w:tcBorders>
              <w:top w:val="nil"/>
              <w:left w:val="nil"/>
              <w:bottom w:val="nil"/>
              <w:right w:val="nil"/>
            </w:tcBorders>
            <w:shd w:val="clear" w:color="FFFFFF" w:fill="FFFFFF"/>
            <w:vAlign w:val="bottom"/>
            <w:hideMark/>
          </w:tcPr>
          <w:p w14:paraId="7EEA4FB9" w14:textId="77777777" w:rsidR="00B9311E" w:rsidRPr="00BD77D8" w:rsidRDefault="00B9311E" w:rsidP="00B9311E">
            <w:pPr>
              <w:spacing w:after="0" w:line="240" w:lineRule="auto"/>
              <w:jc w:val="right"/>
              <w:rPr>
                <w:sz w:val="18"/>
                <w:szCs w:val="18"/>
              </w:rPr>
            </w:pPr>
            <w:r w:rsidRPr="00BD77D8">
              <w:rPr>
                <w:sz w:val="18"/>
                <w:szCs w:val="18"/>
              </w:rPr>
              <w:t xml:space="preserve">  2,434,745 </w:t>
            </w:r>
          </w:p>
        </w:tc>
        <w:tc>
          <w:tcPr>
            <w:tcW w:w="1326" w:type="dxa"/>
            <w:tcBorders>
              <w:top w:val="nil"/>
              <w:left w:val="nil"/>
              <w:bottom w:val="nil"/>
              <w:right w:val="nil"/>
            </w:tcBorders>
            <w:shd w:val="clear" w:color="auto" w:fill="auto"/>
            <w:vAlign w:val="bottom"/>
            <w:hideMark/>
          </w:tcPr>
          <w:p w14:paraId="7E016450" w14:textId="77777777" w:rsidR="00B9311E" w:rsidRPr="00BD77D8" w:rsidRDefault="00B9311E" w:rsidP="00B9311E">
            <w:pPr>
              <w:spacing w:after="0" w:line="240" w:lineRule="auto"/>
              <w:jc w:val="right"/>
              <w:rPr>
                <w:sz w:val="18"/>
                <w:szCs w:val="18"/>
              </w:rPr>
            </w:pPr>
            <w:r w:rsidRPr="00BD77D8">
              <w:rPr>
                <w:sz w:val="18"/>
                <w:szCs w:val="18"/>
              </w:rPr>
              <w:t xml:space="preserve">       (31,134)</w:t>
            </w:r>
          </w:p>
        </w:tc>
        <w:tc>
          <w:tcPr>
            <w:tcW w:w="0" w:type="auto"/>
            <w:tcBorders>
              <w:top w:val="nil"/>
              <w:left w:val="nil"/>
              <w:bottom w:val="nil"/>
              <w:right w:val="nil"/>
            </w:tcBorders>
            <w:shd w:val="clear" w:color="auto" w:fill="auto"/>
            <w:vAlign w:val="bottom"/>
            <w:hideMark/>
          </w:tcPr>
          <w:p w14:paraId="167257DD" w14:textId="77777777" w:rsidR="00B9311E" w:rsidRPr="00BD77D8" w:rsidRDefault="00B9311E" w:rsidP="00B9311E">
            <w:pPr>
              <w:spacing w:after="0" w:line="240" w:lineRule="auto"/>
              <w:jc w:val="right"/>
              <w:rPr>
                <w:sz w:val="18"/>
                <w:szCs w:val="18"/>
              </w:rPr>
            </w:pPr>
            <w:r w:rsidRPr="00BD77D8">
              <w:rPr>
                <w:sz w:val="18"/>
                <w:szCs w:val="18"/>
              </w:rPr>
              <w:t xml:space="preserve">  2,393,476 </w:t>
            </w:r>
          </w:p>
        </w:tc>
      </w:tr>
      <w:tr w:rsidR="00BD77D8" w:rsidRPr="00BD77D8" w14:paraId="28240254" w14:textId="77777777" w:rsidTr="003057FB">
        <w:trPr>
          <w:trHeight w:val="275"/>
        </w:trPr>
        <w:tc>
          <w:tcPr>
            <w:tcW w:w="0" w:type="auto"/>
            <w:tcBorders>
              <w:top w:val="nil"/>
              <w:left w:val="nil"/>
              <w:bottom w:val="nil"/>
              <w:right w:val="nil"/>
            </w:tcBorders>
            <w:shd w:val="clear" w:color="auto" w:fill="auto"/>
            <w:noWrap/>
            <w:vAlign w:val="bottom"/>
            <w:hideMark/>
          </w:tcPr>
          <w:p w14:paraId="3988D584"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Grants and other contributions </w:t>
            </w:r>
          </w:p>
        </w:tc>
        <w:bookmarkStart w:id="312" w:name="RANGE!B9"/>
        <w:tc>
          <w:tcPr>
            <w:tcW w:w="1925" w:type="dxa"/>
            <w:tcBorders>
              <w:top w:val="nil"/>
              <w:left w:val="nil"/>
              <w:bottom w:val="nil"/>
              <w:right w:val="nil"/>
            </w:tcBorders>
            <w:shd w:val="clear" w:color="auto" w:fill="auto"/>
            <w:noWrap/>
            <w:vAlign w:val="bottom"/>
            <w:hideMark/>
          </w:tcPr>
          <w:p w14:paraId="5173EDA9" w14:textId="77777777" w:rsidR="00B9311E" w:rsidRPr="00BD77D8" w:rsidRDefault="00B9311E" w:rsidP="00B9311E">
            <w:pPr>
              <w:spacing w:after="0" w:line="240" w:lineRule="auto"/>
              <w:jc w:val="center"/>
              <w:rPr>
                <w:rFonts w:eastAsia="PMingLiU"/>
                <w:b/>
                <w:bCs/>
                <w:sz w:val="18"/>
                <w:szCs w:val="22"/>
                <w:lang w:eastAsia="en-US"/>
              </w:rPr>
            </w:pPr>
            <w:r w:rsidRPr="00BD77D8">
              <w:rPr>
                <w:rFonts w:eastAsia="PMingLiU"/>
                <w:b/>
                <w:bCs/>
                <w:sz w:val="18"/>
                <w:szCs w:val="22"/>
                <w:lang w:eastAsia="en-US"/>
              </w:rPr>
              <w:fldChar w:fldCharType="begin"/>
            </w:r>
            <w:r w:rsidRPr="00BD77D8">
              <w:rPr>
                <w:rFonts w:eastAsia="PMingLiU"/>
                <w:b/>
                <w:bCs/>
                <w:sz w:val="18"/>
                <w:szCs w:val="22"/>
                <w:lang w:eastAsia="en-US"/>
              </w:rPr>
              <w:instrText xml:space="preserve"> HYPERLINK "file:///C:\\Users\\lzwelsh\\AppData\\Local\\Microsoft\\Windows\\INetCache\\Content.MSO\\EE9A0631.xlsx" \l "'Note G1-2'!A5" </w:instrText>
            </w:r>
            <w:r w:rsidRPr="00BD77D8">
              <w:rPr>
                <w:rFonts w:eastAsia="PMingLiU"/>
                <w:b/>
                <w:bCs/>
                <w:sz w:val="18"/>
                <w:szCs w:val="22"/>
                <w:lang w:eastAsia="en-US"/>
              </w:rPr>
              <w:fldChar w:fldCharType="separate"/>
            </w:r>
            <w:r w:rsidRPr="00BD77D8">
              <w:rPr>
                <w:rFonts w:eastAsia="PMingLiU"/>
                <w:b/>
                <w:bCs/>
                <w:sz w:val="18"/>
                <w:szCs w:val="22"/>
                <w:lang w:eastAsia="en-US"/>
              </w:rPr>
              <w:t>G1-4</w:t>
            </w:r>
            <w:r w:rsidRPr="00BD77D8">
              <w:rPr>
                <w:rFonts w:eastAsia="PMingLiU"/>
                <w:b/>
                <w:bCs/>
                <w:sz w:val="18"/>
                <w:szCs w:val="22"/>
                <w:lang w:eastAsia="en-US"/>
              </w:rPr>
              <w:fldChar w:fldCharType="end"/>
            </w:r>
            <w:bookmarkEnd w:id="312"/>
          </w:p>
        </w:tc>
        <w:tc>
          <w:tcPr>
            <w:tcW w:w="1256" w:type="dxa"/>
            <w:tcBorders>
              <w:top w:val="nil"/>
              <w:left w:val="nil"/>
              <w:bottom w:val="nil"/>
              <w:right w:val="nil"/>
            </w:tcBorders>
            <w:shd w:val="clear" w:color="auto" w:fill="auto"/>
            <w:vAlign w:val="bottom"/>
            <w:hideMark/>
          </w:tcPr>
          <w:p w14:paraId="67715BE3" w14:textId="77777777" w:rsidR="00B9311E" w:rsidRPr="00BD77D8" w:rsidRDefault="00B9311E" w:rsidP="00B9311E">
            <w:pPr>
              <w:spacing w:after="0" w:line="240" w:lineRule="auto"/>
              <w:jc w:val="right"/>
              <w:rPr>
                <w:b/>
                <w:bCs/>
                <w:sz w:val="18"/>
                <w:szCs w:val="18"/>
              </w:rPr>
            </w:pPr>
            <w:r w:rsidRPr="00BD77D8">
              <w:rPr>
                <w:b/>
                <w:bCs/>
                <w:sz w:val="18"/>
                <w:szCs w:val="18"/>
              </w:rPr>
              <w:t xml:space="preserve">          1,800 </w:t>
            </w:r>
          </w:p>
        </w:tc>
        <w:tc>
          <w:tcPr>
            <w:tcW w:w="1282" w:type="dxa"/>
            <w:tcBorders>
              <w:top w:val="nil"/>
              <w:left w:val="nil"/>
              <w:bottom w:val="nil"/>
              <w:right w:val="nil"/>
            </w:tcBorders>
            <w:shd w:val="clear" w:color="FFFFFF" w:fill="FFFFFF"/>
            <w:vAlign w:val="bottom"/>
            <w:hideMark/>
          </w:tcPr>
          <w:p w14:paraId="02DEF819"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326" w:type="dxa"/>
            <w:tcBorders>
              <w:top w:val="nil"/>
              <w:left w:val="nil"/>
              <w:bottom w:val="nil"/>
              <w:right w:val="nil"/>
            </w:tcBorders>
            <w:shd w:val="clear" w:color="auto" w:fill="auto"/>
            <w:vAlign w:val="bottom"/>
            <w:hideMark/>
          </w:tcPr>
          <w:p w14:paraId="3EE08863" w14:textId="77777777" w:rsidR="00B9311E" w:rsidRPr="00BD77D8" w:rsidRDefault="00B9311E" w:rsidP="00B9311E">
            <w:pPr>
              <w:spacing w:after="0" w:line="240" w:lineRule="auto"/>
              <w:jc w:val="right"/>
              <w:rPr>
                <w:sz w:val="18"/>
                <w:szCs w:val="18"/>
              </w:rPr>
            </w:pPr>
            <w:r w:rsidRPr="00BD77D8">
              <w:rPr>
                <w:sz w:val="18"/>
                <w:szCs w:val="18"/>
              </w:rPr>
              <w:t xml:space="preserve">           1,800 </w:t>
            </w:r>
          </w:p>
        </w:tc>
        <w:tc>
          <w:tcPr>
            <w:tcW w:w="0" w:type="auto"/>
            <w:tcBorders>
              <w:top w:val="nil"/>
              <w:left w:val="nil"/>
              <w:bottom w:val="nil"/>
              <w:right w:val="nil"/>
            </w:tcBorders>
            <w:shd w:val="clear" w:color="auto" w:fill="auto"/>
            <w:vAlign w:val="bottom"/>
            <w:hideMark/>
          </w:tcPr>
          <w:p w14:paraId="46DD0560" w14:textId="77777777" w:rsidR="00B9311E" w:rsidRPr="00BD77D8" w:rsidRDefault="00B9311E" w:rsidP="00B9311E">
            <w:pPr>
              <w:spacing w:after="0" w:line="240" w:lineRule="auto"/>
              <w:jc w:val="right"/>
              <w:rPr>
                <w:sz w:val="18"/>
                <w:szCs w:val="18"/>
              </w:rPr>
            </w:pPr>
            <w:r w:rsidRPr="00BD77D8">
              <w:rPr>
                <w:sz w:val="18"/>
                <w:szCs w:val="18"/>
              </w:rPr>
              <w:t xml:space="preserve">          2,853 </w:t>
            </w:r>
          </w:p>
        </w:tc>
      </w:tr>
      <w:tr w:rsidR="00BD77D8" w:rsidRPr="00BD77D8" w14:paraId="5E521A1B" w14:textId="77777777" w:rsidTr="003057FB">
        <w:trPr>
          <w:trHeight w:val="275"/>
        </w:trPr>
        <w:tc>
          <w:tcPr>
            <w:tcW w:w="0" w:type="auto"/>
            <w:tcBorders>
              <w:top w:val="nil"/>
              <w:left w:val="nil"/>
              <w:bottom w:val="nil"/>
              <w:right w:val="nil"/>
            </w:tcBorders>
            <w:shd w:val="clear" w:color="auto" w:fill="auto"/>
            <w:noWrap/>
            <w:vAlign w:val="bottom"/>
            <w:hideMark/>
          </w:tcPr>
          <w:p w14:paraId="087A0AD0"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Other revenue </w:t>
            </w:r>
          </w:p>
        </w:tc>
        <w:tc>
          <w:tcPr>
            <w:tcW w:w="1925" w:type="dxa"/>
            <w:tcBorders>
              <w:top w:val="nil"/>
              <w:left w:val="nil"/>
              <w:bottom w:val="nil"/>
              <w:right w:val="nil"/>
            </w:tcBorders>
            <w:shd w:val="clear" w:color="auto" w:fill="auto"/>
            <w:noWrap/>
            <w:vAlign w:val="bottom"/>
            <w:hideMark/>
          </w:tcPr>
          <w:p w14:paraId="4CFD8D2D" w14:textId="77777777" w:rsidR="00B9311E" w:rsidRPr="00BD77D8" w:rsidRDefault="00B9311E" w:rsidP="00B9311E">
            <w:pPr>
              <w:spacing w:after="0" w:line="240" w:lineRule="auto"/>
              <w:ind w:firstLineChars="100" w:firstLine="180"/>
              <w:rPr>
                <w:sz w:val="18"/>
                <w:szCs w:val="18"/>
              </w:rPr>
            </w:pPr>
          </w:p>
        </w:tc>
        <w:tc>
          <w:tcPr>
            <w:tcW w:w="1256" w:type="dxa"/>
            <w:tcBorders>
              <w:top w:val="nil"/>
              <w:left w:val="nil"/>
              <w:bottom w:val="nil"/>
              <w:right w:val="nil"/>
            </w:tcBorders>
            <w:shd w:val="clear" w:color="auto" w:fill="auto"/>
            <w:vAlign w:val="bottom"/>
            <w:hideMark/>
          </w:tcPr>
          <w:p w14:paraId="361DD95B" w14:textId="77777777" w:rsidR="00B9311E" w:rsidRPr="00BD77D8" w:rsidRDefault="00B9311E" w:rsidP="00B9311E">
            <w:pPr>
              <w:spacing w:after="0" w:line="240" w:lineRule="auto"/>
              <w:jc w:val="right"/>
              <w:rPr>
                <w:b/>
                <w:bCs/>
                <w:sz w:val="18"/>
                <w:szCs w:val="18"/>
              </w:rPr>
            </w:pPr>
            <w:r w:rsidRPr="00BD77D8">
              <w:rPr>
                <w:b/>
                <w:bCs/>
                <w:sz w:val="18"/>
                <w:szCs w:val="18"/>
              </w:rPr>
              <w:t xml:space="preserve">                23 </w:t>
            </w:r>
          </w:p>
        </w:tc>
        <w:tc>
          <w:tcPr>
            <w:tcW w:w="1282" w:type="dxa"/>
            <w:tcBorders>
              <w:top w:val="nil"/>
              <w:left w:val="nil"/>
              <w:bottom w:val="nil"/>
              <w:right w:val="nil"/>
            </w:tcBorders>
            <w:shd w:val="clear" w:color="FFFFFF" w:fill="FFFFFF"/>
            <w:vAlign w:val="bottom"/>
            <w:hideMark/>
          </w:tcPr>
          <w:p w14:paraId="32284204"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326" w:type="dxa"/>
            <w:tcBorders>
              <w:top w:val="nil"/>
              <w:left w:val="nil"/>
              <w:bottom w:val="nil"/>
              <w:right w:val="nil"/>
            </w:tcBorders>
            <w:shd w:val="clear" w:color="auto" w:fill="auto"/>
            <w:vAlign w:val="bottom"/>
            <w:hideMark/>
          </w:tcPr>
          <w:p w14:paraId="4D7951A5" w14:textId="77777777" w:rsidR="00B9311E" w:rsidRPr="00BD77D8" w:rsidRDefault="00B9311E" w:rsidP="00B9311E">
            <w:pPr>
              <w:spacing w:after="0" w:line="240" w:lineRule="auto"/>
              <w:jc w:val="right"/>
              <w:rPr>
                <w:sz w:val="18"/>
                <w:szCs w:val="18"/>
              </w:rPr>
            </w:pPr>
            <w:r w:rsidRPr="00BD77D8">
              <w:rPr>
                <w:sz w:val="18"/>
                <w:szCs w:val="18"/>
              </w:rPr>
              <w:t xml:space="preserve">                 23 </w:t>
            </w:r>
          </w:p>
        </w:tc>
        <w:tc>
          <w:tcPr>
            <w:tcW w:w="0" w:type="auto"/>
            <w:tcBorders>
              <w:top w:val="nil"/>
              <w:left w:val="nil"/>
              <w:bottom w:val="nil"/>
              <w:right w:val="nil"/>
            </w:tcBorders>
            <w:shd w:val="clear" w:color="auto" w:fill="auto"/>
            <w:vAlign w:val="bottom"/>
            <w:hideMark/>
          </w:tcPr>
          <w:p w14:paraId="423DF7A4" w14:textId="77777777" w:rsidR="00B9311E" w:rsidRPr="00BD77D8" w:rsidRDefault="00B9311E" w:rsidP="00B9311E">
            <w:pPr>
              <w:spacing w:after="0" w:line="240" w:lineRule="auto"/>
              <w:jc w:val="right"/>
              <w:rPr>
                <w:sz w:val="18"/>
                <w:szCs w:val="18"/>
              </w:rPr>
            </w:pPr>
            <w:r w:rsidRPr="00BD77D8">
              <w:rPr>
                <w:sz w:val="18"/>
                <w:szCs w:val="18"/>
              </w:rPr>
              <w:t xml:space="preserve">- </w:t>
            </w:r>
          </w:p>
        </w:tc>
      </w:tr>
      <w:tr w:rsidR="00BD77D8" w:rsidRPr="00BD77D8" w14:paraId="48F47EDF" w14:textId="77777777" w:rsidTr="003057FB">
        <w:trPr>
          <w:trHeight w:val="275"/>
        </w:trPr>
        <w:tc>
          <w:tcPr>
            <w:tcW w:w="0" w:type="auto"/>
            <w:tcBorders>
              <w:top w:val="nil"/>
              <w:left w:val="nil"/>
              <w:bottom w:val="nil"/>
              <w:right w:val="nil"/>
            </w:tcBorders>
            <w:shd w:val="clear" w:color="auto" w:fill="auto"/>
            <w:noWrap/>
            <w:vAlign w:val="bottom"/>
            <w:hideMark/>
          </w:tcPr>
          <w:p w14:paraId="0EC05B3F" w14:textId="77777777" w:rsidR="00B9311E" w:rsidRPr="00BD77D8" w:rsidRDefault="00B9311E" w:rsidP="00B9311E">
            <w:pPr>
              <w:spacing w:after="0" w:line="240" w:lineRule="auto"/>
              <w:rPr>
                <w:b/>
                <w:bCs/>
                <w:sz w:val="18"/>
                <w:szCs w:val="18"/>
              </w:rPr>
            </w:pPr>
            <w:r w:rsidRPr="00BD77D8">
              <w:rPr>
                <w:b/>
                <w:bCs/>
                <w:sz w:val="18"/>
                <w:szCs w:val="18"/>
              </w:rPr>
              <w:t xml:space="preserve"> Total administered income </w:t>
            </w:r>
          </w:p>
        </w:tc>
        <w:tc>
          <w:tcPr>
            <w:tcW w:w="1925" w:type="dxa"/>
            <w:tcBorders>
              <w:top w:val="nil"/>
              <w:left w:val="nil"/>
              <w:bottom w:val="nil"/>
              <w:right w:val="nil"/>
            </w:tcBorders>
            <w:shd w:val="clear" w:color="auto" w:fill="auto"/>
            <w:noWrap/>
            <w:vAlign w:val="bottom"/>
            <w:hideMark/>
          </w:tcPr>
          <w:p w14:paraId="047946C6" w14:textId="77777777" w:rsidR="00B9311E" w:rsidRPr="00BD77D8" w:rsidRDefault="00B9311E" w:rsidP="00B9311E">
            <w:pPr>
              <w:spacing w:after="0" w:line="240" w:lineRule="auto"/>
              <w:rPr>
                <w:b/>
                <w:bCs/>
                <w:sz w:val="18"/>
                <w:szCs w:val="18"/>
              </w:rPr>
            </w:pPr>
          </w:p>
        </w:tc>
        <w:tc>
          <w:tcPr>
            <w:tcW w:w="1256" w:type="dxa"/>
            <w:tcBorders>
              <w:top w:val="single" w:sz="4" w:space="0" w:color="auto"/>
              <w:left w:val="nil"/>
              <w:bottom w:val="single" w:sz="4" w:space="0" w:color="auto"/>
              <w:right w:val="nil"/>
            </w:tcBorders>
            <w:shd w:val="clear" w:color="auto" w:fill="auto"/>
            <w:vAlign w:val="bottom"/>
            <w:hideMark/>
          </w:tcPr>
          <w:p w14:paraId="3B9CC6F6" w14:textId="77777777" w:rsidR="00B9311E" w:rsidRPr="00BD77D8" w:rsidRDefault="00B9311E" w:rsidP="00B9311E">
            <w:pPr>
              <w:spacing w:after="0" w:line="240" w:lineRule="auto"/>
              <w:jc w:val="right"/>
              <w:rPr>
                <w:b/>
                <w:bCs/>
                <w:sz w:val="18"/>
                <w:szCs w:val="18"/>
              </w:rPr>
            </w:pPr>
            <w:r w:rsidRPr="00BD77D8">
              <w:rPr>
                <w:b/>
                <w:bCs/>
                <w:sz w:val="18"/>
                <w:szCs w:val="18"/>
              </w:rPr>
              <w:t xml:space="preserve">  2,405,434 </w:t>
            </w:r>
          </w:p>
        </w:tc>
        <w:tc>
          <w:tcPr>
            <w:tcW w:w="1282" w:type="dxa"/>
            <w:tcBorders>
              <w:top w:val="single" w:sz="4" w:space="0" w:color="auto"/>
              <w:left w:val="nil"/>
              <w:bottom w:val="single" w:sz="4" w:space="0" w:color="auto"/>
              <w:right w:val="nil"/>
            </w:tcBorders>
            <w:shd w:val="clear" w:color="auto" w:fill="auto"/>
            <w:vAlign w:val="bottom"/>
            <w:hideMark/>
          </w:tcPr>
          <w:p w14:paraId="0889AB94" w14:textId="77777777" w:rsidR="00B9311E" w:rsidRPr="00BD77D8" w:rsidRDefault="00B9311E" w:rsidP="00B9311E">
            <w:pPr>
              <w:spacing w:after="0" w:line="240" w:lineRule="auto"/>
              <w:jc w:val="right"/>
              <w:rPr>
                <w:b/>
                <w:bCs/>
                <w:sz w:val="18"/>
                <w:szCs w:val="18"/>
              </w:rPr>
            </w:pPr>
            <w:r w:rsidRPr="00BD77D8">
              <w:rPr>
                <w:b/>
                <w:bCs/>
                <w:sz w:val="18"/>
                <w:szCs w:val="18"/>
              </w:rPr>
              <w:t xml:space="preserve">  2,434,745 </w:t>
            </w:r>
          </w:p>
        </w:tc>
        <w:tc>
          <w:tcPr>
            <w:tcW w:w="1326" w:type="dxa"/>
            <w:tcBorders>
              <w:top w:val="single" w:sz="4" w:space="0" w:color="auto"/>
              <w:left w:val="nil"/>
              <w:bottom w:val="single" w:sz="4" w:space="0" w:color="auto"/>
              <w:right w:val="nil"/>
            </w:tcBorders>
            <w:shd w:val="clear" w:color="auto" w:fill="auto"/>
            <w:vAlign w:val="bottom"/>
            <w:hideMark/>
          </w:tcPr>
          <w:p w14:paraId="248808EF" w14:textId="77777777" w:rsidR="00B9311E" w:rsidRPr="00BD77D8" w:rsidRDefault="00B9311E" w:rsidP="00B9311E">
            <w:pPr>
              <w:spacing w:after="0" w:line="240" w:lineRule="auto"/>
              <w:jc w:val="right"/>
              <w:rPr>
                <w:b/>
                <w:bCs/>
                <w:sz w:val="18"/>
                <w:szCs w:val="18"/>
              </w:rPr>
            </w:pPr>
            <w:r w:rsidRPr="00BD77D8">
              <w:rPr>
                <w:b/>
                <w:bCs/>
                <w:sz w:val="18"/>
                <w:szCs w:val="18"/>
              </w:rPr>
              <w:t xml:space="preserve">       (29,311)</w:t>
            </w:r>
          </w:p>
        </w:tc>
        <w:tc>
          <w:tcPr>
            <w:tcW w:w="0" w:type="auto"/>
            <w:tcBorders>
              <w:top w:val="single" w:sz="4" w:space="0" w:color="auto"/>
              <w:left w:val="nil"/>
              <w:bottom w:val="single" w:sz="4" w:space="0" w:color="auto"/>
              <w:right w:val="nil"/>
            </w:tcBorders>
            <w:shd w:val="clear" w:color="auto" w:fill="auto"/>
            <w:vAlign w:val="bottom"/>
            <w:hideMark/>
          </w:tcPr>
          <w:p w14:paraId="11CB8D32" w14:textId="77777777" w:rsidR="00B9311E" w:rsidRPr="00BD77D8" w:rsidRDefault="00B9311E" w:rsidP="00B9311E">
            <w:pPr>
              <w:spacing w:after="0" w:line="240" w:lineRule="auto"/>
              <w:jc w:val="right"/>
              <w:rPr>
                <w:b/>
                <w:bCs/>
                <w:sz w:val="18"/>
                <w:szCs w:val="18"/>
              </w:rPr>
            </w:pPr>
            <w:r w:rsidRPr="00BD77D8">
              <w:rPr>
                <w:b/>
                <w:bCs/>
                <w:sz w:val="18"/>
                <w:szCs w:val="18"/>
              </w:rPr>
              <w:t xml:space="preserve">  2,396,329 </w:t>
            </w:r>
          </w:p>
        </w:tc>
      </w:tr>
      <w:tr w:rsidR="00BD77D8" w:rsidRPr="00BD77D8" w14:paraId="036DEA1A" w14:textId="77777777" w:rsidTr="003057FB">
        <w:trPr>
          <w:trHeight w:val="275"/>
        </w:trPr>
        <w:tc>
          <w:tcPr>
            <w:tcW w:w="0" w:type="auto"/>
            <w:tcBorders>
              <w:top w:val="nil"/>
              <w:left w:val="nil"/>
              <w:bottom w:val="nil"/>
              <w:right w:val="nil"/>
            </w:tcBorders>
            <w:shd w:val="clear" w:color="auto" w:fill="auto"/>
            <w:noWrap/>
            <w:vAlign w:val="bottom"/>
            <w:hideMark/>
          </w:tcPr>
          <w:p w14:paraId="66B40454" w14:textId="77777777" w:rsidR="00B9311E" w:rsidRPr="00BD77D8" w:rsidRDefault="00B9311E" w:rsidP="00B9311E">
            <w:pPr>
              <w:spacing w:after="0" w:line="240" w:lineRule="auto"/>
              <w:jc w:val="right"/>
              <w:rPr>
                <w:sz w:val="18"/>
                <w:szCs w:val="18"/>
              </w:rPr>
            </w:pPr>
          </w:p>
        </w:tc>
        <w:tc>
          <w:tcPr>
            <w:tcW w:w="1925" w:type="dxa"/>
            <w:tcBorders>
              <w:top w:val="nil"/>
              <w:left w:val="nil"/>
              <w:bottom w:val="nil"/>
              <w:right w:val="nil"/>
            </w:tcBorders>
            <w:shd w:val="clear" w:color="auto" w:fill="auto"/>
            <w:noWrap/>
            <w:vAlign w:val="bottom"/>
            <w:hideMark/>
          </w:tcPr>
          <w:p w14:paraId="23170A1F" w14:textId="77777777" w:rsidR="00B9311E" w:rsidRPr="00BD77D8" w:rsidRDefault="00B9311E" w:rsidP="00B9311E">
            <w:pPr>
              <w:spacing w:after="0" w:line="240" w:lineRule="auto"/>
              <w:rPr>
                <w:rFonts w:ascii="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45EC078D"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82" w:type="dxa"/>
            <w:tcBorders>
              <w:top w:val="nil"/>
              <w:left w:val="nil"/>
              <w:bottom w:val="nil"/>
              <w:right w:val="nil"/>
            </w:tcBorders>
            <w:shd w:val="clear" w:color="FFFFFF" w:fill="FFFFFF"/>
            <w:vAlign w:val="bottom"/>
            <w:hideMark/>
          </w:tcPr>
          <w:p w14:paraId="0AEA8039" w14:textId="77777777" w:rsidR="00B9311E" w:rsidRPr="00BD77D8" w:rsidRDefault="00B9311E" w:rsidP="00B9311E">
            <w:pPr>
              <w:spacing w:after="0" w:line="240" w:lineRule="auto"/>
              <w:jc w:val="right"/>
              <w:rPr>
                <w:sz w:val="18"/>
                <w:szCs w:val="18"/>
              </w:rPr>
            </w:pPr>
            <w:r w:rsidRPr="00BD77D8">
              <w:rPr>
                <w:sz w:val="18"/>
                <w:szCs w:val="18"/>
              </w:rPr>
              <w:t> </w:t>
            </w:r>
          </w:p>
        </w:tc>
        <w:tc>
          <w:tcPr>
            <w:tcW w:w="1326" w:type="dxa"/>
            <w:tcBorders>
              <w:top w:val="nil"/>
              <w:left w:val="nil"/>
              <w:bottom w:val="nil"/>
              <w:right w:val="nil"/>
            </w:tcBorders>
            <w:shd w:val="clear" w:color="auto" w:fill="auto"/>
            <w:vAlign w:val="bottom"/>
            <w:hideMark/>
          </w:tcPr>
          <w:p w14:paraId="6145AF92" w14:textId="77777777" w:rsidR="00B9311E" w:rsidRPr="00BD77D8" w:rsidRDefault="00B9311E" w:rsidP="00B9311E">
            <w:pPr>
              <w:spacing w:after="0" w:line="240" w:lineRule="auto"/>
              <w:jc w:val="right"/>
              <w:rPr>
                <w:sz w:val="18"/>
                <w:szCs w:val="18"/>
              </w:rPr>
            </w:pPr>
          </w:p>
        </w:tc>
        <w:tc>
          <w:tcPr>
            <w:tcW w:w="0" w:type="auto"/>
            <w:tcBorders>
              <w:top w:val="nil"/>
              <w:left w:val="nil"/>
              <w:bottom w:val="nil"/>
              <w:right w:val="nil"/>
            </w:tcBorders>
            <w:shd w:val="clear" w:color="auto" w:fill="auto"/>
            <w:vAlign w:val="bottom"/>
            <w:hideMark/>
          </w:tcPr>
          <w:p w14:paraId="496D5BF7"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0BF058EC" w14:textId="77777777" w:rsidTr="003057FB">
        <w:trPr>
          <w:trHeight w:val="275"/>
        </w:trPr>
        <w:tc>
          <w:tcPr>
            <w:tcW w:w="0" w:type="auto"/>
            <w:tcBorders>
              <w:top w:val="nil"/>
              <w:left w:val="nil"/>
              <w:bottom w:val="nil"/>
              <w:right w:val="nil"/>
            </w:tcBorders>
            <w:shd w:val="clear" w:color="auto" w:fill="auto"/>
            <w:noWrap/>
            <w:vAlign w:val="bottom"/>
            <w:hideMark/>
          </w:tcPr>
          <w:p w14:paraId="2ABA92FB" w14:textId="77777777" w:rsidR="00B9311E" w:rsidRPr="00BD77D8" w:rsidRDefault="00B9311E" w:rsidP="00B9311E">
            <w:pPr>
              <w:spacing w:after="0" w:line="240" w:lineRule="auto"/>
              <w:rPr>
                <w:b/>
                <w:bCs/>
                <w:sz w:val="18"/>
                <w:szCs w:val="18"/>
              </w:rPr>
            </w:pPr>
            <w:r w:rsidRPr="00BD77D8">
              <w:rPr>
                <w:b/>
                <w:bCs/>
                <w:sz w:val="18"/>
                <w:szCs w:val="18"/>
              </w:rPr>
              <w:t xml:space="preserve"> Administered expenses </w:t>
            </w:r>
          </w:p>
        </w:tc>
        <w:tc>
          <w:tcPr>
            <w:tcW w:w="1925" w:type="dxa"/>
            <w:tcBorders>
              <w:top w:val="nil"/>
              <w:left w:val="nil"/>
              <w:bottom w:val="nil"/>
              <w:right w:val="nil"/>
            </w:tcBorders>
            <w:shd w:val="clear" w:color="auto" w:fill="auto"/>
            <w:noWrap/>
            <w:vAlign w:val="bottom"/>
            <w:hideMark/>
          </w:tcPr>
          <w:p w14:paraId="52A56F1D" w14:textId="77777777" w:rsidR="00B9311E" w:rsidRPr="00BD77D8" w:rsidRDefault="00B9311E" w:rsidP="00B9311E">
            <w:pPr>
              <w:spacing w:after="0" w:line="240" w:lineRule="auto"/>
              <w:rPr>
                <w:b/>
                <w:bCs/>
                <w:sz w:val="18"/>
                <w:szCs w:val="18"/>
              </w:rPr>
            </w:pPr>
          </w:p>
        </w:tc>
        <w:tc>
          <w:tcPr>
            <w:tcW w:w="1256" w:type="dxa"/>
            <w:tcBorders>
              <w:top w:val="nil"/>
              <w:left w:val="nil"/>
              <w:bottom w:val="nil"/>
              <w:right w:val="nil"/>
            </w:tcBorders>
            <w:shd w:val="clear" w:color="auto" w:fill="auto"/>
            <w:vAlign w:val="bottom"/>
            <w:hideMark/>
          </w:tcPr>
          <w:p w14:paraId="2FA493C3"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82" w:type="dxa"/>
            <w:tcBorders>
              <w:top w:val="nil"/>
              <w:left w:val="nil"/>
              <w:bottom w:val="nil"/>
              <w:right w:val="nil"/>
            </w:tcBorders>
            <w:shd w:val="clear" w:color="FFFFFF" w:fill="FFFFFF"/>
            <w:vAlign w:val="bottom"/>
            <w:hideMark/>
          </w:tcPr>
          <w:p w14:paraId="57C56CB7" w14:textId="77777777" w:rsidR="00B9311E" w:rsidRPr="00BD77D8" w:rsidRDefault="00B9311E" w:rsidP="00B9311E">
            <w:pPr>
              <w:spacing w:after="0" w:line="240" w:lineRule="auto"/>
              <w:jc w:val="right"/>
              <w:rPr>
                <w:b/>
                <w:bCs/>
                <w:sz w:val="18"/>
                <w:szCs w:val="18"/>
              </w:rPr>
            </w:pPr>
            <w:r w:rsidRPr="00BD77D8">
              <w:rPr>
                <w:b/>
                <w:bCs/>
                <w:sz w:val="18"/>
                <w:szCs w:val="18"/>
              </w:rPr>
              <w:t> </w:t>
            </w:r>
          </w:p>
        </w:tc>
        <w:tc>
          <w:tcPr>
            <w:tcW w:w="1326" w:type="dxa"/>
            <w:tcBorders>
              <w:top w:val="nil"/>
              <w:left w:val="nil"/>
              <w:bottom w:val="nil"/>
              <w:right w:val="nil"/>
            </w:tcBorders>
            <w:shd w:val="clear" w:color="auto" w:fill="auto"/>
            <w:vAlign w:val="bottom"/>
            <w:hideMark/>
          </w:tcPr>
          <w:p w14:paraId="4BE89041" w14:textId="77777777" w:rsidR="00B9311E" w:rsidRPr="00BD77D8" w:rsidRDefault="00B9311E" w:rsidP="00B9311E">
            <w:pPr>
              <w:spacing w:after="0" w:line="240" w:lineRule="auto"/>
              <w:jc w:val="right"/>
              <w:rPr>
                <w:b/>
                <w:bCs/>
                <w:sz w:val="18"/>
                <w:szCs w:val="18"/>
              </w:rPr>
            </w:pPr>
          </w:p>
        </w:tc>
        <w:tc>
          <w:tcPr>
            <w:tcW w:w="0" w:type="auto"/>
            <w:tcBorders>
              <w:top w:val="nil"/>
              <w:left w:val="nil"/>
              <w:bottom w:val="nil"/>
              <w:right w:val="nil"/>
            </w:tcBorders>
            <w:shd w:val="clear" w:color="auto" w:fill="auto"/>
            <w:vAlign w:val="bottom"/>
            <w:hideMark/>
          </w:tcPr>
          <w:p w14:paraId="33F2FD68"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72C4F6E1" w14:textId="77777777" w:rsidTr="003057FB">
        <w:trPr>
          <w:trHeight w:val="275"/>
        </w:trPr>
        <w:tc>
          <w:tcPr>
            <w:tcW w:w="0" w:type="auto"/>
            <w:tcBorders>
              <w:top w:val="nil"/>
              <w:left w:val="nil"/>
              <w:bottom w:val="nil"/>
              <w:right w:val="nil"/>
            </w:tcBorders>
            <w:shd w:val="clear" w:color="auto" w:fill="auto"/>
            <w:noWrap/>
            <w:vAlign w:val="bottom"/>
            <w:hideMark/>
          </w:tcPr>
          <w:p w14:paraId="1E901CEB"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Employee expenses </w:t>
            </w:r>
          </w:p>
        </w:tc>
        <w:tc>
          <w:tcPr>
            <w:tcW w:w="1925" w:type="dxa"/>
            <w:tcBorders>
              <w:top w:val="nil"/>
              <w:left w:val="nil"/>
              <w:bottom w:val="nil"/>
              <w:right w:val="nil"/>
            </w:tcBorders>
            <w:shd w:val="clear" w:color="auto" w:fill="auto"/>
            <w:noWrap/>
            <w:vAlign w:val="bottom"/>
            <w:hideMark/>
          </w:tcPr>
          <w:p w14:paraId="19B22C47" w14:textId="77777777" w:rsidR="00B9311E" w:rsidRPr="00BD77D8" w:rsidRDefault="00B9311E" w:rsidP="00B9311E">
            <w:pPr>
              <w:spacing w:after="0" w:line="240" w:lineRule="auto"/>
              <w:ind w:firstLineChars="100" w:firstLine="180"/>
              <w:rPr>
                <w:sz w:val="18"/>
                <w:szCs w:val="18"/>
              </w:rPr>
            </w:pPr>
          </w:p>
        </w:tc>
        <w:tc>
          <w:tcPr>
            <w:tcW w:w="1256" w:type="dxa"/>
            <w:tcBorders>
              <w:top w:val="nil"/>
              <w:left w:val="nil"/>
              <w:bottom w:val="nil"/>
              <w:right w:val="nil"/>
            </w:tcBorders>
            <w:shd w:val="clear" w:color="auto" w:fill="auto"/>
            <w:vAlign w:val="bottom"/>
            <w:hideMark/>
          </w:tcPr>
          <w:p w14:paraId="63596F84"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282" w:type="dxa"/>
            <w:tcBorders>
              <w:top w:val="nil"/>
              <w:left w:val="nil"/>
              <w:bottom w:val="nil"/>
              <w:right w:val="nil"/>
            </w:tcBorders>
            <w:shd w:val="clear" w:color="FFFFFF" w:fill="FFFFFF"/>
            <w:vAlign w:val="bottom"/>
            <w:hideMark/>
          </w:tcPr>
          <w:p w14:paraId="7917FEFB"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326" w:type="dxa"/>
            <w:tcBorders>
              <w:top w:val="nil"/>
              <w:left w:val="nil"/>
              <w:bottom w:val="nil"/>
              <w:right w:val="nil"/>
            </w:tcBorders>
            <w:shd w:val="clear" w:color="auto" w:fill="auto"/>
            <w:vAlign w:val="bottom"/>
            <w:hideMark/>
          </w:tcPr>
          <w:p w14:paraId="289DCFD5"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vAlign w:val="bottom"/>
            <w:hideMark/>
          </w:tcPr>
          <w:p w14:paraId="493AE08A" w14:textId="77777777" w:rsidR="00B9311E" w:rsidRPr="00BD77D8" w:rsidRDefault="00B9311E" w:rsidP="00B9311E">
            <w:pPr>
              <w:spacing w:after="0" w:line="240" w:lineRule="auto"/>
              <w:jc w:val="right"/>
              <w:rPr>
                <w:sz w:val="18"/>
                <w:szCs w:val="18"/>
              </w:rPr>
            </w:pPr>
            <w:r w:rsidRPr="00BD77D8">
              <w:rPr>
                <w:sz w:val="18"/>
                <w:szCs w:val="18"/>
              </w:rPr>
              <w:t xml:space="preserve">             206 </w:t>
            </w:r>
          </w:p>
        </w:tc>
      </w:tr>
      <w:tr w:rsidR="00BD77D8" w:rsidRPr="00BD77D8" w14:paraId="06C87A2E" w14:textId="77777777" w:rsidTr="003057FB">
        <w:trPr>
          <w:trHeight w:val="275"/>
        </w:trPr>
        <w:tc>
          <w:tcPr>
            <w:tcW w:w="0" w:type="auto"/>
            <w:tcBorders>
              <w:top w:val="nil"/>
              <w:left w:val="nil"/>
              <w:bottom w:val="nil"/>
              <w:right w:val="nil"/>
            </w:tcBorders>
            <w:shd w:val="clear" w:color="auto" w:fill="auto"/>
            <w:noWrap/>
            <w:vAlign w:val="bottom"/>
            <w:hideMark/>
          </w:tcPr>
          <w:p w14:paraId="09401366"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Supplies and services </w:t>
            </w:r>
          </w:p>
        </w:tc>
        <w:bookmarkStart w:id="313" w:name="RANGE!B15"/>
        <w:tc>
          <w:tcPr>
            <w:tcW w:w="1925" w:type="dxa"/>
            <w:tcBorders>
              <w:top w:val="nil"/>
              <w:left w:val="nil"/>
              <w:bottom w:val="nil"/>
              <w:right w:val="nil"/>
            </w:tcBorders>
            <w:shd w:val="clear" w:color="auto" w:fill="auto"/>
            <w:noWrap/>
            <w:vAlign w:val="bottom"/>
            <w:hideMark/>
          </w:tcPr>
          <w:p w14:paraId="7A34D4B1" w14:textId="77777777" w:rsidR="00B9311E" w:rsidRPr="00BD77D8" w:rsidRDefault="00B9311E" w:rsidP="00B9311E">
            <w:pPr>
              <w:spacing w:after="0" w:line="240" w:lineRule="auto"/>
              <w:jc w:val="center"/>
              <w:rPr>
                <w:rFonts w:eastAsia="PMingLiU"/>
                <w:b/>
                <w:bCs/>
                <w:sz w:val="18"/>
                <w:szCs w:val="22"/>
                <w:lang w:eastAsia="en-US"/>
              </w:rPr>
            </w:pPr>
            <w:r w:rsidRPr="00BD77D8">
              <w:rPr>
                <w:rFonts w:eastAsia="PMingLiU"/>
                <w:b/>
                <w:bCs/>
                <w:sz w:val="18"/>
                <w:szCs w:val="22"/>
                <w:lang w:eastAsia="en-US"/>
              </w:rPr>
              <w:fldChar w:fldCharType="begin"/>
            </w:r>
            <w:r w:rsidRPr="00BD77D8">
              <w:rPr>
                <w:rFonts w:eastAsia="PMingLiU"/>
                <w:b/>
                <w:bCs/>
                <w:sz w:val="18"/>
                <w:szCs w:val="22"/>
                <w:lang w:eastAsia="en-US"/>
              </w:rPr>
              <w:instrText xml:space="preserve"> HYPERLINK "file:///C:\\Users\\lzwelsh\\AppData\\Local\\Microsoft\\Windows\\INetCache\\Content.MSO\\EE9A0631.xlsx" \l "'Note G1-3'!A5" </w:instrText>
            </w:r>
            <w:r w:rsidRPr="00BD77D8">
              <w:rPr>
                <w:rFonts w:eastAsia="PMingLiU"/>
                <w:b/>
                <w:bCs/>
                <w:sz w:val="18"/>
                <w:szCs w:val="22"/>
                <w:lang w:eastAsia="en-US"/>
              </w:rPr>
              <w:fldChar w:fldCharType="separate"/>
            </w:r>
            <w:r w:rsidRPr="00BD77D8">
              <w:rPr>
                <w:rFonts w:eastAsia="PMingLiU"/>
                <w:b/>
                <w:bCs/>
                <w:sz w:val="18"/>
                <w:szCs w:val="22"/>
                <w:lang w:eastAsia="en-US"/>
              </w:rPr>
              <w:t>G1-5</w:t>
            </w:r>
            <w:r w:rsidRPr="00BD77D8">
              <w:rPr>
                <w:rFonts w:eastAsia="PMingLiU"/>
                <w:b/>
                <w:bCs/>
                <w:sz w:val="18"/>
                <w:szCs w:val="22"/>
                <w:lang w:eastAsia="en-US"/>
              </w:rPr>
              <w:fldChar w:fldCharType="end"/>
            </w:r>
            <w:bookmarkEnd w:id="313"/>
          </w:p>
        </w:tc>
        <w:tc>
          <w:tcPr>
            <w:tcW w:w="1256" w:type="dxa"/>
            <w:tcBorders>
              <w:top w:val="nil"/>
              <w:left w:val="nil"/>
              <w:bottom w:val="nil"/>
              <w:right w:val="nil"/>
            </w:tcBorders>
            <w:shd w:val="clear" w:color="auto" w:fill="auto"/>
            <w:vAlign w:val="bottom"/>
            <w:hideMark/>
          </w:tcPr>
          <w:p w14:paraId="57D083AF"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282" w:type="dxa"/>
            <w:tcBorders>
              <w:top w:val="nil"/>
              <w:left w:val="nil"/>
              <w:bottom w:val="nil"/>
              <w:right w:val="nil"/>
            </w:tcBorders>
            <w:shd w:val="clear" w:color="FFFFFF" w:fill="FFFFFF"/>
            <w:vAlign w:val="bottom"/>
            <w:hideMark/>
          </w:tcPr>
          <w:p w14:paraId="7558B44D"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326" w:type="dxa"/>
            <w:tcBorders>
              <w:top w:val="nil"/>
              <w:left w:val="nil"/>
              <w:bottom w:val="nil"/>
              <w:right w:val="nil"/>
            </w:tcBorders>
            <w:shd w:val="clear" w:color="auto" w:fill="auto"/>
            <w:vAlign w:val="bottom"/>
            <w:hideMark/>
          </w:tcPr>
          <w:p w14:paraId="6709E51B"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0" w:type="auto"/>
            <w:tcBorders>
              <w:top w:val="nil"/>
              <w:left w:val="nil"/>
              <w:bottom w:val="nil"/>
              <w:right w:val="nil"/>
            </w:tcBorders>
            <w:shd w:val="clear" w:color="auto" w:fill="auto"/>
            <w:vAlign w:val="bottom"/>
            <w:hideMark/>
          </w:tcPr>
          <w:p w14:paraId="01A735D2" w14:textId="77777777" w:rsidR="00B9311E" w:rsidRPr="00BD77D8" w:rsidRDefault="00B9311E" w:rsidP="00B9311E">
            <w:pPr>
              <w:spacing w:after="0" w:line="240" w:lineRule="auto"/>
              <w:jc w:val="right"/>
              <w:rPr>
                <w:sz w:val="18"/>
                <w:szCs w:val="18"/>
              </w:rPr>
            </w:pPr>
            <w:r w:rsidRPr="00BD77D8">
              <w:rPr>
                <w:sz w:val="18"/>
                <w:szCs w:val="18"/>
              </w:rPr>
              <w:t xml:space="preserve">          1,002 </w:t>
            </w:r>
          </w:p>
        </w:tc>
      </w:tr>
      <w:tr w:rsidR="00BD77D8" w:rsidRPr="00BD77D8" w14:paraId="69E8312C" w14:textId="77777777" w:rsidTr="003057FB">
        <w:trPr>
          <w:trHeight w:val="275"/>
        </w:trPr>
        <w:tc>
          <w:tcPr>
            <w:tcW w:w="0" w:type="auto"/>
            <w:tcBorders>
              <w:top w:val="nil"/>
              <w:left w:val="nil"/>
              <w:bottom w:val="nil"/>
              <w:right w:val="nil"/>
            </w:tcBorders>
            <w:shd w:val="clear" w:color="auto" w:fill="auto"/>
            <w:noWrap/>
            <w:vAlign w:val="bottom"/>
            <w:hideMark/>
          </w:tcPr>
          <w:p w14:paraId="5403F5BA"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Grants and subsidies </w:t>
            </w:r>
          </w:p>
        </w:tc>
        <w:tc>
          <w:tcPr>
            <w:tcW w:w="1925" w:type="dxa"/>
            <w:tcBorders>
              <w:top w:val="nil"/>
              <w:left w:val="nil"/>
              <w:bottom w:val="nil"/>
              <w:right w:val="nil"/>
            </w:tcBorders>
            <w:shd w:val="clear" w:color="auto" w:fill="auto"/>
            <w:noWrap/>
            <w:vAlign w:val="bottom"/>
            <w:hideMark/>
          </w:tcPr>
          <w:p w14:paraId="36F6BCB2" w14:textId="77777777" w:rsidR="00B9311E" w:rsidRPr="00BD77D8" w:rsidRDefault="0028582B" w:rsidP="00B9311E">
            <w:pPr>
              <w:spacing w:after="0" w:line="240" w:lineRule="auto"/>
              <w:jc w:val="center"/>
              <w:rPr>
                <w:rFonts w:eastAsia="PMingLiU"/>
                <w:b/>
                <w:bCs/>
                <w:sz w:val="18"/>
                <w:szCs w:val="22"/>
                <w:lang w:eastAsia="en-US"/>
              </w:rPr>
            </w:pPr>
            <w:hyperlink r:id="rId24" w:anchor="'Note G1-4'!A5" w:history="1">
              <w:r w:rsidR="00B9311E" w:rsidRPr="00BD77D8">
                <w:rPr>
                  <w:rFonts w:eastAsia="PMingLiU"/>
                  <w:b/>
                  <w:bCs/>
                  <w:sz w:val="18"/>
                  <w:szCs w:val="22"/>
                  <w:lang w:eastAsia="en-US"/>
                </w:rPr>
                <w:t>G1-6</w:t>
              </w:r>
            </w:hyperlink>
          </w:p>
        </w:tc>
        <w:tc>
          <w:tcPr>
            <w:tcW w:w="1256" w:type="dxa"/>
            <w:tcBorders>
              <w:top w:val="nil"/>
              <w:left w:val="nil"/>
              <w:bottom w:val="nil"/>
              <w:right w:val="nil"/>
            </w:tcBorders>
            <w:shd w:val="clear" w:color="auto" w:fill="auto"/>
            <w:vAlign w:val="bottom"/>
            <w:hideMark/>
          </w:tcPr>
          <w:p w14:paraId="32B1CBD6" w14:textId="77777777" w:rsidR="00B9311E" w:rsidRPr="00BD77D8" w:rsidRDefault="00B9311E" w:rsidP="00B9311E">
            <w:pPr>
              <w:spacing w:after="0" w:line="240" w:lineRule="auto"/>
              <w:jc w:val="right"/>
              <w:rPr>
                <w:b/>
                <w:bCs/>
                <w:sz w:val="18"/>
                <w:szCs w:val="18"/>
              </w:rPr>
            </w:pPr>
            <w:r w:rsidRPr="00BD77D8">
              <w:rPr>
                <w:b/>
                <w:bCs/>
                <w:sz w:val="18"/>
                <w:szCs w:val="18"/>
              </w:rPr>
              <w:t xml:space="preserve">  2,405,434 </w:t>
            </w:r>
          </w:p>
        </w:tc>
        <w:tc>
          <w:tcPr>
            <w:tcW w:w="1282" w:type="dxa"/>
            <w:tcBorders>
              <w:top w:val="nil"/>
              <w:left w:val="nil"/>
              <w:bottom w:val="nil"/>
              <w:right w:val="nil"/>
            </w:tcBorders>
            <w:shd w:val="clear" w:color="FFFFFF" w:fill="FFFFFF"/>
            <w:vAlign w:val="bottom"/>
            <w:hideMark/>
          </w:tcPr>
          <w:p w14:paraId="69E59C0B" w14:textId="77777777" w:rsidR="00B9311E" w:rsidRPr="00BD77D8" w:rsidRDefault="00B9311E" w:rsidP="00B9311E">
            <w:pPr>
              <w:spacing w:after="0" w:line="240" w:lineRule="auto"/>
              <w:jc w:val="right"/>
              <w:rPr>
                <w:sz w:val="18"/>
                <w:szCs w:val="18"/>
              </w:rPr>
            </w:pPr>
            <w:r w:rsidRPr="00BD77D8">
              <w:rPr>
                <w:sz w:val="18"/>
                <w:szCs w:val="18"/>
              </w:rPr>
              <w:t xml:space="preserve">  2,434,745 </w:t>
            </w:r>
          </w:p>
        </w:tc>
        <w:tc>
          <w:tcPr>
            <w:tcW w:w="1326" w:type="dxa"/>
            <w:tcBorders>
              <w:top w:val="nil"/>
              <w:left w:val="nil"/>
              <w:bottom w:val="nil"/>
              <w:right w:val="nil"/>
            </w:tcBorders>
            <w:shd w:val="clear" w:color="auto" w:fill="auto"/>
            <w:vAlign w:val="bottom"/>
            <w:hideMark/>
          </w:tcPr>
          <w:p w14:paraId="28A040E4" w14:textId="77777777" w:rsidR="00B9311E" w:rsidRPr="00BD77D8" w:rsidRDefault="00B9311E" w:rsidP="00B9311E">
            <w:pPr>
              <w:spacing w:after="0" w:line="240" w:lineRule="auto"/>
              <w:jc w:val="right"/>
              <w:rPr>
                <w:sz w:val="18"/>
                <w:szCs w:val="18"/>
              </w:rPr>
            </w:pPr>
            <w:r w:rsidRPr="00BD77D8">
              <w:rPr>
                <w:sz w:val="18"/>
                <w:szCs w:val="18"/>
              </w:rPr>
              <w:t xml:space="preserve">       29,311</w:t>
            </w:r>
          </w:p>
        </w:tc>
        <w:tc>
          <w:tcPr>
            <w:tcW w:w="0" w:type="auto"/>
            <w:tcBorders>
              <w:top w:val="nil"/>
              <w:left w:val="nil"/>
              <w:bottom w:val="nil"/>
              <w:right w:val="nil"/>
            </w:tcBorders>
            <w:shd w:val="clear" w:color="auto" w:fill="auto"/>
            <w:vAlign w:val="bottom"/>
            <w:hideMark/>
          </w:tcPr>
          <w:p w14:paraId="26E63E13" w14:textId="77777777" w:rsidR="00B9311E" w:rsidRPr="00BD77D8" w:rsidRDefault="00B9311E" w:rsidP="00B9311E">
            <w:pPr>
              <w:spacing w:after="0" w:line="240" w:lineRule="auto"/>
              <w:jc w:val="right"/>
              <w:rPr>
                <w:sz w:val="18"/>
                <w:szCs w:val="18"/>
              </w:rPr>
            </w:pPr>
            <w:r w:rsidRPr="00BD77D8">
              <w:rPr>
                <w:sz w:val="18"/>
                <w:szCs w:val="18"/>
              </w:rPr>
              <w:t xml:space="preserve">  2,406,599 </w:t>
            </w:r>
          </w:p>
        </w:tc>
      </w:tr>
      <w:tr w:rsidR="00BD77D8" w:rsidRPr="00BD77D8" w14:paraId="669C8DF6" w14:textId="77777777" w:rsidTr="003057FB">
        <w:trPr>
          <w:trHeight w:val="275"/>
        </w:trPr>
        <w:tc>
          <w:tcPr>
            <w:tcW w:w="0" w:type="auto"/>
            <w:tcBorders>
              <w:top w:val="nil"/>
              <w:left w:val="nil"/>
              <w:bottom w:val="nil"/>
              <w:right w:val="nil"/>
            </w:tcBorders>
            <w:shd w:val="clear" w:color="auto" w:fill="auto"/>
            <w:noWrap/>
            <w:vAlign w:val="bottom"/>
            <w:hideMark/>
          </w:tcPr>
          <w:p w14:paraId="0BB34FC3" w14:textId="77777777" w:rsidR="00B9311E" w:rsidRPr="00BD77D8" w:rsidRDefault="00B9311E" w:rsidP="00B9311E">
            <w:pPr>
              <w:spacing w:after="0" w:line="240" w:lineRule="auto"/>
              <w:rPr>
                <w:b/>
                <w:bCs/>
                <w:sz w:val="18"/>
                <w:szCs w:val="18"/>
              </w:rPr>
            </w:pPr>
            <w:r w:rsidRPr="00BD77D8">
              <w:rPr>
                <w:b/>
                <w:bCs/>
                <w:sz w:val="18"/>
                <w:szCs w:val="18"/>
              </w:rPr>
              <w:t xml:space="preserve"> Total administered expenses </w:t>
            </w:r>
          </w:p>
        </w:tc>
        <w:tc>
          <w:tcPr>
            <w:tcW w:w="1925" w:type="dxa"/>
            <w:tcBorders>
              <w:top w:val="nil"/>
              <w:left w:val="nil"/>
              <w:bottom w:val="nil"/>
              <w:right w:val="nil"/>
            </w:tcBorders>
            <w:shd w:val="clear" w:color="auto" w:fill="auto"/>
            <w:noWrap/>
            <w:vAlign w:val="bottom"/>
            <w:hideMark/>
          </w:tcPr>
          <w:p w14:paraId="79079918" w14:textId="77777777" w:rsidR="00B9311E" w:rsidRPr="00BD77D8" w:rsidRDefault="00B9311E" w:rsidP="00B9311E">
            <w:pPr>
              <w:spacing w:after="0" w:line="240" w:lineRule="auto"/>
              <w:rPr>
                <w:b/>
                <w:bCs/>
                <w:sz w:val="18"/>
                <w:szCs w:val="18"/>
              </w:rPr>
            </w:pPr>
          </w:p>
        </w:tc>
        <w:tc>
          <w:tcPr>
            <w:tcW w:w="1256" w:type="dxa"/>
            <w:tcBorders>
              <w:top w:val="single" w:sz="4" w:space="0" w:color="auto"/>
              <w:left w:val="nil"/>
              <w:bottom w:val="single" w:sz="4" w:space="0" w:color="auto"/>
              <w:right w:val="nil"/>
            </w:tcBorders>
            <w:shd w:val="clear" w:color="auto" w:fill="auto"/>
            <w:vAlign w:val="bottom"/>
            <w:hideMark/>
          </w:tcPr>
          <w:p w14:paraId="338922D5" w14:textId="77777777" w:rsidR="00B9311E" w:rsidRPr="00BD77D8" w:rsidRDefault="00B9311E" w:rsidP="00B9311E">
            <w:pPr>
              <w:spacing w:after="0" w:line="240" w:lineRule="auto"/>
              <w:jc w:val="right"/>
              <w:rPr>
                <w:b/>
                <w:bCs/>
                <w:sz w:val="18"/>
                <w:szCs w:val="18"/>
              </w:rPr>
            </w:pPr>
            <w:r w:rsidRPr="00BD77D8">
              <w:rPr>
                <w:b/>
                <w:bCs/>
                <w:sz w:val="18"/>
                <w:szCs w:val="18"/>
              </w:rPr>
              <w:t xml:space="preserve">  2,405,434 </w:t>
            </w:r>
          </w:p>
        </w:tc>
        <w:tc>
          <w:tcPr>
            <w:tcW w:w="1282" w:type="dxa"/>
            <w:tcBorders>
              <w:top w:val="single" w:sz="4" w:space="0" w:color="auto"/>
              <w:left w:val="nil"/>
              <w:bottom w:val="single" w:sz="4" w:space="0" w:color="auto"/>
              <w:right w:val="nil"/>
            </w:tcBorders>
            <w:shd w:val="clear" w:color="auto" w:fill="auto"/>
            <w:vAlign w:val="bottom"/>
            <w:hideMark/>
          </w:tcPr>
          <w:p w14:paraId="2F0A1B9F" w14:textId="77777777" w:rsidR="00B9311E" w:rsidRPr="00BD77D8" w:rsidRDefault="00B9311E" w:rsidP="00B9311E">
            <w:pPr>
              <w:spacing w:after="0" w:line="240" w:lineRule="auto"/>
              <w:jc w:val="right"/>
              <w:rPr>
                <w:b/>
                <w:bCs/>
                <w:sz w:val="18"/>
                <w:szCs w:val="18"/>
              </w:rPr>
            </w:pPr>
            <w:r w:rsidRPr="00BD77D8">
              <w:rPr>
                <w:b/>
                <w:bCs/>
                <w:sz w:val="18"/>
                <w:szCs w:val="18"/>
              </w:rPr>
              <w:t xml:space="preserve">  2,434,745 </w:t>
            </w:r>
          </w:p>
        </w:tc>
        <w:tc>
          <w:tcPr>
            <w:tcW w:w="1326" w:type="dxa"/>
            <w:tcBorders>
              <w:top w:val="single" w:sz="4" w:space="0" w:color="auto"/>
              <w:left w:val="nil"/>
              <w:bottom w:val="single" w:sz="4" w:space="0" w:color="auto"/>
              <w:right w:val="nil"/>
            </w:tcBorders>
            <w:shd w:val="clear" w:color="auto" w:fill="auto"/>
            <w:vAlign w:val="bottom"/>
            <w:hideMark/>
          </w:tcPr>
          <w:p w14:paraId="31D27F39" w14:textId="77777777" w:rsidR="00B9311E" w:rsidRPr="00BD77D8" w:rsidRDefault="00B9311E" w:rsidP="00B9311E">
            <w:pPr>
              <w:spacing w:after="0" w:line="240" w:lineRule="auto"/>
              <w:jc w:val="right"/>
              <w:rPr>
                <w:b/>
                <w:bCs/>
                <w:sz w:val="18"/>
                <w:szCs w:val="18"/>
              </w:rPr>
            </w:pPr>
            <w:r w:rsidRPr="00BD77D8">
              <w:rPr>
                <w:b/>
                <w:bCs/>
                <w:sz w:val="18"/>
                <w:szCs w:val="18"/>
              </w:rPr>
              <w:t xml:space="preserve">       29,311</w:t>
            </w:r>
          </w:p>
        </w:tc>
        <w:tc>
          <w:tcPr>
            <w:tcW w:w="0" w:type="auto"/>
            <w:tcBorders>
              <w:top w:val="single" w:sz="4" w:space="0" w:color="auto"/>
              <w:left w:val="nil"/>
              <w:bottom w:val="single" w:sz="4" w:space="0" w:color="auto"/>
              <w:right w:val="nil"/>
            </w:tcBorders>
            <w:shd w:val="clear" w:color="auto" w:fill="auto"/>
            <w:vAlign w:val="bottom"/>
            <w:hideMark/>
          </w:tcPr>
          <w:p w14:paraId="73678D17" w14:textId="77777777" w:rsidR="00B9311E" w:rsidRPr="00BD77D8" w:rsidRDefault="00B9311E" w:rsidP="00B9311E">
            <w:pPr>
              <w:spacing w:after="0" w:line="240" w:lineRule="auto"/>
              <w:jc w:val="right"/>
              <w:rPr>
                <w:b/>
                <w:bCs/>
                <w:sz w:val="18"/>
                <w:szCs w:val="18"/>
              </w:rPr>
            </w:pPr>
            <w:r w:rsidRPr="00BD77D8">
              <w:rPr>
                <w:b/>
                <w:bCs/>
                <w:sz w:val="18"/>
                <w:szCs w:val="18"/>
              </w:rPr>
              <w:t xml:space="preserve">  2,407,807 </w:t>
            </w:r>
          </w:p>
        </w:tc>
      </w:tr>
      <w:tr w:rsidR="00BD77D8" w:rsidRPr="00BD77D8" w14:paraId="7B0B9082" w14:textId="77777777" w:rsidTr="003057FB">
        <w:trPr>
          <w:trHeight w:val="275"/>
        </w:trPr>
        <w:tc>
          <w:tcPr>
            <w:tcW w:w="0" w:type="auto"/>
            <w:tcBorders>
              <w:top w:val="nil"/>
              <w:left w:val="nil"/>
              <w:bottom w:val="nil"/>
              <w:right w:val="nil"/>
            </w:tcBorders>
            <w:shd w:val="clear" w:color="auto" w:fill="auto"/>
            <w:noWrap/>
            <w:vAlign w:val="bottom"/>
            <w:hideMark/>
          </w:tcPr>
          <w:p w14:paraId="1EFEF1B5" w14:textId="77777777" w:rsidR="00B9311E" w:rsidRPr="00BD77D8" w:rsidRDefault="00B9311E" w:rsidP="00B9311E">
            <w:pPr>
              <w:spacing w:after="0" w:line="240" w:lineRule="auto"/>
              <w:jc w:val="right"/>
              <w:rPr>
                <w:sz w:val="18"/>
                <w:szCs w:val="18"/>
              </w:rPr>
            </w:pPr>
          </w:p>
        </w:tc>
        <w:tc>
          <w:tcPr>
            <w:tcW w:w="1925" w:type="dxa"/>
            <w:tcBorders>
              <w:top w:val="nil"/>
              <w:left w:val="nil"/>
              <w:bottom w:val="nil"/>
              <w:right w:val="nil"/>
            </w:tcBorders>
            <w:shd w:val="clear" w:color="auto" w:fill="auto"/>
            <w:noWrap/>
            <w:vAlign w:val="bottom"/>
            <w:hideMark/>
          </w:tcPr>
          <w:p w14:paraId="358B7057" w14:textId="77777777" w:rsidR="00B9311E" w:rsidRPr="00BD77D8" w:rsidRDefault="00B9311E" w:rsidP="00B9311E">
            <w:pPr>
              <w:spacing w:after="0" w:line="240" w:lineRule="auto"/>
              <w:ind w:firstLineChars="100" w:firstLine="200"/>
              <w:rPr>
                <w:rFonts w:ascii="Times New Roman" w:hAnsi="Times New Roman" w:cs="Times New Roman"/>
                <w:sz w:val="20"/>
                <w:szCs w:val="20"/>
              </w:rPr>
            </w:pPr>
          </w:p>
        </w:tc>
        <w:tc>
          <w:tcPr>
            <w:tcW w:w="1256" w:type="dxa"/>
            <w:tcBorders>
              <w:top w:val="single" w:sz="4" w:space="0" w:color="auto"/>
              <w:left w:val="nil"/>
              <w:bottom w:val="nil"/>
              <w:right w:val="nil"/>
            </w:tcBorders>
            <w:shd w:val="clear" w:color="auto" w:fill="auto"/>
            <w:vAlign w:val="bottom"/>
            <w:hideMark/>
          </w:tcPr>
          <w:p w14:paraId="41618D4D" w14:textId="77777777" w:rsidR="00B9311E" w:rsidRPr="00BD77D8" w:rsidRDefault="00B9311E" w:rsidP="00B9311E">
            <w:pPr>
              <w:spacing w:after="0" w:line="240" w:lineRule="auto"/>
              <w:jc w:val="right"/>
              <w:rPr>
                <w:b/>
                <w:bCs/>
                <w:sz w:val="18"/>
                <w:szCs w:val="18"/>
              </w:rPr>
            </w:pPr>
            <w:r w:rsidRPr="00BD77D8">
              <w:rPr>
                <w:b/>
                <w:bCs/>
                <w:sz w:val="18"/>
                <w:szCs w:val="18"/>
              </w:rPr>
              <w:t> </w:t>
            </w:r>
          </w:p>
        </w:tc>
        <w:tc>
          <w:tcPr>
            <w:tcW w:w="1282" w:type="dxa"/>
            <w:tcBorders>
              <w:top w:val="single" w:sz="4" w:space="0" w:color="auto"/>
              <w:left w:val="nil"/>
              <w:bottom w:val="nil"/>
              <w:right w:val="nil"/>
            </w:tcBorders>
            <w:shd w:val="clear" w:color="auto" w:fill="auto"/>
            <w:vAlign w:val="bottom"/>
            <w:hideMark/>
          </w:tcPr>
          <w:p w14:paraId="567698B1" w14:textId="77777777" w:rsidR="00B9311E" w:rsidRPr="00BD77D8" w:rsidRDefault="00B9311E" w:rsidP="00B9311E">
            <w:pPr>
              <w:spacing w:after="0" w:line="240" w:lineRule="auto"/>
              <w:jc w:val="right"/>
              <w:rPr>
                <w:sz w:val="18"/>
                <w:szCs w:val="18"/>
              </w:rPr>
            </w:pPr>
            <w:r w:rsidRPr="00BD77D8">
              <w:rPr>
                <w:sz w:val="18"/>
                <w:szCs w:val="18"/>
              </w:rPr>
              <w:t> </w:t>
            </w:r>
          </w:p>
        </w:tc>
        <w:tc>
          <w:tcPr>
            <w:tcW w:w="1326" w:type="dxa"/>
            <w:tcBorders>
              <w:top w:val="single" w:sz="4" w:space="0" w:color="auto"/>
              <w:left w:val="nil"/>
              <w:bottom w:val="nil"/>
              <w:right w:val="nil"/>
            </w:tcBorders>
            <w:shd w:val="clear" w:color="auto" w:fill="auto"/>
            <w:vAlign w:val="bottom"/>
            <w:hideMark/>
          </w:tcPr>
          <w:p w14:paraId="1ECC905A" w14:textId="77777777" w:rsidR="00B9311E" w:rsidRPr="00BD77D8" w:rsidRDefault="00B9311E" w:rsidP="00B9311E">
            <w:pPr>
              <w:spacing w:after="0" w:line="240" w:lineRule="auto"/>
              <w:jc w:val="right"/>
              <w:rPr>
                <w:sz w:val="18"/>
                <w:szCs w:val="18"/>
              </w:rPr>
            </w:pPr>
            <w:r w:rsidRPr="00BD77D8">
              <w:rPr>
                <w:sz w:val="18"/>
                <w:szCs w:val="18"/>
              </w:rPr>
              <w:t> </w:t>
            </w:r>
          </w:p>
        </w:tc>
        <w:tc>
          <w:tcPr>
            <w:tcW w:w="0" w:type="auto"/>
            <w:tcBorders>
              <w:top w:val="single" w:sz="4" w:space="0" w:color="auto"/>
              <w:left w:val="nil"/>
              <w:bottom w:val="nil"/>
              <w:right w:val="nil"/>
            </w:tcBorders>
            <w:shd w:val="clear" w:color="auto" w:fill="auto"/>
            <w:vAlign w:val="bottom"/>
            <w:hideMark/>
          </w:tcPr>
          <w:p w14:paraId="28CA7C34" w14:textId="77777777" w:rsidR="00B9311E" w:rsidRPr="00BD77D8" w:rsidRDefault="00B9311E" w:rsidP="00B9311E">
            <w:pPr>
              <w:spacing w:after="0" w:line="240" w:lineRule="auto"/>
              <w:jc w:val="right"/>
              <w:rPr>
                <w:sz w:val="18"/>
                <w:szCs w:val="18"/>
              </w:rPr>
            </w:pPr>
            <w:r w:rsidRPr="00BD77D8">
              <w:rPr>
                <w:sz w:val="18"/>
                <w:szCs w:val="18"/>
              </w:rPr>
              <w:t> </w:t>
            </w:r>
          </w:p>
        </w:tc>
      </w:tr>
      <w:tr w:rsidR="00BD77D8" w:rsidRPr="00BD77D8" w14:paraId="499AECD0" w14:textId="77777777" w:rsidTr="003057FB">
        <w:trPr>
          <w:trHeight w:val="275"/>
        </w:trPr>
        <w:tc>
          <w:tcPr>
            <w:tcW w:w="0" w:type="auto"/>
            <w:tcBorders>
              <w:top w:val="nil"/>
              <w:left w:val="nil"/>
              <w:bottom w:val="nil"/>
              <w:right w:val="nil"/>
            </w:tcBorders>
            <w:shd w:val="clear" w:color="auto" w:fill="auto"/>
            <w:noWrap/>
            <w:vAlign w:val="bottom"/>
            <w:hideMark/>
          </w:tcPr>
          <w:p w14:paraId="05B3BF38" w14:textId="77777777" w:rsidR="00B9311E" w:rsidRPr="00BD77D8" w:rsidRDefault="00B9311E" w:rsidP="00B9311E">
            <w:pPr>
              <w:spacing w:after="0" w:line="240" w:lineRule="auto"/>
              <w:rPr>
                <w:b/>
                <w:bCs/>
                <w:sz w:val="18"/>
                <w:szCs w:val="18"/>
              </w:rPr>
            </w:pPr>
            <w:r w:rsidRPr="00BD77D8">
              <w:rPr>
                <w:b/>
                <w:bCs/>
                <w:sz w:val="18"/>
                <w:szCs w:val="18"/>
              </w:rPr>
              <w:t xml:space="preserve"> Operating surplus/(deficit) </w:t>
            </w:r>
          </w:p>
        </w:tc>
        <w:tc>
          <w:tcPr>
            <w:tcW w:w="1925" w:type="dxa"/>
            <w:tcBorders>
              <w:top w:val="nil"/>
              <w:left w:val="nil"/>
              <w:bottom w:val="nil"/>
              <w:right w:val="nil"/>
            </w:tcBorders>
            <w:shd w:val="clear" w:color="auto" w:fill="auto"/>
            <w:noWrap/>
            <w:vAlign w:val="bottom"/>
            <w:hideMark/>
          </w:tcPr>
          <w:p w14:paraId="5BBB81B6" w14:textId="77777777" w:rsidR="00B9311E" w:rsidRPr="00BD77D8" w:rsidRDefault="00B9311E" w:rsidP="00B9311E">
            <w:pPr>
              <w:spacing w:after="0" w:line="240" w:lineRule="auto"/>
              <w:rPr>
                <w:b/>
                <w:bCs/>
                <w:sz w:val="18"/>
                <w:szCs w:val="18"/>
              </w:rPr>
            </w:pPr>
          </w:p>
        </w:tc>
        <w:tc>
          <w:tcPr>
            <w:tcW w:w="1256" w:type="dxa"/>
            <w:tcBorders>
              <w:top w:val="single" w:sz="4" w:space="0" w:color="auto"/>
              <w:left w:val="nil"/>
              <w:bottom w:val="single" w:sz="4" w:space="0" w:color="auto"/>
              <w:right w:val="nil"/>
            </w:tcBorders>
            <w:shd w:val="clear" w:color="auto" w:fill="auto"/>
            <w:vAlign w:val="bottom"/>
            <w:hideMark/>
          </w:tcPr>
          <w:p w14:paraId="436C1010"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282" w:type="dxa"/>
            <w:tcBorders>
              <w:top w:val="single" w:sz="4" w:space="0" w:color="auto"/>
              <w:left w:val="nil"/>
              <w:bottom w:val="single" w:sz="4" w:space="0" w:color="auto"/>
              <w:right w:val="nil"/>
            </w:tcBorders>
            <w:shd w:val="clear" w:color="auto" w:fill="auto"/>
            <w:vAlign w:val="bottom"/>
            <w:hideMark/>
          </w:tcPr>
          <w:p w14:paraId="23B113B3"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1326" w:type="dxa"/>
            <w:tcBorders>
              <w:top w:val="single" w:sz="4" w:space="0" w:color="auto"/>
              <w:left w:val="nil"/>
              <w:bottom w:val="single" w:sz="4" w:space="0" w:color="auto"/>
              <w:right w:val="nil"/>
            </w:tcBorders>
            <w:shd w:val="clear" w:color="auto" w:fill="auto"/>
            <w:vAlign w:val="bottom"/>
            <w:hideMark/>
          </w:tcPr>
          <w:p w14:paraId="5B4D845B"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c>
          <w:tcPr>
            <w:tcW w:w="0" w:type="auto"/>
            <w:tcBorders>
              <w:top w:val="single" w:sz="4" w:space="0" w:color="auto"/>
              <w:left w:val="nil"/>
              <w:bottom w:val="single" w:sz="4" w:space="0" w:color="auto"/>
              <w:right w:val="nil"/>
            </w:tcBorders>
            <w:shd w:val="clear" w:color="auto" w:fill="auto"/>
            <w:vAlign w:val="bottom"/>
            <w:hideMark/>
          </w:tcPr>
          <w:p w14:paraId="47DB7817" w14:textId="77777777" w:rsidR="00B9311E" w:rsidRPr="00BD77D8" w:rsidRDefault="00B9311E" w:rsidP="00B9311E">
            <w:pPr>
              <w:spacing w:after="0" w:line="240" w:lineRule="auto"/>
              <w:jc w:val="right"/>
              <w:rPr>
                <w:b/>
                <w:bCs/>
                <w:sz w:val="18"/>
                <w:szCs w:val="18"/>
              </w:rPr>
            </w:pPr>
            <w:r w:rsidRPr="00BD77D8">
              <w:rPr>
                <w:b/>
                <w:bCs/>
                <w:sz w:val="18"/>
                <w:szCs w:val="18"/>
              </w:rPr>
              <w:t xml:space="preserve">        (11,478)</w:t>
            </w:r>
          </w:p>
        </w:tc>
      </w:tr>
    </w:tbl>
    <w:p w14:paraId="3FDA338F" w14:textId="77777777" w:rsidR="00B9311E" w:rsidRPr="00BD77D8" w:rsidRDefault="00B9311E" w:rsidP="00727CAE">
      <w:pPr>
        <w:tabs>
          <w:tab w:val="left" w:pos="360"/>
        </w:tabs>
        <w:spacing w:before="200" w:after="0" w:line="203" w:lineRule="exact"/>
        <w:textAlignment w:val="baseline"/>
        <w:rPr>
          <w:rFonts w:eastAsia="Arial"/>
          <w:b/>
          <w:bCs/>
          <w:sz w:val="16"/>
          <w:szCs w:val="16"/>
          <w:lang w:eastAsia="en-US"/>
        </w:rPr>
      </w:pPr>
      <w:r w:rsidRPr="00BD77D8">
        <w:rPr>
          <w:rFonts w:eastAsia="Arial"/>
          <w:sz w:val="16"/>
          <w:szCs w:val="16"/>
          <w:lang w:eastAsia="en-US"/>
        </w:rPr>
        <w:t>^ These figures represent budgeted figures as published in the 2021-22 Service Delivery Statement tabled in Parliament.</w:t>
      </w:r>
    </w:p>
    <w:p w14:paraId="30F8C7E5" w14:textId="77777777" w:rsidR="00B9311E" w:rsidRPr="00BD77D8" w:rsidRDefault="00B9311E" w:rsidP="00727CAE">
      <w:pPr>
        <w:tabs>
          <w:tab w:val="left" w:pos="360"/>
        </w:tabs>
        <w:spacing w:after="240" w:line="203" w:lineRule="exact"/>
        <w:textAlignment w:val="baseline"/>
        <w:rPr>
          <w:rFonts w:eastAsia="Arial"/>
          <w:sz w:val="16"/>
          <w:szCs w:val="16"/>
          <w:lang w:eastAsia="en-US"/>
        </w:rPr>
      </w:pPr>
      <w:r w:rsidRPr="00BD77D8">
        <w:rPr>
          <w:rFonts w:eastAsia="Arial"/>
          <w:sz w:val="16"/>
          <w:szCs w:val="16"/>
          <w:lang w:eastAsia="en-US"/>
        </w:rPr>
        <w:t>*  An explanation of major variances is included at Note G1-8.</w:t>
      </w:r>
    </w:p>
    <w:p w14:paraId="1341FD8A" w14:textId="77777777" w:rsidR="00B9311E" w:rsidRPr="00BD77D8" w:rsidRDefault="00B9311E" w:rsidP="00B9311E">
      <w:pPr>
        <w:pBdr>
          <w:bottom w:val="single" w:sz="4" w:space="1" w:color="auto"/>
        </w:pBdr>
        <w:tabs>
          <w:tab w:val="left" w:pos="360"/>
        </w:tabs>
        <w:spacing w:after="0" w:line="203" w:lineRule="exact"/>
        <w:textAlignment w:val="baseline"/>
        <w:rPr>
          <w:rFonts w:eastAsia="Arial"/>
          <w:sz w:val="18"/>
          <w:szCs w:val="18"/>
          <w:lang w:eastAsia="en-US"/>
        </w:rPr>
      </w:pPr>
    </w:p>
    <w:p w14:paraId="65A842E4" w14:textId="77777777" w:rsidR="00B9311E" w:rsidRPr="00BD77D8" w:rsidRDefault="00B9311E" w:rsidP="00C96182">
      <w:pPr>
        <w:spacing w:after="0"/>
        <w:rPr>
          <w:rFonts w:eastAsia="Arial"/>
          <w:b/>
          <w:bCs/>
          <w:sz w:val="20"/>
          <w:szCs w:val="20"/>
          <w:lang w:eastAsia="en-US"/>
        </w:rPr>
      </w:pPr>
      <w:bookmarkStart w:id="314" w:name="_Toc111494829"/>
      <w:bookmarkStart w:id="315" w:name="_Toc111540701"/>
      <w:bookmarkStart w:id="316" w:name="_Toc111559265"/>
      <w:bookmarkStart w:id="317" w:name="_Toc113196537"/>
      <w:bookmarkStart w:id="318" w:name="_Toc113196885"/>
      <w:bookmarkStart w:id="319" w:name="_Toc113262015"/>
      <w:bookmarkStart w:id="320" w:name="_Toc113349169"/>
      <w:bookmarkStart w:id="321" w:name="_Toc113358094"/>
      <w:r w:rsidRPr="00BD77D8">
        <w:rPr>
          <w:rFonts w:eastAsia="Arial"/>
          <w:b/>
          <w:bCs/>
          <w:sz w:val="20"/>
          <w:szCs w:val="20"/>
          <w:lang w:eastAsia="en-US"/>
        </w:rPr>
        <w:t>G1-2 Schedule of Administered Assets and Liabilities</w:t>
      </w:r>
      <w:bookmarkEnd w:id="314"/>
      <w:bookmarkEnd w:id="315"/>
      <w:bookmarkEnd w:id="316"/>
      <w:bookmarkEnd w:id="317"/>
      <w:bookmarkEnd w:id="318"/>
      <w:bookmarkEnd w:id="319"/>
      <w:bookmarkEnd w:id="320"/>
      <w:bookmarkEnd w:id="321"/>
    </w:p>
    <w:tbl>
      <w:tblPr>
        <w:tblW w:w="10256" w:type="dxa"/>
        <w:tblCellMar>
          <w:left w:w="0" w:type="dxa"/>
          <w:right w:w="0" w:type="dxa"/>
        </w:tblCellMar>
        <w:tblLook w:val="04A0" w:firstRow="1" w:lastRow="0" w:firstColumn="1" w:lastColumn="0" w:noHBand="0" w:noVBand="1"/>
      </w:tblPr>
      <w:tblGrid>
        <w:gridCol w:w="3158"/>
        <w:gridCol w:w="1881"/>
        <w:gridCol w:w="1338"/>
        <w:gridCol w:w="1356"/>
        <w:gridCol w:w="1259"/>
        <w:gridCol w:w="1264"/>
      </w:tblGrid>
      <w:tr w:rsidR="00BD77D8" w:rsidRPr="00BD77D8" w14:paraId="2AFFCB1E" w14:textId="77777777" w:rsidTr="003057FB">
        <w:trPr>
          <w:trHeight w:val="860"/>
        </w:trPr>
        <w:tc>
          <w:tcPr>
            <w:tcW w:w="0" w:type="auto"/>
            <w:tcBorders>
              <w:top w:val="nil"/>
              <w:left w:val="nil"/>
              <w:bottom w:val="nil"/>
              <w:right w:val="nil"/>
            </w:tcBorders>
            <w:shd w:val="clear" w:color="auto" w:fill="auto"/>
            <w:noWrap/>
            <w:vAlign w:val="bottom"/>
            <w:hideMark/>
          </w:tcPr>
          <w:p w14:paraId="031B01AB" w14:textId="77777777" w:rsidR="00B9311E" w:rsidRPr="00BD77D8" w:rsidRDefault="00B9311E" w:rsidP="00B9311E">
            <w:pPr>
              <w:spacing w:after="0" w:line="240" w:lineRule="auto"/>
              <w:rPr>
                <w:rFonts w:ascii="Times New Roman" w:hAnsi="Times New Roman" w:cs="Times New Roman"/>
                <w:sz w:val="24"/>
                <w:szCs w:val="24"/>
              </w:rPr>
            </w:pPr>
          </w:p>
        </w:tc>
        <w:tc>
          <w:tcPr>
            <w:tcW w:w="1865" w:type="dxa"/>
            <w:tcBorders>
              <w:top w:val="nil"/>
              <w:left w:val="nil"/>
              <w:bottom w:val="nil"/>
              <w:right w:val="nil"/>
            </w:tcBorders>
            <w:shd w:val="clear" w:color="auto" w:fill="auto"/>
            <w:noWrap/>
            <w:vAlign w:val="bottom"/>
            <w:hideMark/>
          </w:tcPr>
          <w:p w14:paraId="3E1BB29F" w14:textId="77777777" w:rsidR="00B9311E" w:rsidRPr="00BD77D8" w:rsidRDefault="00B9311E" w:rsidP="00B9311E">
            <w:pPr>
              <w:spacing w:after="0" w:line="240" w:lineRule="auto"/>
              <w:jc w:val="center"/>
              <w:rPr>
                <w:b/>
                <w:bCs/>
                <w:sz w:val="18"/>
                <w:szCs w:val="18"/>
              </w:rPr>
            </w:pPr>
            <w:r w:rsidRPr="00BD77D8">
              <w:rPr>
                <w:b/>
                <w:bCs/>
                <w:sz w:val="18"/>
                <w:szCs w:val="18"/>
              </w:rPr>
              <w:t xml:space="preserve"> Note </w:t>
            </w:r>
          </w:p>
        </w:tc>
        <w:tc>
          <w:tcPr>
            <w:tcW w:w="1322" w:type="dxa"/>
            <w:tcBorders>
              <w:top w:val="nil"/>
              <w:left w:val="nil"/>
              <w:bottom w:val="nil"/>
              <w:right w:val="nil"/>
            </w:tcBorders>
            <w:shd w:val="clear" w:color="auto" w:fill="auto"/>
            <w:vAlign w:val="bottom"/>
            <w:hideMark/>
          </w:tcPr>
          <w:p w14:paraId="47A04BC4" w14:textId="77777777" w:rsidR="00B9311E" w:rsidRPr="00BD77D8" w:rsidRDefault="00B9311E" w:rsidP="00B9311E">
            <w:pPr>
              <w:spacing w:after="0" w:line="240" w:lineRule="auto"/>
              <w:jc w:val="right"/>
              <w:rPr>
                <w:b/>
                <w:bCs/>
                <w:sz w:val="18"/>
                <w:szCs w:val="18"/>
              </w:rPr>
            </w:pPr>
            <w:r w:rsidRPr="00BD77D8">
              <w:rPr>
                <w:b/>
                <w:bCs/>
                <w:sz w:val="18"/>
                <w:szCs w:val="18"/>
              </w:rPr>
              <w:t>Actual</w:t>
            </w:r>
            <w:r w:rsidRPr="00BD77D8">
              <w:rPr>
                <w:b/>
                <w:bCs/>
                <w:sz w:val="18"/>
                <w:szCs w:val="18"/>
              </w:rPr>
              <w:br/>
              <w:t xml:space="preserve">2022 </w:t>
            </w:r>
          </w:p>
        </w:tc>
        <w:tc>
          <w:tcPr>
            <w:tcW w:w="1340" w:type="dxa"/>
            <w:tcBorders>
              <w:top w:val="nil"/>
              <w:left w:val="nil"/>
              <w:bottom w:val="nil"/>
              <w:right w:val="nil"/>
            </w:tcBorders>
            <w:shd w:val="clear" w:color="auto" w:fill="auto"/>
            <w:vAlign w:val="bottom"/>
            <w:hideMark/>
          </w:tcPr>
          <w:p w14:paraId="6B876C0D" w14:textId="77777777" w:rsidR="00B9311E" w:rsidRPr="00BD77D8" w:rsidRDefault="00B9311E" w:rsidP="00B9311E">
            <w:pPr>
              <w:spacing w:after="0" w:line="240" w:lineRule="auto"/>
              <w:jc w:val="right"/>
              <w:rPr>
                <w:b/>
                <w:bCs/>
                <w:sz w:val="18"/>
                <w:szCs w:val="18"/>
              </w:rPr>
            </w:pPr>
            <w:r w:rsidRPr="00BD77D8">
              <w:rPr>
                <w:b/>
                <w:bCs/>
                <w:sz w:val="18"/>
                <w:szCs w:val="18"/>
              </w:rPr>
              <w:t xml:space="preserve"> Original Budget^</w:t>
            </w:r>
            <w:r w:rsidRPr="00BD77D8">
              <w:rPr>
                <w:b/>
                <w:bCs/>
                <w:sz w:val="18"/>
                <w:szCs w:val="18"/>
              </w:rPr>
              <w:br/>
              <w:t xml:space="preserve">2022  </w:t>
            </w:r>
          </w:p>
        </w:tc>
        <w:tc>
          <w:tcPr>
            <w:tcW w:w="1243" w:type="dxa"/>
            <w:tcBorders>
              <w:top w:val="nil"/>
              <w:left w:val="nil"/>
              <w:bottom w:val="nil"/>
              <w:right w:val="nil"/>
            </w:tcBorders>
            <w:shd w:val="clear" w:color="auto" w:fill="auto"/>
            <w:vAlign w:val="bottom"/>
            <w:hideMark/>
          </w:tcPr>
          <w:p w14:paraId="4549245C" w14:textId="77777777" w:rsidR="00B9311E" w:rsidRPr="00BD77D8" w:rsidRDefault="00B9311E" w:rsidP="00B9311E">
            <w:pPr>
              <w:spacing w:after="0" w:line="240" w:lineRule="auto"/>
              <w:jc w:val="right"/>
              <w:rPr>
                <w:b/>
                <w:bCs/>
                <w:sz w:val="18"/>
                <w:szCs w:val="18"/>
              </w:rPr>
            </w:pPr>
            <w:r w:rsidRPr="00BD77D8">
              <w:rPr>
                <w:b/>
                <w:bCs/>
                <w:sz w:val="18"/>
                <w:szCs w:val="18"/>
              </w:rPr>
              <w:t xml:space="preserve"> Budget Variance*</w:t>
            </w:r>
            <w:r w:rsidRPr="00BD77D8">
              <w:rPr>
                <w:b/>
                <w:bCs/>
                <w:sz w:val="18"/>
                <w:szCs w:val="18"/>
              </w:rPr>
              <w:br/>
              <w:t xml:space="preserve">2022  </w:t>
            </w:r>
          </w:p>
        </w:tc>
        <w:tc>
          <w:tcPr>
            <w:tcW w:w="1248" w:type="dxa"/>
            <w:tcBorders>
              <w:top w:val="nil"/>
              <w:left w:val="nil"/>
              <w:bottom w:val="nil"/>
              <w:right w:val="nil"/>
            </w:tcBorders>
            <w:shd w:val="clear" w:color="auto" w:fill="auto"/>
            <w:vAlign w:val="bottom"/>
            <w:hideMark/>
          </w:tcPr>
          <w:p w14:paraId="2204BE28" w14:textId="77777777" w:rsidR="00B9311E" w:rsidRPr="00BD77D8" w:rsidRDefault="00B9311E" w:rsidP="00B9311E">
            <w:pPr>
              <w:spacing w:after="0" w:line="240" w:lineRule="auto"/>
              <w:jc w:val="right"/>
              <w:rPr>
                <w:b/>
                <w:bCs/>
                <w:sz w:val="18"/>
                <w:szCs w:val="18"/>
              </w:rPr>
            </w:pPr>
            <w:r w:rsidRPr="00BD77D8">
              <w:rPr>
                <w:b/>
                <w:bCs/>
                <w:sz w:val="18"/>
                <w:szCs w:val="18"/>
              </w:rPr>
              <w:t xml:space="preserve"> Actual</w:t>
            </w:r>
            <w:r w:rsidRPr="00BD77D8">
              <w:rPr>
                <w:b/>
                <w:bCs/>
                <w:sz w:val="18"/>
                <w:szCs w:val="18"/>
              </w:rPr>
              <w:br/>
              <w:t xml:space="preserve">2021 </w:t>
            </w:r>
          </w:p>
        </w:tc>
      </w:tr>
      <w:tr w:rsidR="00BD77D8" w:rsidRPr="00BD77D8" w14:paraId="3EDCF6BE" w14:textId="77777777" w:rsidTr="003057FB">
        <w:trPr>
          <w:trHeight w:val="304"/>
        </w:trPr>
        <w:tc>
          <w:tcPr>
            <w:tcW w:w="0" w:type="auto"/>
            <w:tcBorders>
              <w:top w:val="nil"/>
              <w:left w:val="nil"/>
              <w:bottom w:val="single" w:sz="4" w:space="0" w:color="auto"/>
              <w:right w:val="nil"/>
            </w:tcBorders>
            <w:shd w:val="clear" w:color="auto" w:fill="auto"/>
            <w:noWrap/>
            <w:vAlign w:val="bottom"/>
            <w:hideMark/>
          </w:tcPr>
          <w:p w14:paraId="321FF56C" w14:textId="77777777" w:rsidR="00B9311E" w:rsidRPr="00BD77D8" w:rsidRDefault="00B9311E" w:rsidP="00B9311E">
            <w:pPr>
              <w:spacing w:after="0" w:line="240" w:lineRule="auto"/>
              <w:rPr>
                <w:sz w:val="18"/>
                <w:szCs w:val="18"/>
              </w:rPr>
            </w:pPr>
            <w:r w:rsidRPr="00BD77D8">
              <w:rPr>
                <w:sz w:val="18"/>
                <w:szCs w:val="18"/>
              </w:rPr>
              <w:t> </w:t>
            </w:r>
          </w:p>
        </w:tc>
        <w:tc>
          <w:tcPr>
            <w:tcW w:w="1865" w:type="dxa"/>
            <w:tcBorders>
              <w:top w:val="nil"/>
              <w:left w:val="nil"/>
              <w:bottom w:val="single" w:sz="4" w:space="0" w:color="auto"/>
              <w:right w:val="nil"/>
            </w:tcBorders>
            <w:shd w:val="clear" w:color="auto" w:fill="auto"/>
            <w:noWrap/>
            <w:vAlign w:val="bottom"/>
            <w:hideMark/>
          </w:tcPr>
          <w:p w14:paraId="0F16FA91" w14:textId="77777777" w:rsidR="00B9311E" w:rsidRPr="00BD77D8" w:rsidRDefault="00B9311E" w:rsidP="00B9311E">
            <w:pPr>
              <w:spacing w:after="0" w:line="240" w:lineRule="auto"/>
              <w:jc w:val="center"/>
              <w:rPr>
                <w:b/>
                <w:bCs/>
                <w:sz w:val="18"/>
                <w:szCs w:val="18"/>
              </w:rPr>
            </w:pPr>
            <w:r w:rsidRPr="00BD77D8">
              <w:rPr>
                <w:b/>
                <w:bCs/>
                <w:sz w:val="18"/>
                <w:szCs w:val="18"/>
              </w:rPr>
              <w:t> </w:t>
            </w:r>
          </w:p>
        </w:tc>
        <w:tc>
          <w:tcPr>
            <w:tcW w:w="1322" w:type="dxa"/>
            <w:tcBorders>
              <w:top w:val="nil"/>
              <w:left w:val="nil"/>
              <w:bottom w:val="single" w:sz="4" w:space="0" w:color="auto"/>
              <w:right w:val="nil"/>
            </w:tcBorders>
            <w:shd w:val="clear" w:color="auto" w:fill="auto"/>
            <w:vAlign w:val="bottom"/>
            <w:hideMark/>
          </w:tcPr>
          <w:p w14:paraId="7F974757"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340" w:type="dxa"/>
            <w:tcBorders>
              <w:top w:val="nil"/>
              <w:left w:val="nil"/>
              <w:bottom w:val="single" w:sz="4" w:space="0" w:color="auto"/>
              <w:right w:val="nil"/>
            </w:tcBorders>
            <w:shd w:val="clear" w:color="auto" w:fill="auto"/>
            <w:vAlign w:val="bottom"/>
            <w:hideMark/>
          </w:tcPr>
          <w:p w14:paraId="6998DD6C"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243" w:type="dxa"/>
            <w:tcBorders>
              <w:top w:val="nil"/>
              <w:left w:val="nil"/>
              <w:bottom w:val="single" w:sz="4" w:space="0" w:color="auto"/>
              <w:right w:val="nil"/>
            </w:tcBorders>
            <w:shd w:val="clear" w:color="auto" w:fill="auto"/>
            <w:vAlign w:val="bottom"/>
            <w:hideMark/>
          </w:tcPr>
          <w:p w14:paraId="28736C26"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248" w:type="dxa"/>
            <w:tcBorders>
              <w:top w:val="nil"/>
              <w:left w:val="nil"/>
              <w:bottom w:val="single" w:sz="4" w:space="0" w:color="auto"/>
              <w:right w:val="nil"/>
            </w:tcBorders>
            <w:shd w:val="clear" w:color="auto" w:fill="auto"/>
            <w:vAlign w:val="bottom"/>
            <w:hideMark/>
          </w:tcPr>
          <w:p w14:paraId="6F08C791"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4DA81934" w14:textId="77777777" w:rsidTr="003057FB">
        <w:trPr>
          <w:trHeight w:val="304"/>
        </w:trPr>
        <w:tc>
          <w:tcPr>
            <w:tcW w:w="0" w:type="auto"/>
            <w:tcBorders>
              <w:top w:val="nil"/>
              <w:left w:val="nil"/>
              <w:bottom w:val="nil"/>
              <w:right w:val="nil"/>
            </w:tcBorders>
            <w:shd w:val="clear" w:color="auto" w:fill="auto"/>
            <w:noWrap/>
            <w:vAlign w:val="bottom"/>
            <w:hideMark/>
          </w:tcPr>
          <w:p w14:paraId="3DF2B49C" w14:textId="77777777" w:rsidR="00B9311E" w:rsidRPr="00BD77D8" w:rsidRDefault="00B9311E" w:rsidP="00B9311E">
            <w:pPr>
              <w:spacing w:after="0" w:line="240" w:lineRule="auto"/>
              <w:rPr>
                <w:b/>
                <w:bCs/>
                <w:sz w:val="18"/>
                <w:szCs w:val="18"/>
              </w:rPr>
            </w:pPr>
            <w:r w:rsidRPr="00BD77D8">
              <w:rPr>
                <w:b/>
                <w:bCs/>
                <w:sz w:val="18"/>
                <w:szCs w:val="18"/>
              </w:rPr>
              <w:t xml:space="preserve"> Administered assets </w:t>
            </w:r>
          </w:p>
        </w:tc>
        <w:tc>
          <w:tcPr>
            <w:tcW w:w="1865" w:type="dxa"/>
            <w:tcBorders>
              <w:top w:val="nil"/>
              <w:left w:val="nil"/>
              <w:bottom w:val="nil"/>
              <w:right w:val="nil"/>
            </w:tcBorders>
            <w:shd w:val="clear" w:color="auto" w:fill="auto"/>
            <w:noWrap/>
            <w:vAlign w:val="bottom"/>
            <w:hideMark/>
          </w:tcPr>
          <w:p w14:paraId="2307997E" w14:textId="77777777" w:rsidR="00B9311E" w:rsidRPr="00BD77D8" w:rsidRDefault="00B9311E" w:rsidP="00B9311E">
            <w:pPr>
              <w:spacing w:after="0" w:line="240" w:lineRule="auto"/>
              <w:rPr>
                <w:b/>
                <w:bCs/>
                <w:sz w:val="18"/>
                <w:szCs w:val="18"/>
              </w:rPr>
            </w:pPr>
          </w:p>
        </w:tc>
        <w:tc>
          <w:tcPr>
            <w:tcW w:w="1322" w:type="dxa"/>
            <w:tcBorders>
              <w:top w:val="nil"/>
              <w:left w:val="nil"/>
              <w:bottom w:val="nil"/>
              <w:right w:val="nil"/>
            </w:tcBorders>
            <w:shd w:val="clear" w:color="auto" w:fill="auto"/>
            <w:noWrap/>
            <w:vAlign w:val="bottom"/>
            <w:hideMark/>
          </w:tcPr>
          <w:p w14:paraId="759841EC"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340" w:type="dxa"/>
            <w:tcBorders>
              <w:top w:val="nil"/>
              <w:left w:val="nil"/>
              <w:bottom w:val="nil"/>
              <w:right w:val="nil"/>
            </w:tcBorders>
            <w:shd w:val="clear" w:color="auto" w:fill="auto"/>
            <w:noWrap/>
            <w:vAlign w:val="bottom"/>
            <w:hideMark/>
          </w:tcPr>
          <w:p w14:paraId="6D26020D"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43" w:type="dxa"/>
            <w:tcBorders>
              <w:top w:val="nil"/>
              <w:left w:val="nil"/>
              <w:bottom w:val="nil"/>
              <w:right w:val="nil"/>
            </w:tcBorders>
            <w:shd w:val="clear" w:color="auto" w:fill="auto"/>
            <w:noWrap/>
            <w:vAlign w:val="bottom"/>
            <w:hideMark/>
          </w:tcPr>
          <w:p w14:paraId="6629AEB9"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248" w:type="dxa"/>
            <w:tcBorders>
              <w:top w:val="nil"/>
              <w:left w:val="nil"/>
              <w:bottom w:val="nil"/>
              <w:right w:val="nil"/>
            </w:tcBorders>
            <w:shd w:val="clear" w:color="auto" w:fill="auto"/>
            <w:noWrap/>
            <w:vAlign w:val="bottom"/>
            <w:hideMark/>
          </w:tcPr>
          <w:p w14:paraId="6820CEBD" w14:textId="77777777" w:rsidR="00B9311E" w:rsidRPr="00BD77D8" w:rsidRDefault="00B9311E" w:rsidP="00B9311E">
            <w:pPr>
              <w:spacing w:after="0" w:line="240" w:lineRule="auto"/>
              <w:jc w:val="center"/>
              <w:rPr>
                <w:rFonts w:ascii="Times New Roman" w:hAnsi="Times New Roman" w:cs="Times New Roman"/>
                <w:b/>
                <w:bCs/>
                <w:sz w:val="20"/>
                <w:szCs w:val="20"/>
              </w:rPr>
            </w:pPr>
          </w:p>
        </w:tc>
      </w:tr>
      <w:tr w:rsidR="00BD77D8" w:rsidRPr="00BD77D8" w14:paraId="290B8D9C" w14:textId="77777777" w:rsidTr="003057FB">
        <w:trPr>
          <w:trHeight w:val="304"/>
        </w:trPr>
        <w:tc>
          <w:tcPr>
            <w:tcW w:w="0" w:type="auto"/>
            <w:tcBorders>
              <w:top w:val="nil"/>
              <w:left w:val="nil"/>
              <w:bottom w:val="nil"/>
              <w:right w:val="nil"/>
            </w:tcBorders>
            <w:shd w:val="clear" w:color="auto" w:fill="auto"/>
            <w:noWrap/>
            <w:vAlign w:val="bottom"/>
            <w:hideMark/>
          </w:tcPr>
          <w:p w14:paraId="44DBB2FC" w14:textId="77777777" w:rsidR="00B9311E" w:rsidRPr="00BD77D8" w:rsidRDefault="00B9311E" w:rsidP="00B9311E">
            <w:pPr>
              <w:spacing w:after="0" w:line="240" w:lineRule="auto"/>
              <w:rPr>
                <w:b/>
                <w:bCs/>
                <w:sz w:val="18"/>
                <w:szCs w:val="18"/>
              </w:rPr>
            </w:pPr>
            <w:r w:rsidRPr="00BD77D8">
              <w:rPr>
                <w:i/>
                <w:iCs/>
                <w:sz w:val="18"/>
                <w:szCs w:val="18"/>
              </w:rPr>
              <w:t xml:space="preserve"> </w:t>
            </w:r>
            <w:r w:rsidRPr="00BD77D8">
              <w:rPr>
                <w:b/>
                <w:bCs/>
                <w:sz w:val="18"/>
                <w:szCs w:val="18"/>
              </w:rPr>
              <w:t xml:space="preserve">Current </w:t>
            </w:r>
          </w:p>
        </w:tc>
        <w:tc>
          <w:tcPr>
            <w:tcW w:w="1865" w:type="dxa"/>
            <w:tcBorders>
              <w:top w:val="nil"/>
              <w:left w:val="nil"/>
              <w:bottom w:val="nil"/>
              <w:right w:val="nil"/>
            </w:tcBorders>
            <w:shd w:val="clear" w:color="auto" w:fill="auto"/>
            <w:noWrap/>
            <w:vAlign w:val="bottom"/>
            <w:hideMark/>
          </w:tcPr>
          <w:p w14:paraId="3B6E583F" w14:textId="77777777" w:rsidR="00B9311E" w:rsidRPr="00BD77D8" w:rsidRDefault="00B9311E" w:rsidP="00B9311E">
            <w:pPr>
              <w:spacing w:after="0" w:line="240" w:lineRule="auto"/>
              <w:rPr>
                <w:i/>
                <w:iCs/>
                <w:sz w:val="18"/>
                <w:szCs w:val="18"/>
              </w:rPr>
            </w:pPr>
          </w:p>
        </w:tc>
        <w:tc>
          <w:tcPr>
            <w:tcW w:w="1322" w:type="dxa"/>
            <w:tcBorders>
              <w:top w:val="nil"/>
              <w:left w:val="nil"/>
              <w:bottom w:val="nil"/>
              <w:right w:val="nil"/>
            </w:tcBorders>
            <w:shd w:val="clear" w:color="auto" w:fill="auto"/>
            <w:noWrap/>
            <w:vAlign w:val="bottom"/>
            <w:hideMark/>
          </w:tcPr>
          <w:p w14:paraId="133C358B"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340" w:type="dxa"/>
            <w:tcBorders>
              <w:top w:val="nil"/>
              <w:left w:val="nil"/>
              <w:bottom w:val="nil"/>
              <w:right w:val="nil"/>
            </w:tcBorders>
            <w:shd w:val="clear" w:color="auto" w:fill="auto"/>
            <w:noWrap/>
            <w:vAlign w:val="bottom"/>
            <w:hideMark/>
          </w:tcPr>
          <w:p w14:paraId="07DEC202"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07C57629"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14:paraId="3D52B58C" w14:textId="77777777" w:rsidR="00B9311E" w:rsidRPr="00BD77D8" w:rsidRDefault="00B9311E" w:rsidP="00B9311E">
            <w:pPr>
              <w:spacing w:after="0" w:line="240" w:lineRule="auto"/>
              <w:jc w:val="center"/>
              <w:rPr>
                <w:rFonts w:ascii="Times New Roman" w:hAnsi="Times New Roman" w:cs="Times New Roman"/>
                <w:sz w:val="20"/>
                <w:szCs w:val="20"/>
              </w:rPr>
            </w:pPr>
          </w:p>
        </w:tc>
      </w:tr>
      <w:tr w:rsidR="00BD77D8" w:rsidRPr="00BD77D8" w14:paraId="24F8BE65" w14:textId="77777777" w:rsidTr="003057FB">
        <w:trPr>
          <w:trHeight w:val="304"/>
        </w:trPr>
        <w:tc>
          <w:tcPr>
            <w:tcW w:w="0" w:type="auto"/>
            <w:tcBorders>
              <w:top w:val="nil"/>
              <w:left w:val="nil"/>
              <w:bottom w:val="nil"/>
              <w:right w:val="nil"/>
            </w:tcBorders>
            <w:shd w:val="clear" w:color="auto" w:fill="auto"/>
            <w:noWrap/>
            <w:vAlign w:val="bottom"/>
            <w:hideMark/>
          </w:tcPr>
          <w:p w14:paraId="3B4453AB"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Cash and cash equivalents </w:t>
            </w:r>
          </w:p>
        </w:tc>
        <w:tc>
          <w:tcPr>
            <w:tcW w:w="1865" w:type="dxa"/>
            <w:tcBorders>
              <w:top w:val="nil"/>
              <w:left w:val="nil"/>
              <w:bottom w:val="nil"/>
              <w:right w:val="nil"/>
            </w:tcBorders>
            <w:shd w:val="clear" w:color="auto" w:fill="auto"/>
            <w:noWrap/>
            <w:vAlign w:val="bottom"/>
            <w:hideMark/>
          </w:tcPr>
          <w:p w14:paraId="474A913A" w14:textId="77777777" w:rsidR="00B9311E" w:rsidRPr="00BD77D8" w:rsidRDefault="00B9311E" w:rsidP="00B9311E">
            <w:pPr>
              <w:spacing w:after="0" w:line="240" w:lineRule="auto"/>
              <w:ind w:firstLineChars="100" w:firstLine="180"/>
              <w:rPr>
                <w:sz w:val="18"/>
                <w:szCs w:val="18"/>
              </w:rPr>
            </w:pPr>
          </w:p>
        </w:tc>
        <w:tc>
          <w:tcPr>
            <w:tcW w:w="1322" w:type="dxa"/>
            <w:tcBorders>
              <w:top w:val="nil"/>
              <w:left w:val="nil"/>
              <w:bottom w:val="nil"/>
              <w:right w:val="nil"/>
            </w:tcBorders>
            <w:shd w:val="clear" w:color="auto" w:fill="auto"/>
            <w:vAlign w:val="bottom"/>
            <w:hideMark/>
          </w:tcPr>
          <w:p w14:paraId="12B22A33" w14:textId="77777777" w:rsidR="00B9311E" w:rsidRPr="00BD77D8" w:rsidRDefault="00B9311E" w:rsidP="00B9311E">
            <w:pPr>
              <w:spacing w:after="0" w:line="240" w:lineRule="auto"/>
              <w:jc w:val="right"/>
              <w:rPr>
                <w:b/>
                <w:bCs/>
                <w:sz w:val="18"/>
                <w:szCs w:val="18"/>
              </w:rPr>
            </w:pPr>
            <w:r w:rsidRPr="00BD77D8">
              <w:rPr>
                <w:b/>
                <w:bCs/>
                <w:sz w:val="18"/>
                <w:szCs w:val="18"/>
              </w:rPr>
              <w:t xml:space="preserve">      54,365 </w:t>
            </w:r>
          </w:p>
        </w:tc>
        <w:tc>
          <w:tcPr>
            <w:tcW w:w="1340" w:type="dxa"/>
            <w:tcBorders>
              <w:top w:val="nil"/>
              <w:left w:val="nil"/>
              <w:bottom w:val="nil"/>
              <w:right w:val="nil"/>
            </w:tcBorders>
            <w:shd w:val="clear" w:color="auto" w:fill="auto"/>
            <w:vAlign w:val="bottom"/>
            <w:hideMark/>
          </w:tcPr>
          <w:p w14:paraId="5809AEFB" w14:textId="77777777" w:rsidR="00B9311E" w:rsidRPr="00BD77D8" w:rsidRDefault="00B9311E" w:rsidP="00B9311E">
            <w:pPr>
              <w:spacing w:after="0" w:line="240" w:lineRule="auto"/>
              <w:jc w:val="right"/>
              <w:rPr>
                <w:sz w:val="18"/>
                <w:szCs w:val="18"/>
              </w:rPr>
            </w:pPr>
            <w:r w:rsidRPr="00BD77D8">
              <w:rPr>
                <w:sz w:val="18"/>
                <w:szCs w:val="18"/>
              </w:rPr>
              <w:t xml:space="preserve">     210,531 </w:t>
            </w:r>
          </w:p>
        </w:tc>
        <w:tc>
          <w:tcPr>
            <w:tcW w:w="1243" w:type="dxa"/>
            <w:tcBorders>
              <w:top w:val="nil"/>
              <w:left w:val="nil"/>
              <w:bottom w:val="nil"/>
              <w:right w:val="nil"/>
            </w:tcBorders>
            <w:shd w:val="clear" w:color="auto" w:fill="auto"/>
            <w:vAlign w:val="bottom"/>
            <w:hideMark/>
          </w:tcPr>
          <w:p w14:paraId="068AC5D4" w14:textId="77777777" w:rsidR="00B9311E" w:rsidRPr="00BD77D8" w:rsidRDefault="00B9311E" w:rsidP="00B9311E">
            <w:pPr>
              <w:spacing w:after="0" w:line="240" w:lineRule="auto"/>
              <w:jc w:val="right"/>
              <w:rPr>
                <w:sz w:val="18"/>
                <w:szCs w:val="18"/>
              </w:rPr>
            </w:pPr>
            <w:r w:rsidRPr="00BD77D8">
              <w:rPr>
                <w:sz w:val="18"/>
                <w:szCs w:val="18"/>
              </w:rPr>
              <w:t xml:space="preserve">     (156,166) </w:t>
            </w:r>
          </w:p>
        </w:tc>
        <w:tc>
          <w:tcPr>
            <w:tcW w:w="1248" w:type="dxa"/>
            <w:tcBorders>
              <w:top w:val="nil"/>
              <w:left w:val="nil"/>
              <w:bottom w:val="nil"/>
              <w:right w:val="nil"/>
            </w:tcBorders>
            <w:shd w:val="clear" w:color="auto" w:fill="auto"/>
            <w:vAlign w:val="bottom"/>
            <w:hideMark/>
          </w:tcPr>
          <w:p w14:paraId="14D4060C" w14:textId="77777777" w:rsidR="00B9311E" w:rsidRPr="00BD77D8" w:rsidRDefault="00B9311E" w:rsidP="00B9311E">
            <w:pPr>
              <w:spacing w:after="0" w:line="240" w:lineRule="auto"/>
              <w:jc w:val="right"/>
              <w:rPr>
                <w:sz w:val="18"/>
                <w:szCs w:val="18"/>
              </w:rPr>
            </w:pPr>
            <w:r w:rsidRPr="00BD77D8">
              <w:rPr>
                <w:sz w:val="18"/>
                <w:szCs w:val="18"/>
              </w:rPr>
              <w:t xml:space="preserve">    44,315 </w:t>
            </w:r>
          </w:p>
        </w:tc>
      </w:tr>
      <w:tr w:rsidR="00BD77D8" w:rsidRPr="00BD77D8" w14:paraId="0752447D" w14:textId="77777777" w:rsidTr="003057FB">
        <w:trPr>
          <w:trHeight w:val="304"/>
        </w:trPr>
        <w:tc>
          <w:tcPr>
            <w:tcW w:w="0" w:type="auto"/>
            <w:tcBorders>
              <w:top w:val="nil"/>
              <w:left w:val="nil"/>
              <w:bottom w:val="nil"/>
              <w:right w:val="nil"/>
            </w:tcBorders>
            <w:shd w:val="clear" w:color="auto" w:fill="auto"/>
            <w:noWrap/>
            <w:vAlign w:val="bottom"/>
            <w:hideMark/>
          </w:tcPr>
          <w:p w14:paraId="75ACFFD4"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Receivables </w:t>
            </w:r>
          </w:p>
        </w:tc>
        <w:tc>
          <w:tcPr>
            <w:tcW w:w="1865" w:type="dxa"/>
            <w:tcBorders>
              <w:top w:val="nil"/>
              <w:left w:val="nil"/>
              <w:bottom w:val="nil"/>
              <w:right w:val="nil"/>
            </w:tcBorders>
            <w:shd w:val="clear" w:color="auto" w:fill="auto"/>
            <w:noWrap/>
            <w:vAlign w:val="bottom"/>
            <w:hideMark/>
          </w:tcPr>
          <w:p w14:paraId="08DF71BD" w14:textId="77777777" w:rsidR="00B9311E" w:rsidRPr="00BD77D8" w:rsidRDefault="0028582B" w:rsidP="00B9311E">
            <w:pPr>
              <w:spacing w:after="0" w:line="240" w:lineRule="auto"/>
              <w:jc w:val="center"/>
              <w:rPr>
                <w:rFonts w:eastAsia="PMingLiU"/>
                <w:b/>
                <w:bCs/>
                <w:sz w:val="18"/>
                <w:szCs w:val="22"/>
                <w:lang w:eastAsia="en-US"/>
              </w:rPr>
            </w:pPr>
            <w:hyperlink r:id="rId25" w:anchor="'Note G1-5'!A5" w:history="1">
              <w:r w:rsidR="00B9311E" w:rsidRPr="00BD77D8">
                <w:rPr>
                  <w:rFonts w:eastAsia="PMingLiU"/>
                  <w:b/>
                  <w:bCs/>
                  <w:sz w:val="18"/>
                  <w:szCs w:val="22"/>
                  <w:lang w:eastAsia="en-US"/>
                </w:rPr>
                <w:t>G1-7</w:t>
              </w:r>
            </w:hyperlink>
          </w:p>
        </w:tc>
        <w:tc>
          <w:tcPr>
            <w:tcW w:w="1322" w:type="dxa"/>
            <w:tcBorders>
              <w:top w:val="nil"/>
              <w:left w:val="nil"/>
              <w:bottom w:val="nil"/>
              <w:right w:val="nil"/>
            </w:tcBorders>
            <w:shd w:val="clear" w:color="auto" w:fill="auto"/>
            <w:vAlign w:val="bottom"/>
            <w:hideMark/>
          </w:tcPr>
          <w:p w14:paraId="7F1B0DBD" w14:textId="77777777" w:rsidR="00B9311E" w:rsidRPr="00BD77D8" w:rsidRDefault="00B9311E" w:rsidP="00B9311E">
            <w:pPr>
              <w:spacing w:after="0" w:line="240" w:lineRule="auto"/>
              <w:jc w:val="right"/>
              <w:rPr>
                <w:b/>
                <w:bCs/>
                <w:sz w:val="18"/>
                <w:szCs w:val="18"/>
              </w:rPr>
            </w:pPr>
            <w:r w:rsidRPr="00BD77D8">
              <w:rPr>
                <w:b/>
                <w:bCs/>
                <w:sz w:val="18"/>
                <w:szCs w:val="18"/>
              </w:rPr>
              <w:t xml:space="preserve">        1,770 </w:t>
            </w:r>
          </w:p>
        </w:tc>
        <w:tc>
          <w:tcPr>
            <w:tcW w:w="1340" w:type="dxa"/>
            <w:tcBorders>
              <w:top w:val="nil"/>
              <w:left w:val="nil"/>
              <w:bottom w:val="nil"/>
              <w:right w:val="nil"/>
            </w:tcBorders>
            <w:shd w:val="clear" w:color="auto" w:fill="auto"/>
            <w:vAlign w:val="bottom"/>
            <w:hideMark/>
          </w:tcPr>
          <w:p w14:paraId="4BEB00B3" w14:textId="77777777" w:rsidR="00B9311E" w:rsidRPr="00BD77D8" w:rsidRDefault="00B9311E" w:rsidP="00B9311E">
            <w:pPr>
              <w:spacing w:after="0" w:line="240" w:lineRule="auto"/>
              <w:jc w:val="right"/>
              <w:rPr>
                <w:sz w:val="18"/>
                <w:szCs w:val="18"/>
              </w:rPr>
            </w:pPr>
            <w:r w:rsidRPr="00BD77D8">
              <w:rPr>
                <w:sz w:val="18"/>
                <w:szCs w:val="18"/>
              </w:rPr>
              <w:t xml:space="preserve">        23,888 </w:t>
            </w:r>
          </w:p>
        </w:tc>
        <w:tc>
          <w:tcPr>
            <w:tcW w:w="1243" w:type="dxa"/>
            <w:tcBorders>
              <w:top w:val="nil"/>
              <w:left w:val="nil"/>
              <w:bottom w:val="nil"/>
              <w:right w:val="nil"/>
            </w:tcBorders>
            <w:shd w:val="clear" w:color="auto" w:fill="auto"/>
            <w:vAlign w:val="bottom"/>
            <w:hideMark/>
          </w:tcPr>
          <w:p w14:paraId="1186A261" w14:textId="77777777" w:rsidR="00B9311E" w:rsidRPr="00BD77D8" w:rsidRDefault="00B9311E" w:rsidP="00B9311E">
            <w:pPr>
              <w:spacing w:after="0" w:line="240" w:lineRule="auto"/>
              <w:jc w:val="right"/>
              <w:rPr>
                <w:sz w:val="18"/>
                <w:szCs w:val="18"/>
              </w:rPr>
            </w:pPr>
            <w:r w:rsidRPr="00BD77D8">
              <w:rPr>
                <w:sz w:val="18"/>
                <w:szCs w:val="18"/>
              </w:rPr>
              <w:t xml:space="preserve">        (22,118) </w:t>
            </w:r>
          </w:p>
        </w:tc>
        <w:tc>
          <w:tcPr>
            <w:tcW w:w="1248" w:type="dxa"/>
            <w:tcBorders>
              <w:top w:val="nil"/>
              <w:left w:val="nil"/>
              <w:bottom w:val="nil"/>
              <w:right w:val="nil"/>
            </w:tcBorders>
            <w:shd w:val="clear" w:color="auto" w:fill="auto"/>
            <w:vAlign w:val="bottom"/>
            <w:hideMark/>
          </w:tcPr>
          <w:p w14:paraId="7510246C" w14:textId="77777777" w:rsidR="00B9311E" w:rsidRPr="00BD77D8" w:rsidRDefault="00B9311E" w:rsidP="00B9311E">
            <w:pPr>
              <w:spacing w:after="0" w:line="240" w:lineRule="auto"/>
              <w:jc w:val="right"/>
              <w:rPr>
                <w:sz w:val="18"/>
                <w:szCs w:val="18"/>
              </w:rPr>
            </w:pPr>
            <w:r w:rsidRPr="00BD77D8">
              <w:rPr>
                <w:sz w:val="18"/>
                <w:szCs w:val="18"/>
              </w:rPr>
              <w:t xml:space="preserve">       1,959 </w:t>
            </w:r>
          </w:p>
        </w:tc>
      </w:tr>
      <w:tr w:rsidR="00BD77D8" w:rsidRPr="00BD77D8" w14:paraId="146F7AAD" w14:textId="77777777" w:rsidTr="003057FB">
        <w:trPr>
          <w:trHeight w:val="304"/>
        </w:trPr>
        <w:tc>
          <w:tcPr>
            <w:tcW w:w="0" w:type="auto"/>
            <w:tcBorders>
              <w:top w:val="nil"/>
              <w:left w:val="nil"/>
              <w:bottom w:val="nil"/>
              <w:right w:val="nil"/>
            </w:tcBorders>
            <w:shd w:val="clear" w:color="auto" w:fill="auto"/>
            <w:noWrap/>
            <w:vAlign w:val="bottom"/>
            <w:hideMark/>
          </w:tcPr>
          <w:p w14:paraId="7A1A2F9F" w14:textId="77777777" w:rsidR="00B9311E" w:rsidRPr="00BD77D8" w:rsidRDefault="00B9311E" w:rsidP="00B9311E">
            <w:pPr>
              <w:spacing w:after="0" w:line="240" w:lineRule="auto"/>
              <w:rPr>
                <w:b/>
                <w:bCs/>
                <w:sz w:val="18"/>
                <w:szCs w:val="18"/>
              </w:rPr>
            </w:pPr>
            <w:r w:rsidRPr="00BD77D8">
              <w:rPr>
                <w:b/>
                <w:bCs/>
                <w:sz w:val="18"/>
                <w:szCs w:val="18"/>
              </w:rPr>
              <w:t xml:space="preserve"> Total current assets </w:t>
            </w:r>
          </w:p>
        </w:tc>
        <w:tc>
          <w:tcPr>
            <w:tcW w:w="1865" w:type="dxa"/>
            <w:tcBorders>
              <w:top w:val="nil"/>
              <w:left w:val="nil"/>
              <w:bottom w:val="nil"/>
              <w:right w:val="nil"/>
            </w:tcBorders>
            <w:shd w:val="clear" w:color="auto" w:fill="auto"/>
            <w:noWrap/>
            <w:vAlign w:val="bottom"/>
            <w:hideMark/>
          </w:tcPr>
          <w:p w14:paraId="59A1DA26" w14:textId="77777777" w:rsidR="00B9311E" w:rsidRPr="00BD77D8" w:rsidRDefault="00B9311E" w:rsidP="00B9311E">
            <w:pPr>
              <w:spacing w:after="0" w:line="240" w:lineRule="auto"/>
              <w:rPr>
                <w:b/>
                <w:bCs/>
                <w:sz w:val="18"/>
                <w:szCs w:val="18"/>
              </w:rPr>
            </w:pPr>
          </w:p>
        </w:tc>
        <w:tc>
          <w:tcPr>
            <w:tcW w:w="1322" w:type="dxa"/>
            <w:tcBorders>
              <w:top w:val="single" w:sz="4" w:space="0" w:color="auto"/>
              <w:left w:val="nil"/>
              <w:bottom w:val="single" w:sz="4" w:space="0" w:color="auto"/>
              <w:right w:val="nil"/>
            </w:tcBorders>
            <w:shd w:val="clear" w:color="auto" w:fill="auto"/>
            <w:vAlign w:val="bottom"/>
            <w:hideMark/>
          </w:tcPr>
          <w:p w14:paraId="313AD985" w14:textId="77777777" w:rsidR="00B9311E" w:rsidRPr="00BD77D8" w:rsidRDefault="00B9311E" w:rsidP="00B9311E">
            <w:pPr>
              <w:spacing w:after="0" w:line="240" w:lineRule="auto"/>
              <w:jc w:val="right"/>
              <w:rPr>
                <w:b/>
                <w:bCs/>
                <w:sz w:val="18"/>
                <w:szCs w:val="18"/>
              </w:rPr>
            </w:pPr>
            <w:r w:rsidRPr="00BD77D8">
              <w:rPr>
                <w:b/>
                <w:bCs/>
                <w:sz w:val="18"/>
                <w:szCs w:val="18"/>
              </w:rPr>
              <w:t xml:space="preserve">      56,135 </w:t>
            </w:r>
          </w:p>
        </w:tc>
        <w:tc>
          <w:tcPr>
            <w:tcW w:w="1340" w:type="dxa"/>
            <w:tcBorders>
              <w:top w:val="single" w:sz="4" w:space="0" w:color="auto"/>
              <w:left w:val="nil"/>
              <w:bottom w:val="single" w:sz="4" w:space="0" w:color="auto"/>
              <w:right w:val="nil"/>
            </w:tcBorders>
            <w:shd w:val="clear" w:color="auto" w:fill="auto"/>
            <w:vAlign w:val="bottom"/>
            <w:hideMark/>
          </w:tcPr>
          <w:p w14:paraId="39B78481" w14:textId="77777777" w:rsidR="00B9311E" w:rsidRPr="00BD77D8" w:rsidRDefault="00B9311E" w:rsidP="00B9311E">
            <w:pPr>
              <w:spacing w:after="0" w:line="240" w:lineRule="auto"/>
              <w:jc w:val="right"/>
              <w:rPr>
                <w:b/>
                <w:bCs/>
                <w:sz w:val="18"/>
                <w:szCs w:val="18"/>
              </w:rPr>
            </w:pPr>
            <w:r w:rsidRPr="00BD77D8">
              <w:rPr>
                <w:b/>
                <w:bCs/>
                <w:sz w:val="18"/>
                <w:szCs w:val="18"/>
              </w:rPr>
              <w:t xml:space="preserve">     234,419 </w:t>
            </w:r>
          </w:p>
        </w:tc>
        <w:tc>
          <w:tcPr>
            <w:tcW w:w="1243" w:type="dxa"/>
            <w:tcBorders>
              <w:top w:val="single" w:sz="4" w:space="0" w:color="auto"/>
              <w:left w:val="nil"/>
              <w:bottom w:val="single" w:sz="4" w:space="0" w:color="auto"/>
              <w:right w:val="nil"/>
            </w:tcBorders>
            <w:shd w:val="clear" w:color="auto" w:fill="auto"/>
            <w:vAlign w:val="bottom"/>
            <w:hideMark/>
          </w:tcPr>
          <w:p w14:paraId="506323C0" w14:textId="77777777" w:rsidR="00B9311E" w:rsidRPr="00BD77D8" w:rsidRDefault="00B9311E" w:rsidP="00B9311E">
            <w:pPr>
              <w:spacing w:after="0" w:line="240" w:lineRule="auto"/>
              <w:jc w:val="right"/>
              <w:rPr>
                <w:b/>
                <w:bCs/>
                <w:sz w:val="18"/>
                <w:szCs w:val="18"/>
              </w:rPr>
            </w:pPr>
            <w:r w:rsidRPr="00BD77D8">
              <w:rPr>
                <w:b/>
                <w:bCs/>
                <w:sz w:val="18"/>
                <w:szCs w:val="18"/>
              </w:rPr>
              <w:t xml:space="preserve">     (178,284) </w:t>
            </w:r>
          </w:p>
        </w:tc>
        <w:tc>
          <w:tcPr>
            <w:tcW w:w="1248" w:type="dxa"/>
            <w:tcBorders>
              <w:top w:val="single" w:sz="4" w:space="0" w:color="auto"/>
              <w:left w:val="nil"/>
              <w:bottom w:val="single" w:sz="4" w:space="0" w:color="auto"/>
              <w:right w:val="nil"/>
            </w:tcBorders>
            <w:shd w:val="clear" w:color="auto" w:fill="auto"/>
            <w:vAlign w:val="bottom"/>
            <w:hideMark/>
          </w:tcPr>
          <w:p w14:paraId="065F6341" w14:textId="77777777" w:rsidR="00B9311E" w:rsidRPr="00BD77D8" w:rsidRDefault="00B9311E" w:rsidP="00B9311E">
            <w:pPr>
              <w:spacing w:after="0" w:line="240" w:lineRule="auto"/>
              <w:jc w:val="right"/>
              <w:rPr>
                <w:b/>
                <w:bCs/>
                <w:sz w:val="18"/>
                <w:szCs w:val="18"/>
              </w:rPr>
            </w:pPr>
            <w:r w:rsidRPr="00BD77D8">
              <w:rPr>
                <w:b/>
                <w:bCs/>
                <w:sz w:val="18"/>
                <w:szCs w:val="18"/>
              </w:rPr>
              <w:t xml:space="preserve">    46,274 </w:t>
            </w:r>
          </w:p>
        </w:tc>
      </w:tr>
      <w:tr w:rsidR="00BD77D8" w:rsidRPr="00BD77D8" w14:paraId="59E25539" w14:textId="77777777" w:rsidTr="003057FB">
        <w:trPr>
          <w:trHeight w:val="304"/>
        </w:trPr>
        <w:tc>
          <w:tcPr>
            <w:tcW w:w="0" w:type="auto"/>
            <w:tcBorders>
              <w:top w:val="nil"/>
              <w:left w:val="nil"/>
              <w:bottom w:val="nil"/>
              <w:right w:val="nil"/>
            </w:tcBorders>
            <w:shd w:val="clear" w:color="auto" w:fill="auto"/>
            <w:noWrap/>
            <w:vAlign w:val="bottom"/>
            <w:hideMark/>
          </w:tcPr>
          <w:p w14:paraId="13C1EBF5" w14:textId="77777777" w:rsidR="00B9311E" w:rsidRPr="00BD77D8" w:rsidRDefault="00B9311E" w:rsidP="00B9311E">
            <w:pPr>
              <w:spacing w:after="0" w:line="240" w:lineRule="auto"/>
              <w:rPr>
                <w:b/>
                <w:bCs/>
                <w:sz w:val="18"/>
                <w:szCs w:val="18"/>
              </w:rPr>
            </w:pPr>
            <w:r w:rsidRPr="00BD77D8">
              <w:rPr>
                <w:b/>
                <w:bCs/>
                <w:sz w:val="18"/>
                <w:szCs w:val="18"/>
              </w:rPr>
              <w:t xml:space="preserve"> Total assets </w:t>
            </w:r>
          </w:p>
        </w:tc>
        <w:tc>
          <w:tcPr>
            <w:tcW w:w="1865" w:type="dxa"/>
            <w:tcBorders>
              <w:top w:val="nil"/>
              <w:left w:val="nil"/>
              <w:bottom w:val="nil"/>
              <w:right w:val="nil"/>
            </w:tcBorders>
            <w:shd w:val="clear" w:color="auto" w:fill="auto"/>
            <w:noWrap/>
            <w:vAlign w:val="bottom"/>
            <w:hideMark/>
          </w:tcPr>
          <w:p w14:paraId="1185D6D2" w14:textId="77777777" w:rsidR="00B9311E" w:rsidRPr="00BD77D8" w:rsidRDefault="00B9311E" w:rsidP="00B9311E">
            <w:pPr>
              <w:spacing w:after="0" w:line="240" w:lineRule="auto"/>
              <w:rPr>
                <w:b/>
                <w:bCs/>
                <w:sz w:val="18"/>
                <w:szCs w:val="18"/>
              </w:rPr>
            </w:pPr>
          </w:p>
        </w:tc>
        <w:tc>
          <w:tcPr>
            <w:tcW w:w="1322" w:type="dxa"/>
            <w:tcBorders>
              <w:top w:val="nil"/>
              <w:left w:val="nil"/>
              <w:bottom w:val="single" w:sz="4" w:space="0" w:color="auto"/>
              <w:right w:val="nil"/>
            </w:tcBorders>
            <w:shd w:val="clear" w:color="auto" w:fill="auto"/>
            <w:vAlign w:val="bottom"/>
            <w:hideMark/>
          </w:tcPr>
          <w:p w14:paraId="568EEE56" w14:textId="77777777" w:rsidR="00B9311E" w:rsidRPr="00BD77D8" w:rsidRDefault="00B9311E" w:rsidP="00B9311E">
            <w:pPr>
              <w:spacing w:after="0" w:line="240" w:lineRule="auto"/>
              <w:jc w:val="right"/>
              <w:rPr>
                <w:b/>
                <w:bCs/>
                <w:sz w:val="18"/>
                <w:szCs w:val="18"/>
              </w:rPr>
            </w:pPr>
            <w:r w:rsidRPr="00BD77D8">
              <w:rPr>
                <w:b/>
                <w:bCs/>
                <w:sz w:val="18"/>
                <w:szCs w:val="18"/>
              </w:rPr>
              <w:t xml:space="preserve">      56,135 </w:t>
            </w:r>
          </w:p>
        </w:tc>
        <w:tc>
          <w:tcPr>
            <w:tcW w:w="1340" w:type="dxa"/>
            <w:tcBorders>
              <w:top w:val="nil"/>
              <w:left w:val="nil"/>
              <w:bottom w:val="single" w:sz="4" w:space="0" w:color="auto"/>
              <w:right w:val="nil"/>
            </w:tcBorders>
            <w:shd w:val="clear" w:color="auto" w:fill="auto"/>
            <w:vAlign w:val="bottom"/>
            <w:hideMark/>
          </w:tcPr>
          <w:p w14:paraId="445A2DFC" w14:textId="77777777" w:rsidR="00B9311E" w:rsidRPr="00BD77D8" w:rsidRDefault="00B9311E" w:rsidP="00B9311E">
            <w:pPr>
              <w:spacing w:after="0" w:line="240" w:lineRule="auto"/>
              <w:jc w:val="right"/>
              <w:rPr>
                <w:b/>
                <w:bCs/>
                <w:sz w:val="18"/>
                <w:szCs w:val="18"/>
              </w:rPr>
            </w:pPr>
            <w:r w:rsidRPr="00BD77D8">
              <w:rPr>
                <w:b/>
                <w:bCs/>
                <w:sz w:val="18"/>
                <w:szCs w:val="18"/>
              </w:rPr>
              <w:t xml:space="preserve">     234,419 </w:t>
            </w:r>
          </w:p>
        </w:tc>
        <w:tc>
          <w:tcPr>
            <w:tcW w:w="1243" w:type="dxa"/>
            <w:tcBorders>
              <w:top w:val="nil"/>
              <w:left w:val="nil"/>
              <w:bottom w:val="single" w:sz="4" w:space="0" w:color="auto"/>
              <w:right w:val="nil"/>
            </w:tcBorders>
            <w:shd w:val="clear" w:color="auto" w:fill="auto"/>
            <w:vAlign w:val="bottom"/>
            <w:hideMark/>
          </w:tcPr>
          <w:p w14:paraId="52A30718" w14:textId="77777777" w:rsidR="00B9311E" w:rsidRPr="00BD77D8" w:rsidRDefault="00B9311E" w:rsidP="00B9311E">
            <w:pPr>
              <w:spacing w:after="0" w:line="240" w:lineRule="auto"/>
              <w:jc w:val="right"/>
              <w:rPr>
                <w:b/>
                <w:bCs/>
                <w:sz w:val="18"/>
                <w:szCs w:val="18"/>
              </w:rPr>
            </w:pPr>
            <w:r w:rsidRPr="00BD77D8">
              <w:rPr>
                <w:b/>
                <w:bCs/>
                <w:sz w:val="18"/>
                <w:szCs w:val="18"/>
              </w:rPr>
              <w:t xml:space="preserve">     (178,284) </w:t>
            </w:r>
          </w:p>
        </w:tc>
        <w:tc>
          <w:tcPr>
            <w:tcW w:w="1248" w:type="dxa"/>
            <w:tcBorders>
              <w:top w:val="nil"/>
              <w:left w:val="nil"/>
              <w:bottom w:val="single" w:sz="4" w:space="0" w:color="auto"/>
              <w:right w:val="nil"/>
            </w:tcBorders>
            <w:shd w:val="clear" w:color="auto" w:fill="auto"/>
            <w:vAlign w:val="bottom"/>
            <w:hideMark/>
          </w:tcPr>
          <w:p w14:paraId="535408CC" w14:textId="77777777" w:rsidR="00B9311E" w:rsidRPr="00BD77D8" w:rsidRDefault="00B9311E" w:rsidP="00B9311E">
            <w:pPr>
              <w:spacing w:after="0" w:line="240" w:lineRule="auto"/>
              <w:jc w:val="right"/>
              <w:rPr>
                <w:b/>
                <w:bCs/>
                <w:sz w:val="18"/>
                <w:szCs w:val="18"/>
              </w:rPr>
            </w:pPr>
            <w:r w:rsidRPr="00BD77D8">
              <w:rPr>
                <w:b/>
                <w:bCs/>
                <w:sz w:val="18"/>
                <w:szCs w:val="18"/>
              </w:rPr>
              <w:t xml:space="preserve">    46,274 </w:t>
            </w:r>
          </w:p>
        </w:tc>
      </w:tr>
      <w:tr w:rsidR="00BD77D8" w:rsidRPr="00BD77D8" w14:paraId="71F38908" w14:textId="77777777" w:rsidTr="003057FB">
        <w:trPr>
          <w:trHeight w:val="304"/>
        </w:trPr>
        <w:tc>
          <w:tcPr>
            <w:tcW w:w="0" w:type="auto"/>
            <w:tcBorders>
              <w:top w:val="nil"/>
              <w:left w:val="nil"/>
              <w:bottom w:val="nil"/>
              <w:right w:val="nil"/>
            </w:tcBorders>
            <w:shd w:val="clear" w:color="auto" w:fill="auto"/>
            <w:noWrap/>
            <w:vAlign w:val="bottom"/>
            <w:hideMark/>
          </w:tcPr>
          <w:p w14:paraId="5AEC40C0" w14:textId="77777777" w:rsidR="00B9311E" w:rsidRPr="00BD77D8" w:rsidRDefault="00B9311E" w:rsidP="00B9311E">
            <w:pPr>
              <w:spacing w:after="0" w:line="240" w:lineRule="auto"/>
              <w:rPr>
                <w:b/>
                <w:bCs/>
                <w:sz w:val="18"/>
                <w:szCs w:val="18"/>
              </w:rPr>
            </w:pPr>
            <w:r w:rsidRPr="00BD77D8">
              <w:rPr>
                <w:b/>
                <w:bCs/>
                <w:sz w:val="18"/>
                <w:szCs w:val="18"/>
              </w:rPr>
              <w:t xml:space="preserve"> Administered liabilities </w:t>
            </w:r>
          </w:p>
        </w:tc>
        <w:tc>
          <w:tcPr>
            <w:tcW w:w="1865" w:type="dxa"/>
            <w:tcBorders>
              <w:top w:val="nil"/>
              <w:left w:val="nil"/>
              <w:bottom w:val="nil"/>
              <w:right w:val="nil"/>
            </w:tcBorders>
            <w:shd w:val="clear" w:color="auto" w:fill="auto"/>
            <w:noWrap/>
            <w:vAlign w:val="bottom"/>
            <w:hideMark/>
          </w:tcPr>
          <w:p w14:paraId="347CE5CF" w14:textId="77777777" w:rsidR="00B9311E" w:rsidRPr="00BD77D8" w:rsidRDefault="00B9311E" w:rsidP="00B9311E">
            <w:pPr>
              <w:spacing w:after="0" w:line="240" w:lineRule="auto"/>
              <w:rPr>
                <w:b/>
                <w:bCs/>
                <w:sz w:val="18"/>
                <w:szCs w:val="18"/>
              </w:rPr>
            </w:pPr>
          </w:p>
        </w:tc>
        <w:tc>
          <w:tcPr>
            <w:tcW w:w="1322" w:type="dxa"/>
            <w:tcBorders>
              <w:top w:val="nil"/>
              <w:left w:val="nil"/>
              <w:bottom w:val="nil"/>
              <w:right w:val="nil"/>
            </w:tcBorders>
            <w:shd w:val="clear" w:color="auto" w:fill="auto"/>
            <w:vAlign w:val="bottom"/>
            <w:hideMark/>
          </w:tcPr>
          <w:p w14:paraId="36890ACB"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340" w:type="dxa"/>
            <w:tcBorders>
              <w:top w:val="nil"/>
              <w:left w:val="nil"/>
              <w:bottom w:val="nil"/>
              <w:right w:val="nil"/>
            </w:tcBorders>
            <w:shd w:val="clear" w:color="auto" w:fill="auto"/>
            <w:vAlign w:val="bottom"/>
            <w:hideMark/>
          </w:tcPr>
          <w:p w14:paraId="426FEA5C"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243" w:type="dxa"/>
            <w:tcBorders>
              <w:top w:val="nil"/>
              <w:left w:val="nil"/>
              <w:bottom w:val="nil"/>
              <w:right w:val="nil"/>
            </w:tcBorders>
            <w:shd w:val="clear" w:color="auto" w:fill="auto"/>
            <w:vAlign w:val="bottom"/>
            <w:hideMark/>
          </w:tcPr>
          <w:p w14:paraId="5A7E9261" w14:textId="77777777" w:rsidR="00B9311E" w:rsidRPr="00BD77D8" w:rsidRDefault="00B9311E" w:rsidP="00B9311E">
            <w:pPr>
              <w:spacing w:after="0" w:line="240" w:lineRule="auto"/>
              <w:jc w:val="right"/>
              <w:rPr>
                <w:rFonts w:ascii="Times New Roman" w:hAnsi="Times New Roman" w:cs="Times New Roman"/>
                <w:b/>
                <w:bCs/>
                <w:sz w:val="20"/>
                <w:szCs w:val="20"/>
              </w:rPr>
            </w:pPr>
          </w:p>
        </w:tc>
        <w:tc>
          <w:tcPr>
            <w:tcW w:w="1248" w:type="dxa"/>
            <w:tcBorders>
              <w:top w:val="nil"/>
              <w:left w:val="nil"/>
              <w:bottom w:val="nil"/>
              <w:right w:val="nil"/>
            </w:tcBorders>
            <w:shd w:val="clear" w:color="auto" w:fill="auto"/>
            <w:vAlign w:val="bottom"/>
            <w:hideMark/>
          </w:tcPr>
          <w:p w14:paraId="44C26D9A"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794C62E3" w14:textId="77777777" w:rsidTr="003057FB">
        <w:trPr>
          <w:trHeight w:val="304"/>
        </w:trPr>
        <w:tc>
          <w:tcPr>
            <w:tcW w:w="0" w:type="auto"/>
            <w:tcBorders>
              <w:top w:val="nil"/>
              <w:left w:val="nil"/>
              <w:bottom w:val="nil"/>
              <w:right w:val="nil"/>
            </w:tcBorders>
            <w:shd w:val="clear" w:color="auto" w:fill="auto"/>
            <w:noWrap/>
            <w:vAlign w:val="bottom"/>
            <w:hideMark/>
          </w:tcPr>
          <w:p w14:paraId="26DCDAD0" w14:textId="77777777" w:rsidR="00B9311E" w:rsidRPr="00BD77D8" w:rsidRDefault="00B9311E" w:rsidP="00B9311E">
            <w:pPr>
              <w:spacing w:after="0" w:line="240" w:lineRule="auto"/>
              <w:rPr>
                <w:b/>
                <w:bCs/>
                <w:sz w:val="18"/>
                <w:szCs w:val="18"/>
              </w:rPr>
            </w:pPr>
            <w:r w:rsidRPr="00BD77D8">
              <w:rPr>
                <w:i/>
                <w:iCs/>
                <w:sz w:val="18"/>
                <w:szCs w:val="18"/>
              </w:rPr>
              <w:t xml:space="preserve"> </w:t>
            </w:r>
            <w:r w:rsidRPr="00BD77D8">
              <w:rPr>
                <w:b/>
                <w:bCs/>
                <w:sz w:val="18"/>
                <w:szCs w:val="18"/>
              </w:rPr>
              <w:t xml:space="preserve">Current </w:t>
            </w:r>
          </w:p>
        </w:tc>
        <w:tc>
          <w:tcPr>
            <w:tcW w:w="1865" w:type="dxa"/>
            <w:tcBorders>
              <w:top w:val="nil"/>
              <w:left w:val="nil"/>
              <w:bottom w:val="nil"/>
              <w:right w:val="nil"/>
            </w:tcBorders>
            <w:shd w:val="clear" w:color="auto" w:fill="auto"/>
            <w:noWrap/>
            <w:vAlign w:val="bottom"/>
            <w:hideMark/>
          </w:tcPr>
          <w:p w14:paraId="01C32E6A" w14:textId="77777777" w:rsidR="00B9311E" w:rsidRPr="00BD77D8" w:rsidRDefault="00B9311E" w:rsidP="00B9311E">
            <w:pPr>
              <w:spacing w:after="0" w:line="240" w:lineRule="auto"/>
              <w:rPr>
                <w:i/>
                <w:iCs/>
                <w:sz w:val="18"/>
                <w:szCs w:val="18"/>
              </w:rPr>
            </w:pPr>
          </w:p>
        </w:tc>
        <w:tc>
          <w:tcPr>
            <w:tcW w:w="1322" w:type="dxa"/>
            <w:tcBorders>
              <w:top w:val="nil"/>
              <w:left w:val="nil"/>
              <w:bottom w:val="nil"/>
              <w:right w:val="nil"/>
            </w:tcBorders>
            <w:shd w:val="clear" w:color="auto" w:fill="auto"/>
            <w:vAlign w:val="bottom"/>
            <w:hideMark/>
          </w:tcPr>
          <w:p w14:paraId="37D84B9C" w14:textId="77777777" w:rsidR="00B9311E" w:rsidRPr="00BD77D8" w:rsidRDefault="00B9311E" w:rsidP="00B9311E">
            <w:pPr>
              <w:spacing w:after="0" w:line="240" w:lineRule="auto"/>
              <w:jc w:val="center"/>
              <w:rPr>
                <w:rFonts w:ascii="Times New Roman" w:hAnsi="Times New Roman" w:cs="Times New Roman"/>
                <w:b/>
                <w:bCs/>
                <w:sz w:val="20"/>
                <w:szCs w:val="20"/>
              </w:rPr>
            </w:pPr>
          </w:p>
        </w:tc>
        <w:tc>
          <w:tcPr>
            <w:tcW w:w="1340" w:type="dxa"/>
            <w:tcBorders>
              <w:top w:val="nil"/>
              <w:left w:val="nil"/>
              <w:bottom w:val="nil"/>
              <w:right w:val="nil"/>
            </w:tcBorders>
            <w:shd w:val="clear" w:color="auto" w:fill="auto"/>
            <w:vAlign w:val="bottom"/>
            <w:hideMark/>
          </w:tcPr>
          <w:p w14:paraId="7FD974DD" w14:textId="77777777" w:rsidR="00B9311E" w:rsidRPr="00BD77D8" w:rsidRDefault="00B9311E" w:rsidP="00B9311E">
            <w:pPr>
              <w:spacing w:after="0" w:line="240" w:lineRule="auto"/>
              <w:jc w:val="right"/>
              <w:rPr>
                <w:rFonts w:ascii="Times New Roman" w:hAnsi="Times New Roman" w:cs="Times New Roman"/>
                <w:sz w:val="20"/>
                <w:szCs w:val="20"/>
              </w:rPr>
            </w:pPr>
          </w:p>
        </w:tc>
        <w:tc>
          <w:tcPr>
            <w:tcW w:w="1243" w:type="dxa"/>
            <w:tcBorders>
              <w:top w:val="nil"/>
              <w:left w:val="nil"/>
              <w:bottom w:val="nil"/>
              <w:right w:val="nil"/>
            </w:tcBorders>
            <w:shd w:val="clear" w:color="auto" w:fill="auto"/>
            <w:vAlign w:val="bottom"/>
            <w:hideMark/>
          </w:tcPr>
          <w:p w14:paraId="54654748" w14:textId="77777777" w:rsidR="00B9311E" w:rsidRPr="00BD77D8" w:rsidRDefault="00B9311E" w:rsidP="00B9311E">
            <w:pPr>
              <w:spacing w:after="0" w:line="240" w:lineRule="auto"/>
              <w:jc w:val="right"/>
              <w:rPr>
                <w:rFonts w:ascii="Times New Roman" w:hAnsi="Times New Roman" w:cs="Times New Roman"/>
                <w:sz w:val="20"/>
                <w:szCs w:val="20"/>
              </w:rPr>
            </w:pPr>
          </w:p>
        </w:tc>
        <w:tc>
          <w:tcPr>
            <w:tcW w:w="1248" w:type="dxa"/>
            <w:tcBorders>
              <w:top w:val="nil"/>
              <w:left w:val="nil"/>
              <w:bottom w:val="nil"/>
              <w:right w:val="nil"/>
            </w:tcBorders>
            <w:shd w:val="clear" w:color="auto" w:fill="auto"/>
            <w:vAlign w:val="bottom"/>
            <w:hideMark/>
          </w:tcPr>
          <w:p w14:paraId="4C6C7EE1"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5D637917" w14:textId="77777777" w:rsidTr="003057FB">
        <w:trPr>
          <w:trHeight w:val="304"/>
        </w:trPr>
        <w:tc>
          <w:tcPr>
            <w:tcW w:w="0" w:type="auto"/>
            <w:tcBorders>
              <w:top w:val="nil"/>
              <w:left w:val="nil"/>
              <w:bottom w:val="nil"/>
              <w:right w:val="nil"/>
            </w:tcBorders>
            <w:shd w:val="clear" w:color="auto" w:fill="auto"/>
            <w:noWrap/>
            <w:vAlign w:val="bottom"/>
            <w:hideMark/>
          </w:tcPr>
          <w:p w14:paraId="027AA6EA" w14:textId="77777777" w:rsidR="00B9311E" w:rsidRPr="00BD77D8" w:rsidRDefault="00B9311E" w:rsidP="00B9311E">
            <w:pPr>
              <w:spacing w:after="0" w:line="240" w:lineRule="auto"/>
              <w:ind w:firstLineChars="100" w:firstLine="180"/>
              <w:rPr>
                <w:sz w:val="18"/>
                <w:szCs w:val="18"/>
              </w:rPr>
            </w:pPr>
            <w:r w:rsidRPr="00BD77D8">
              <w:rPr>
                <w:sz w:val="18"/>
                <w:szCs w:val="18"/>
              </w:rPr>
              <w:t xml:space="preserve"> Payables </w:t>
            </w:r>
          </w:p>
        </w:tc>
        <w:tc>
          <w:tcPr>
            <w:tcW w:w="1865" w:type="dxa"/>
            <w:tcBorders>
              <w:top w:val="nil"/>
              <w:left w:val="nil"/>
              <w:bottom w:val="nil"/>
              <w:right w:val="nil"/>
            </w:tcBorders>
            <w:shd w:val="clear" w:color="auto" w:fill="auto"/>
            <w:noWrap/>
            <w:vAlign w:val="bottom"/>
            <w:hideMark/>
          </w:tcPr>
          <w:p w14:paraId="366209A5" w14:textId="77777777" w:rsidR="00B9311E" w:rsidRPr="00BD77D8" w:rsidRDefault="00B9311E" w:rsidP="00B9311E">
            <w:pPr>
              <w:spacing w:after="0" w:line="240" w:lineRule="auto"/>
              <w:jc w:val="center"/>
              <w:rPr>
                <w:b/>
                <w:bCs/>
                <w:sz w:val="18"/>
                <w:szCs w:val="18"/>
              </w:rPr>
            </w:pPr>
            <w:r w:rsidRPr="00BD77D8">
              <w:rPr>
                <w:b/>
                <w:bCs/>
                <w:sz w:val="18"/>
                <w:szCs w:val="18"/>
              </w:rPr>
              <w:t>G1-8</w:t>
            </w:r>
          </w:p>
        </w:tc>
        <w:tc>
          <w:tcPr>
            <w:tcW w:w="1322" w:type="dxa"/>
            <w:tcBorders>
              <w:top w:val="nil"/>
              <w:left w:val="nil"/>
              <w:bottom w:val="nil"/>
              <w:right w:val="nil"/>
            </w:tcBorders>
            <w:shd w:val="clear" w:color="auto" w:fill="auto"/>
            <w:vAlign w:val="bottom"/>
            <w:hideMark/>
          </w:tcPr>
          <w:p w14:paraId="6A18BFFB" w14:textId="77777777" w:rsidR="00B9311E" w:rsidRPr="00BD77D8" w:rsidRDefault="00B9311E" w:rsidP="00B9311E">
            <w:pPr>
              <w:spacing w:after="0" w:line="240" w:lineRule="auto"/>
              <w:jc w:val="right"/>
              <w:rPr>
                <w:b/>
                <w:bCs/>
                <w:sz w:val="18"/>
                <w:szCs w:val="18"/>
              </w:rPr>
            </w:pPr>
            <w:r w:rsidRPr="00BD77D8">
              <w:rPr>
                <w:b/>
                <w:bCs/>
                <w:sz w:val="18"/>
                <w:szCs w:val="18"/>
              </w:rPr>
              <w:t xml:space="preserve">      57,493 </w:t>
            </w:r>
          </w:p>
        </w:tc>
        <w:tc>
          <w:tcPr>
            <w:tcW w:w="1340" w:type="dxa"/>
            <w:tcBorders>
              <w:top w:val="nil"/>
              <w:left w:val="nil"/>
              <w:bottom w:val="nil"/>
              <w:right w:val="nil"/>
            </w:tcBorders>
            <w:shd w:val="clear" w:color="auto" w:fill="auto"/>
            <w:vAlign w:val="bottom"/>
            <w:hideMark/>
          </w:tcPr>
          <w:p w14:paraId="5289E423" w14:textId="77777777" w:rsidR="00B9311E" w:rsidRPr="00BD77D8" w:rsidRDefault="00B9311E" w:rsidP="00B9311E">
            <w:pPr>
              <w:spacing w:after="0" w:line="240" w:lineRule="auto"/>
              <w:jc w:val="right"/>
              <w:rPr>
                <w:sz w:val="18"/>
                <w:szCs w:val="18"/>
              </w:rPr>
            </w:pPr>
            <w:r w:rsidRPr="00BD77D8">
              <w:rPr>
                <w:sz w:val="18"/>
                <w:szCs w:val="18"/>
              </w:rPr>
              <w:t xml:space="preserve">     235,773 </w:t>
            </w:r>
          </w:p>
        </w:tc>
        <w:tc>
          <w:tcPr>
            <w:tcW w:w="1243" w:type="dxa"/>
            <w:tcBorders>
              <w:top w:val="nil"/>
              <w:left w:val="nil"/>
              <w:bottom w:val="nil"/>
              <w:right w:val="nil"/>
            </w:tcBorders>
            <w:shd w:val="clear" w:color="auto" w:fill="auto"/>
            <w:vAlign w:val="bottom"/>
            <w:hideMark/>
          </w:tcPr>
          <w:p w14:paraId="0F01F865" w14:textId="77777777" w:rsidR="00B9311E" w:rsidRPr="00BD77D8" w:rsidRDefault="00B9311E" w:rsidP="00B9311E">
            <w:pPr>
              <w:spacing w:after="0" w:line="240" w:lineRule="auto"/>
              <w:jc w:val="right"/>
              <w:rPr>
                <w:sz w:val="18"/>
                <w:szCs w:val="18"/>
              </w:rPr>
            </w:pPr>
            <w:r w:rsidRPr="00BD77D8">
              <w:rPr>
                <w:sz w:val="18"/>
                <w:szCs w:val="18"/>
              </w:rPr>
              <w:t xml:space="preserve">     178,280 </w:t>
            </w:r>
          </w:p>
        </w:tc>
        <w:tc>
          <w:tcPr>
            <w:tcW w:w="1248" w:type="dxa"/>
            <w:tcBorders>
              <w:top w:val="nil"/>
              <w:left w:val="nil"/>
              <w:bottom w:val="nil"/>
              <w:right w:val="nil"/>
            </w:tcBorders>
            <w:shd w:val="clear" w:color="auto" w:fill="auto"/>
            <w:vAlign w:val="bottom"/>
            <w:hideMark/>
          </w:tcPr>
          <w:p w14:paraId="59A300D3" w14:textId="77777777" w:rsidR="00B9311E" w:rsidRPr="00BD77D8" w:rsidRDefault="00B9311E" w:rsidP="00B9311E">
            <w:pPr>
              <w:spacing w:after="0" w:line="240" w:lineRule="auto"/>
              <w:jc w:val="right"/>
              <w:rPr>
                <w:sz w:val="18"/>
                <w:szCs w:val="18"/>
              </w:rPr>
            </w:pPr>
            <w:r w:rsidRPr="00BD77D8">
              <w:rPr>
                <w:sz w:val="18"/>
                <w:szCs w:val="18"/>
              </w:rPr>
              <w:t xml:space="preserve">    47,733 </w:t>
            </w:r>
          </w:p>
        </w:tc>
      </w:tr>
      <w:tr w:rsidR="00BD77D8" w:rsidRPr="00BD77D8" w14:paraId="7AC55920" w14:textId="77777777" w:rsidTr="003057FB">
        <w:trPr>
          <w:trHeight w:val="304"/>
        </w:trPr>
        <w:tc>
          <w:tcPr>
            <w:tcW w:w="0" w:type="auto"/>
            <w:tcBorders>
              <w:top w:val="nil"/>
              <w:left w:val="nil"/>
              <w:bottom w:val="nil"/>
              <w:right w:val="nil"/>
            </w:tcBorders>
            <w:shd w:val="clear" w:color="auto" w:fill="auto"/>
            <w:noWrap/>
            <w:vAlign w:val="bottom"/>
            <w:hideMark/>
          </w:tcPr>
          <w:p w14:paraId="4C294A69" w14:textId="77777777" w:rsidR="00B9311E" w:rsidRPr="00BD77D8" w:rsidRDefault="00B9311E" w:rsidP="00B9311E">
            <w:pPr>
              <w:spacing w:after="0" w:line="240" w:lineRule="auto"/>
              <w:rPr>
                <w:b/>
                <w:bCs/>
                <w:sz w:val="18"/>
                <w:szCs w:val="18"/>
              </w:rPr>
            </w:pPr>
            <w:r w:rsidRPr="00BD77D8">
              <w:rPr>
                <w:b/>
                <w:bCs/>
                <w:sz w:val="18"/>
                <w:szCs w:val="18"/>
              </w:rPr>
              <w:t xml:space="preserve"> Total current liabilities </w:t>
            </w:r>
          </w:p>
        </w:tc>
        <w:tc>
          <w:tcPr>
            <w:tcW w:w="1865" w:type="dxa"/>
            <w:tcBorders>
              <w:top w:val="nil"/>
              <w:left w:val="nil"/>
              <w:bottom w:val="nil"/>
              <w:right w:val="nil"/>
            </w:tcBorders>
            <w:shd w:val="clear" w:color="auto" w:fill="auto"/>
            <w:noWrap/>
            <w:vAlign w:val="bottom"/>
            <w:hideMark/>
          </w:tcPr>
          <w:p w14:paraId="67187CED" w14:textId="77777777" w:rsidR="00B9311E" w:rsidRPr="00BD77D8" w:rsidRDefault="00B9311E" w:rsidP="00B9311E">
            <w:pPr>
              <w:spacing w:after="0" w:line="240" w:lineRule="auto"/>
              <w:rPr>
                <w:b/>
                <w:bCs/>
                <w:sz w:val="18"/>
                <w:szCs w:val="18"/>
              </w:rPr>
            </w:pPr>
          </w:p>
        </w:tc>
        <w:tc>
          <w:tcPr>
            <w:tcW w:w="1322" w:type="dxa"/>
            <w:tcBorders>
              <w:top w:val="single" w:sz="4" w:space="0" w:color="auto"/>
              <w:left w:val="nil"/>
              <w:bottom w:val="single" w:sz="4" w:space="0" w:color="auto"/>
              <w:right w:val="nil"/>
            </w:tcBorders>
            <w:shd w:val="clear" w:color="auto" w:fill="auto"/>
            <w:vAlign w:val="bottom"/>
            <w:hideMark/>
          </w:tcPr>
          <w:p w14:paraId="317D87AF" w14:textId="77777777" w:rsidR="00B9311E" w:rsidRPr="00BD77D8" w:rsidRDefault="00B9311E" w:rsidP="00B9311E">
            <w:pPr>
              <w:spacing w:after="0" w:line="240" w:lineRule="auto"/>
              <w:jc w:val="right"/>
              <w:rPr>
                <w:b/>
                <w:bCs/>
                <w:sz w:val="18"/>
                <w:szCs w:val="18"/>
              </w:rPr>
            </w:pPr>
            <w:r w:rsidRPr="00BD77D8">
              <w:rPr>
                <w:b/>
                <w:bCs/>
                <w:sz w:val="18"/>
                <w:szCs w:val="18"/>
              </w:rPr>
              <w:t xml:space="preserve">      57,493 </w:t>
            </w:r>
          </w:p>
        </w:tc>
        <w:tc>
          <w:tcPr>
            <w:tcW w:w="1340" w:type="dxa"/>
            <w:tcBorders>
              <w:top w:val="single" w:sz="4" w:space="0" w:color="auto"/>
              <w:left w:val="nil"/>
              <w:bottom w:val="single" w:sz="4" w:space="0" w:color="auto"/>
              <w:right w:val="nil"/>
            </w:tcBorders>
            <w:shd w:val="clear" w:color="auto" w:fill="auto"/>
            <w:vAlign w:val="bottom"/>
            <w:hideMark/>
          </w:tcPr>
          <w:p w14:paraId="37CB1A85" w14:textId="77777777" w:rsidR="00B9311E" w:rsidRPr="00BD77D8" w:rsidRDefault="00B9311E" w:rsidP="00B9311E">
            <w:pPr>
              <w:spacing w:after="0" w:line="240" w:lineRule="auto"/>
              <w:jc w:val="right"/>
              <w:rPr>
                <w:b/>
                <w:bCs/>
                <w:sz w:val="18"/>
                <w:szCs w:val="18"/>
              </w:rPr>
            </w:pPr>
            <w:r w:rsidRPr="00BD77D8">
              <w:rPr>
                <w:b/>
                <w:bCs/>
                <w:sz w:val="18"/>
                <w:szCs w:val="18"/>
              </w:rPr>
              <w:t xml:space="preserve">     235,773 </w:t>
            </w:r>
          </w:p>
        </w:tc>
        <w:tc>
          <w:tcPr>
            <w:tcW w:w="1243" w:type="dxa"/>
            <w:tcBorders>
              <w:top w:val="single" w:sz="4" w:space="0" w:color="auto"/>
              <w:left w:val="nil"/>
              <w:bottom w:val="single" w:sz="4" w:space="0" w:color="auto"/>
              <w:right w:val="nil"/>
            </w:tcBorders>
            <w:shd w:val="clear" w:color="auto" w:fill="auto"/>
            <w:vAlign w:val="bottom"/>
            <w:hideMark/>
          </w:tcPr>
          <w:p w14:paraId="05C520E9" w14:textId="77777777" w:rsidR="00B9311E" w:rsidRPr="00BD77D8" w:rsidRDefault="00B9311E" w:rsidP="00B9311E">
            <w:pPr>
              <w:spacing w:after="0" w:line="240" w:lineRule="auto"/>
              <w:jc w:val="right"/>
              <w:rPr>
                <w:b/>
                <w:bCs/>
                <w:sz w:val="18"/>
                <w:szCs w:val="18"/>
              </w:rPr>
            </w:pPr>
            <w:r w:rsidRPr="00BD77D8">
              <w:rPr>
                <w:b/>
                <w:bCs/>
                <w:sz w:val="18"/>
                <w:szCs w:val="18"/>
              </w:rPr>
              <w:t xml:space="preserve">     178,280 </w:t>
            </w:r>
          </w:p>
        </w:tc>
        <w:tc>
          <w:tcPr>
            <w:tcW w:w="1248" w:type="dxa"/>
            <w:tcBorders>
              <w:top w:val="single" w:sz="4" w:space="0" w:color="auto"/>
              <w:left w:val="nil"/>
              <w:bottom w:val="single" w:sz="4" w:space="0" w:color="auto"/>
              <w:right w:val="nil"/>
            </w:tcBorders>
            <w:shd w:val="clear" w:color="auto" w:fill="auto"/>
            <w:vAlign w:val="bottom"/>
            <w:hideMark/>
          </w:tcPr>
          <w:p w14:paraId="768C2DC8" w14:textId="77777777" w:rsidR="00B9311E" w:rsidRPr="00BD77D8" w:rsidRDefault="00B9311E" w:rsidP="00B9311E">
            <w:pPr>
              <w:spacing w:after="0" w:line="240" w:lineRule="auto"/>
              <w:jc w:val="right"/>
              <w:rPr>
                <w:b/>
                <w:bCs/>
                <w:sz w:val="18"/>
                <w:szCs w:val="18"/>
              </w:rPr>
            </w:pPr>
            <w:r w:rsidRPr="00BD77D8">
              <w:rPr>
                <w:b/>
                <w:bCs/>
                <w:sz w:val="18"/>
                <w:szCs w:val="18"/>
              </w:rPr>
              <w:t xml:space="preserve">    47,733 </w:t>
            </w:r>
          </w:p>
        </w:tc>
      </w:tr>
      <w:tr w:rsidR="00BD77D8" w:rsidRPr="00BD77D8" w14:paraId="16EA1BED" w14:textId="77777777" w:rsidTr="003057FB">
        <w:trPr>
          <w:trHeight w:val="304"/>
        </w:trPr>
        <w:tc>
          <w:tcPr>
            <w:tcW w:w="0" w:type="auto"/>
            <w:tcBorders>
              <w:top w:val="nil"/>
              <w:left w:val="nil"/>
              <w:bottom w:val="nil"/>
              <w:right w:val="nil"/>
            </w:tcBorders>
            <w:shd w:val="clear" w:color="auto" w:fill="auto"/>
            <w:noWrap/>
            <w:vAlign w:val="bottom"/>
            <w:hideMark/>
          </w:tcPr>
          <w:p w14:paraId="7FF90A0C" w14:textId="77777777" w:rsidR="00B9311E" w:rsidRPr="00BD77D8" w:rsidRDefault="00B9311E" w:rsidP="00B9311E">
            <w:pPr>
              <w:spacing w:after="0" w:line="240" w:lineRule="auto"/>
              <w:rPr>
                <w:b/>
                <w:bCs/>
                <w:sz w:val="18"/>
                <w:szCs w:val="18"/>
              </w:rPr>
            </w:pPr>
            <w:r w:rsidRPr="00BD77D8">
              <w:rPr>
                <w:b/>
                <w:bCs/>
                <w:sz w:val="18"/>
                <w:szCs w:val="18"/>
              </w:rPr>
              <w:t xml:space="preserve"> Net administered assets/liabilities </w:t>
            </w:r>
          </w:p>
        </w:tc>
        <w:tc>
          <w:tcPr>
            <w:tcW w:w="1865" w:type="dxa"/>
            <w:tcBorders>
              <w:top w:val="nil"/>
              <w:left w:val="nil"/>
              <w:bottom w:val="nil"/>
              <w:right w:val="nil"/>
            </w:tcBorders>
            <w:shd w:val="clear" w:color="auto" w:fill="auto"/>
            <w:noWrap/>
            <w:vAlign w:val="bottom"/>
            <w:hideMark/>
          </w:tcPr>
          <w:p w14:paraId="10035E15" w14:textId="77777777" w:rsidR="00B9311E" w:rsidRPr="00BD77D8" w:rsidRDefault="00B9311E" w:rsidP="00B9311E">
            <w:pPr>
              <w:spacing w:after="0" w:line="240" w:lineRule="auto"/>
              <w:rPr>
                <w:b/>
                <w:bCs/>
                <w:sz w:val="18"/>
                <w:szCs w:val="18"/>
              </w:rPr>
            </w:pPr>
          </w:p>
        </w:tc>
        <w:tc>
          <w:tcPr>
            <w:tcW w:w="1322" w:type="dxa"/>
            <w:tcBorders>
              <w:top w:val="single" w:sz="4" w:space="0" w:color="auto"/>
              <w:left w:val="nil"/>
              <w:bottom w:val="single" w:sz="4" w:space="0" w:color="auto"/>
              <w:right w:val="nil"/>
            </w:tcBorders>
            <w:shd w:val="clear" w:color="auto" w:fill="auto"/>
            <w:vAlign w:val="bottom"/>
            <w:hideMark/>
          </w:tcPr>
          <w:p w14:paraId="6C3CF882" w14:textId="77777777" w:rsidR="00B9311E" w:rsidRPr="00BD77D8" w:rsidRDefault="00B9311E" w:rsidP="00B9311E">
            <w:pPr>
              <w:spacing w:after="0" w:line="240" w:lineRule="auto"/>
              <w:jc w:val="right"/>
              <w:rPr>
                <w:b/>
                <w:bCs/>
                <w:sz w:val="18"/>
                <w:szCs w:val="18"/>
              </w:rPr>
            </w:pPr>
            <w:r w:rsidRPr="00BD77D8">
              <w:rPr>
                <w:b/>
                <w:bCs/>
                <w:sz w:val="18"/>
                <w:szCs w:val="18"/>
              </w:rPr>
              <w:t xml:space="preserve">      (1,358)</w:t>
            </w:r>
          </w:p>
        </w:tc>
        <w:tc>
          <w:tcPr>
            <w:tcW w:w="1340" w:type="dxa"/>
            <w:tcBorders>
              <w:top w:val="single" w:sz="4" w:space="0" w:color="auto"/>
              <w:left w:val="nil"/>
              <w:bottom w:val="single" w:sz="4" w:space="0" w:color="auto"/>
              <w:right w:val="nil"/>
            </w:tcBorders>
            <w:shd w:val="clear" w:color="auto" w:fill="auto"/>
            <w:vAlign w:val="bottom"/>
            <w:hideMark/>
          </w:tcPr>
          <w:p w14:paraId="7A168BDC" w14:textId="77777777" w:rsidR="00B9311E" w:rsidRPr="00BD77D8" w:rsidRDefault="00B9311E" w:rsidP="00B9311E">
            <w:pPr>
              <w:spacing w:after="0" w:line="240" w:lineRule="auto"/>
              <w:jc w:val="right"/>
              <w:rPr>
                <w:b/>
                <w:bCs/>
                <w:sz w:val="18"/>
                <w:szCs w:val="18"/>
              </w:rPr>
            </w:pPr>
            <w:r w:rsidRPr="00BD77D8">
              <w:rPr>
                <w:b/>
                <w:bCs/>
                <w:sz w:val="18"/>
                <w:szCs w:val="18"/>
              </w:rPr>
              <w:t xml:space="preserve">        (1,354)</w:t>
            </w:r>
          </w:p>
        </w:tc>
        <w:tc>
          <w:tcPr>
            <w:tcW w:w="1243" w:type="dxa"/>
            <w:tcBorders>
              <w:top w:val="single" w:sz="4" w:space="0" w:color="auto"/>
              <w:left w:val="nil"/>
              <w:bottom w:val="single" w:sz="4" w:space="0" w:color="auto"/>
              <w:right w:val="nil"/>
            </w:tcBorders>
            <w:shd w:val="clear" w:color="auto" w:fill="auto"/>
            <w:vAlign w:val="bottom"/>
            <w:hideMark/>
          </w:tcPr>
          <w:p w14:paraId="4E0061D8" w14:textId="77777777" w:rsidR="00B9311E" w:rsidRPr="00BD77D8" w:rsidRDefault="00B9311E" w:rsidP="00B9311E">
            <w:pPr>
              <w:spacing w:after="0" w:line="240" w:lineRule="auto"/>
              <w:jc w:val="right"/>
              <w:rPr>
                <w:b/>
                <w:bCs/>
                <w:sz w:val="18"/>
                <w:szCs w:val="18"/>
              </w:rPr>
            </w:pPr>
            <w:r w:rsidRPr="00BD77D8">
              <w:rPr>
                <w:b/>
                <w:bCs/>
                <w:sz w:val="18"/>
                <w:szCs w:val="18"/>
              </w:rPr>
              <w:t xml:space="preserve">                  (4) </w:t>
            </w:r>
          </w:p>
        </w:tc>
        <w:tc>
          <w:tcPr>
            <w:tcW w:w="1248" w:type="dxa"/>
            <w:tcBorders>
              <w:top w:val="single" w:sz="4" w:space="0" w:color="auto"/>
              <w:left w:val="nil"/>
              <w:bottom w:val="single" w:sz="4" w:space="0" w:color="auto"/>
              <w:right w:val="nil"/>
            </w:tcBorders>
            <w:shd w:val="clear" w:color="auto" w:fill="auto"/>
            <w:vAlign w:val="bottom"/>
            <w:hideMark/>
          </w:tcPr>
          <w:p w14:paraId="7FB67D19" w14:textId="77777777" w:rsidR="00B9311E" w:rsidRPr="00BD77D8" w:rsidRDefault="00B9311E" w:rsidP="00B9311E">
            <w:pPr>
              <w:spacing w:after="0" w:line="240" w:lineRule="auto"/>
              <w:jc w:val="right"/>
              <w:rPr>
                <w:b/>
                <w:bCs/>
                <w:sz w:val="18"/>
                <w:szCs w:val="18"/>
              </w:rPr>
            </w:pPr>
            <w:r w:rsidRPr="00BD77D8">
              <w:rPr>
                <w:b/>
                <w:bCs/>
                <w:sz w:val="18"/>
                <w:szCs w:val="18"/>
              </w:rPr>
              <w:t xml:space="preserve">     (1,459)</w:t>
            </w:r>
          </w:p>
        </w:tc>
      </w:tr>
    </w:tbl>
    <w:p w14:paraId="1B8692FA" w14:textId="77777777" w:rsidR="00B9311E" w:rsidRPr="00BD77D8" w:rsidRDefault="00B9311E" w:rsidP="00727CAE">
      <w:pPr>
        <w:tabs>
          <w:tab w:val="left" w:pos="360"/>
        </w:tabs>
        <w:spacing w:before="240" w:after="0" w:line="203" w:lineRule="exact"/>
        <w:textAlignment w:val="baseline"/>
        <w:rPr>
          <w:rFonts w:eastAsia="Arial"/>
          <w:b/>
          <w:bCs/>
          <w:sz w:val="16"/>
          <w:szCs w:val="16"/>
          <w:lang w:eastAsia="en-US"/>
        </w:rPr>
      </w:pPr>
      <w:bookmarkStart w:id="322" w:name="RANGE!B8"/>
      <w:bookmarkEnd w:id="322"/>
      <w:r w:rsidRPr="00BD77D8">
        <w:rPr>
          <w:rFonts w:eastAsia="Arial"/>
          <w:sz w:val="16"/>
          <w:szCs w:val="16"/>
          <w:lang w:eastAsia="en-US"/>
        </w:rPr>
        <w:t>^ These figures represent budgeted figures as published in the 2021-22 Service Delivery Statement tabled in Parliament.</w:t>
      </w:r>
    </w:p>
    <w:p w14:paraId="14C12F5B" w14:textId="77777777" w:rsidR="00B9311E" w:rsidRPr="00BD77D8" w:rsidRDefault="00B9311E" w:rsidP="00B9311E">
      <w:pPr>
        <w:tabs>
          <w:tab w:val="left" w:pos="360"/>
        </w:tabs>
        <w:spacing w:after="0" w:line="203" w:lineRule="exact"/>
        <w:textAlignment w:val="baseline"/>
        <w:rPr>
          <w:rFonts w:eastAsia="Arial"/>
          <w:b/>
          <w:bCs/>
          <w:sz w:val="16"/>
          <w:szCs w:val="16"/>
          <w:lang w:eastAsia="en-US"/>
        </w:rPr>
      </w:pPr>
      <w:r w:rsidRPr="00BD77D8">
        <w:rPr>
          <w:rFonts w:eastAsia="Arial"/>
          <w:sz w:val="16"/>
          <w:szCs w:val="16"/>
          <w:lang w:eastAsia="en-US"/>
        </w:rPr>
        <w:t>*  An explanation of major variances is included at Note G1-10.</w:t>
      </w:r>
    </w:p>
    <w:p w14:paraId="37D8476B" w14:textId="77777777" w:rsidR="00B9311E" w:rsidRPr="00BD77D8" w:rsidRDefault="00B9311E" w:rsidP="0089639E">
      <w:pPr>
        <w:spacing w:before="120" w:after="0" w:line="205" w:lineRule="exact"/>
        <w:textAlignment w:val="baseline"/>
        <w:rPr>
          <w:rFonts w:eastAsia="Arial"/>
          <w:iCs/>
          <w:spacing w:val="-3"/>
          <w:sz w:val="16"/>
          <w:szCs w:val="16"/>
          <w:lang w:eastAsia="en-US"/>
        </w:rPr>
      </w:pPr>
      <w:r w:rsidRPr="00BD77D8">
        <w:rPr>
          <w:rFonts w:eastAsia="Arial"/>
          <w:iCs/>
          <w:spacing w:val="-3"/>
          <w:sz w:val="16"/>
          <w:szCs w:val="16"/>
          <w:lang w:eastAsia="en-US"/>
        </w:rPr>
        <w:t>The accompanying notes form part of these financial statements.</w:t>
      </w:r>
    </w:p>
    <w:p w14:paraId="28AFB664" w14:textId="77777777" w:rsidR="00A5785D" w:rsidRPr="00BD77D8" w:rsidRDefault="00A5785D" w:rsidP="0089639E">
      <w:pPr>
        <w:spacing w:before="360" w:after="0" w:line="205" w:lineRule="exact"/>
        <w:textAlignment w:val="baseline"/>
        <w:rPr>
          <w:rFonts w:eastAsia="Arial"/>
          <w:iCs/>
          <w:spacing w:val="-3"/>
          <w:sz w:val="18"/>
          <w:szCs w:val="18"/>
          <w:lang w:eastAsia="en-US"/>
        </w:rPr>
      </w:pP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b/>
          <w:bCs/>
          <w:iCs/>
          <w:spacing w:val="-3"/>
          <w:sz w:val="16"/>
          <w:szCs w:val="16"/>
          <w:lang w:eastAsia="en-US"/>
        </w:rPr>
        <w:tab/>
      </w:r>
      <w:r w:rsidRPr="00BD77D8">
        <w:rPr>
          <w:rFonts w:eastAsia="Arial"/>
          <w:iCs/>
          <w:spacing w:val="-3"/>
          <w:sz w:val="18"/>
          <w:szCs w:val="18"/>
          <w:lang w:eastAsia="en-US"/>
        </w:rPr>
        <w:t>Page 40 of 45</w:t>
      </w:r>
    </w:p>
    <w:p w14:paraId="2D543958" w14:textId="192F5E04" w:rsidR="00A5785D" w:rsidRPr="00BD77D8" w:rsidRDefault="00A5785D" w:rsidP="00B9311E">
      <w:pPr>
        <w:spacing w:after="0" w:line="205" w:lineRule="exact"/>
        <w:textAlignment w:val="baseline"/>
        <w:rPr>
          <w:rFonts w:eastAsia="PMingLiU"/>
          <w:sz w:val="18"/>
          <w:szCs w:val="18"/>
          <w:lang w:eastAsia="en-US"/>
        </w:rPr>
        <w:sectPr w:rsidR="00A5785D" w:rsidRPr="00BD77D8" w:rsidSect="005A1D36">
          <w:pgSz w:w="11909" w:h="16838"/>
          <w:pgMar w:top="794" w:right="794" w:bottom="794" w:left="794" w:header="720" w:footer="720" w:gutter="0"/>
          <w:cols w:space="720"/>
        </w:sectPr>
      </w:pPr>
    </w:p>
    <w:p w14:paraId="1328C09C"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1D71D9C5" w14:textId="77777777" w:rsidR="00B9311E" w:rsidRPr="00BD77D8" w:rsidRDefault="00B9311E" w:rsidP="007150A3">
      <w:pPr>
        <w:spacing w:after="0" w:line="199" w:lineRule="exact"/>
        <w:textAlignment w:val="baseline"/>
        <w:rPr>
          <w:rFonts w:eastAsia="Arial"/>
          <w:b/>
          <w:bCs/>
          <w:sz w:val="18"/>
          <w:szCs w:val="18"/>
          <w:lang w:eastAsia="en-US"/>
        </w:rPr>
      </w:pPr>
      <w:bookmarkStart w:id="323" w:name="_Toc111494830"/>
      <w:r w:rsidRPr="00BD77D8">
        <w:rPr>
          <w:rFonts w:eastAsia="Arial"/>
          <w:b/>
          <w:bCs/>
          <w:sz w:val="18"/>
          <w:szCs w:val="18"/>
          <w:lang w:eastAsia="en-US"/>
        </w:rPr>
        <w:t>Notes to the Financial Statements - Administered</w:t>
      </w:r>
      <w:bookmarkEnd w:id="323"/>
    </w:p>
    <w:p w14:paraId="33BC1DC7" w14:textId="77777777" w:rsidR="00B9311E" w:rsidRPr="00BD77D8" w:rsidRDefault="00B9311E" w:rsidP="00B9311E">
      <w:pPr>
        <w:spacing w:after="0" w:line="196" w:lineRule="exact"/>
        <w:textAlignment w:val="baseline"/>
        <w:rPr>
          <w:rFonts w:eastAsia="Arial"/>
          <w:b/>
          <w:bCs/>
          <w:spacing w:val="-1"/>
          <w:sz w:val="18"/>
          <w:szCs w:val="18"/>
          <w:lang w:eastAsia="en-US"/>
        </w:rPr>
      </w:pPr>
      <w:r w:rsidRPr="00BD77D8">
        <w:rPr>
          <w:rFonts w:eastAsia="Arial"/>
          <w:b/>
          <w:bCs/>
          <w:spacing w:val="-1"/>
          <w:sz w:val="18"/>
          <w:szCs w:val="18"/>
          <w:lang w:eastAsia="en-US"/>
        </w:rPr>
        <w:t>as at 30 June 2022</w:t>
      </w:r>
    </w:p>
    <w:p w14:paraId="52CF3282" w14:textId="77777777" w:rsidR="00B9311E" w:rsidRPr="00BD77D8" w:rsidRDefault="00B9311E" w:rsidP="00B9311E">
      <w:pPr>
        <w:pBdr>
          <w:bottom w:val="single" w:sz="4" w:space="1" w:color="auto"/>
        </w:pBdr>
        <w:spacing w:after="0" w:line="196" w:lineRule="exact"/>
        <w:textAlignment w:val="baseline"/>
        <w:rPr>
          <w:rFonts w:eastAsia="Arial"/>
          <w:b/>
          <w:bCs/>
          <w:spacing w:val="-1"/>
          <w:sz w:val="18"/>
          <w:szCs w:val="18"/>
          <w:lang w:eastAsia="en-US"/>
        </w:rPr>
      </w:pPr>
    </w:p>
    <w:p w14:paraId="4552DE51" w14:textId="25368E77" w:rsidR="00B9311E" w:rsidRPr="00BD77D8" w:rsidRDefault="00B9311E" w:rsidP="00727CAE">
      <w:pPr>
        <w:spacing w:before="240"/>
        <w:rPr>
          <w:rFonts w:eastAsia="PMingLiU"/>
          <w:sz w:val="18"/>
          <w:szCs w:val="22"/>
          <w:lang w:val="en-US" w:eastAsia="en-US"/>
        </w:rPr>
      </w:pPr>
      <w:bookmarkStart w:id="324" w:name="_Toc111540702"/>
      <w:bookmarkStart w:id="325" w:name="_Toc111559266"/>
      <w:bookmarkStart w:id="326" w:name="_Toc113196538"/>
      <w:bookmarkStart w:id="327" w:name="_Toc113196886"/>
      <w:bookmarkStart w:id="328" w:name="_Toc113262016"/>
      <w:bookmarkStart w:id="329" w:name="_Toc113349170"/>
      <w:bookmarkStart w:id="330" w:name="_Toc113358095"/>
      <w:r w:rsidRPr="00BD77D8">
        <w:rPr>
          <w:b/>
          <w:bCs/>
          <w:sz w:val="20"/>
          <w:szCs w:val="20"/>
          <w:lang w:eastAsia="en-US"/>
        </w:rPr>
        <w:t>G1-3 Appropriation Revenue</w:t>
      </w:r>
      <w:bookmarkEnd w:id="324"/>
      <w:bookmarkEnd w:id="325"/>
      <w:bookmarkEnd w:id="326"/>
      <w:bookmarkEnd w:id="327"/>
      <w:bookmarkEnd w:id="328"/>
      <w:bookmarkEnd w:id="329"/>
      <w:bookmarkEnd w:id="330"/>
    </w:p>
    <w:tbl>
      <w:tblPr>
        <w:tblW w:w="10338" w:type="dxa"/>
        <w:tblCellMar>
          <w:left w:w="0" w:type="dxa"/>
          <w:right w:w="0" w:type="dxa"/>
        </w:tblCellMar>
        <w:tblLook w:val="04A0" w:firstRow="1" w:lastRow="0" w:firstColumn="1" w:lastColumn="0" w:noHBand="0" w:noVBand="1"/>
      </w:tblPr>
      <w:tblGrid>
        <w:gridCol w:w="7993"/>
        <w:gridCol w:w="1190"/>
        <w:gridCol w:w="1155"/>
      </w:tblGrid>
      <w:tr w:rsidR="00BD77D8" w:rsidRPr="00BD77D8" w14:paraId="6372119F" w14:textId="77777777" w:rsidTr="003057FB">
        <w:trPr>
          <w:trHeight w:val="269"/>
        </w:trPr>
        <w:tc>
          <w:tcPr>
            <w:tcW w:w="0" w:type="auto"/>
            <w:tcBorders>
              <w:top w:val="nil"/>
              <w:left w:val="nil"/>
              <w:bottom w:val="nil"/>
              <w:right w:val="nil"/>
            </w:tcBorders>
            <w:shd w:val="clear" w:color="auto" w:fill="auto"/>
            <w:noWrap/>
            <w:vAlign w:val="bottom"/>
            <w:hideMark/>
          </w:tcPr>
          <w:p w14:paraId="1727AB49" w14:textId="77777777" w:rsidR="00B9311E" w:rsidRPr="00BD77D8" w:rsidRDefault="00B9311E" w:rsidP="00B9311E">
            <w:pPr>
              <w:spacing w:after="0" w:line="240" w:lineRule="auto"/>
              <w:rPr>
                <w:b/>
                <w:bCs/>
                <w:sz w:val="18"/>
                <w:szCs w:val="18"/>
              </w:rPr>
            </w:pPr>
            <w:r w:rsidRPr="00BD77D8">
              <w:rPr>
                <w:b/>
                <w:bCs/>
                <w:sz w:val="18"/>
                <w:szCs w:val="18"/>
              </w:rPr>
              <w:t>Appropriation Revenue</w:t>
            </w:r>
          </w:p>
        </w:tc>
        <w:tc>
          <w:tcPr>
            <w:tcW w:w="0" w:type="auto"/>
            <w:tcBorders>
              <w:top w:val="nil"/>
              <w:left w:val="nil"/>
              <w:bottom w:val="nil"/>
              <w:right w:val="nil"/>
            </w:tcBorders>
            <w:shd w:val="clear" w:color="auto" w:fill="auto"/>
            <w:noWrap/>
            <w:vAlign w:val="bottom"/>
            <w:hideMark/>
          </w:tcPr>
          <w:p w14:paraId="67E2CB89" w14:textId="77777777" w:rsidR="00B9311E" w:rsidRPr="00BD77D8" w:rsidRDefault="00B9311E" w:rsidP="00B9311E">
            <w:pPr>
              <w:spacing w:after="0" w:line="240" w:lineRule="auto"/>
              <w:rPr>
                <w:b/>
                <w:bCs/>
                <w:sz w:val="18"/>
                <w:szCs w:val="18"/>
              </w:rPr>
            </w:pPr>
          </w:p>
        </w:tc>
        <w:tc>
          <w:tcPr>
            <w:tcW w:w="1139" w:type="dxa"/>
            <w:tcBorders>
              <w:top w:val="nil"/>
              <w:left w:val="nil"/>
              <w:bottom w:val="nil"/>
              <w:right w:val="nil"/>
            </w:tcBorders>
            <w:shd w:val="clear" w:color="auto" w:fill="auto"/>
            <w:noWrap/>
            <w:vAlign w:val="bottom"/>
            <w:hideMark/>
          </w:tcPr>
          <w:p w14:paraId="02A73392" w14:textId="77777777" w:rsidR="00B9311E" w:rsidRPr="00BD77D8" w:rsidRDefault="00B9311E" w:rsidP="00B9311E">
            <w:pPr>
              <w:spacing w:after="0" w:line="240" w:lineRule="auto"/>
              <w:jc w:val="center"/>
              <w:rPr>
                <w:rFonts w:ascii="Times New Roman" w:hAnsi="Times New Roman" w:cs="Times New Roman"/>
                <w:sz w:val="20"/>
                <w:szCs w:val="20"/>
              </w:rPr>
            </w:pPr>
          </w:p>
        </w:tc>
      </w:tr>
      <w:tr w:rsidR="00BD77D8" w:rsidRPr="00BD77D8" w14:paraId="1F90D131" w14:textId="77777777" w:rsidTr="003057FB">
        <w:trPr>
          <w:trHeight w:val="269"/>
        </w:trPr>
        <w:tc>
          <w:tcPr>
            <w:tcW w:w="0" w:type="auto"/>
            <w:tcBorders>
              <w:top w:val="nil"/>
              <w:left w:val="nil"/>
              <w:bottom w:val="nil"/>
              <w:right w:val="nil"/>
            </w:tcBorders>
            <w:shd w:val="clear" w:color="auto" w:fill="auto"/>
            <w:noWrap/>
            <w:vAlign w:val="bottom"/>
            <w:hideMark/>
          </w:tcPr>
          <w:p w14:paraId="2A1AF9B3"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7EA18F3" w14:textId="77777777" w:rsidR="00B9311E" w:rsidRPr="00BD77D8" w:rsidRDefault="00B9311E" w:rsidP="00B9311E">
            <w:pPr>
              <w:spacing w:after="0" w:line="240" w:lineRule="auto"/>
              <w:jc w:val="right"/>
              <w:rPr>
                <w:b/>
                <w:bCs/>
                <w:sz w:val="18"/>
                <w:szCs w:val="18"/>
              </w:rPr>
            </w:pPr>
            <w:r w:rsidRPr="00BD77D8">
              <w:rPr>
                <w:b/>
                <w:bCs/>
                <w:sz w:val="18"/>
                <w:szCs w:val="18"/>
              </w:rPr>
              <w:t xml:space="preserve">             2022 </w:t>
            </w:r>
          </w:p>
        </w:tc>
        <w:tc>
          <w:tcPr>
            <w:tcW w:w="1139" w:type="dxa"/>
            <w:tcBorders>
              <w:top w:val="nil"/>
              <w:left w:val="nil"/>
              <w:bottom w:val="nil"/>
              <w:right w:val="nil"/>
            </w:tcBorders>
            <w:shd w:val="clear" w:color="auto" w:fill="auto"/>
            <w:noWrap/>
            <w:hideMark/>
          </w:tcPr>
          <w:p w14:paraId="1ACC02B6" w14:textId="77777777" w:rsidR="00B9311E" w:rsidRPr="00BD77D8" w:rsidRDefault="00B9311E" w:rsidP="00B9311E">
            <w:pPr>
              <w:spacing w:after="0" w:line="240" w:lineRule="auto"/>
              <w:jc w:val="right"/>
              <w:rPr>
                <w:b/>
                <w:bCs/>
                <w:sz w:val="18"/>
                <w:szCs w:val="18"/>
              </w:rPr>
            </w:pPr>
            <w:r w:rsidRPr="00BD77D8">
              <w:rPr>
                <w:b/>
                <w:bCs/>
                <w:sz w:val="18"/>
                <w:szCs w:val="18"/>
              </w:rPr>
              <w:t xml:space="preserve">            2021 </w:t>
            </w:r>
          </w:p>
        </w:tc>
      </w:tr>
      <w:tr w:rsidR="00BD77D8" w:rsidRPr="00BD77D8" w14:paraId="56E5648B" w14:textId="77777777" w:rsidTr="003057FB">
        <w:trPr>
          <w:trHeight w:val="269"/>
        </w:trPr>
        <w:tc>
          <w:tcPr>
            <w:tcW w:w="0" w:type="auto"/>
            <w:tcBorders>
              <w:top w:val="nil"/>
              <w:left w:val="nil"/>
              <w:bottom w:val="nil"/>
              <w:right w:val="nil"/>
            </w:tcBorders>
            <w:shd w:val="clear" w:color="auto" w:fill="auto"/>
            <w:noWrap/>
            <w:vAlign w:val="bottom"/>
            <w:hideMark/>
          </w:tcPr>
          <w:p w14:paraId="11B60CCF" w14:textId="77777777" w:rsidR="00B9311E" w:rsidRPr="00BD77D8" w:rsidRDefault="00B9311E" w:rsidP="00B9311E">
            <w:pPr>
              <w:spacing w:after="0" w:line="240" w:lineRule="auto"/>
              <w:jc w:val="right"/>
              <w:rPr>
                <w:b/>
                <w:bCs/>
                <w:sz w:val="18"/>
                <w:szCs w:val="18"/>
              </w:rPr>
            </w:pPr>
          </w:p>
        </w:tc>
        <w:tc>
          <w:tcPr>
            <w:tcW w:w="0" w:type="auto"/>
            <w:tcBorders>
              <w:top w:val="nil"/>
              <w:left w:val="nil"/>
              <w:bottom w:val="single" w:sz="4" w:space="0" w:color="auto"/>
              <w:right w:val="nil"/>
            </w:tcBorders>
            <w:shd w:val="clear" w:color="auto" w:fill="auto"/>
            <w:noWrap/>
            <w:hideMark/>
          </w:tcPr>
          <w:p w14:paraId="10162A08"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139" w:type="dxa"/>
            <w:tcBorders>
              <w:top w:val="nil"/>
              <w:left w:val="nil"/>
              <w:bottom w:val="single" w:sz="4" w:space="0" w:color="auto"/>
              <w:right w:val="nil"/>
            </w:tcBorders>
            <w:shd w:val="clear" w:color="auto" w:fill="auto"/>
            <w:noWrap/>
            <w:hideMark/>
          </w:tcPr>
          <w:p w14:paraId="3D573DAA"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4EC28929" w14:textId="77777777" w:rsidTr="003057FB">
        <w:trPr>
          <w:trHeight w:val="269"/>
        </w:trPr>
        <w:tc>
          <w:tcPr>
            <w:tcW w:w="0" w:type="auto"/>
            <w:tcBorders>
              <w:top w:val="nil"/>
              <w:left w:val="nil"/>
              <w:bottom w:val="nil"/>
              <w:right w:val="nil"/>
            </w:tcBorders>
            <w:shd w:val="clear" w:color="auto" w:fill="auto"/>
            <w:noWrap/>
            <w:vAlign w:val="bottom"/>
            <w:hideMark/>
          </w:tcPr>
          <w:p w14:paraId="394F14C5" w14:textId="77777777" w:rsidR="00B9311E" w:rsidRPr="00BD77D8" w:rsidRDefault="00B9311E" w:rsidP="00B9311E">
            <w:pPr>
              <w:spacing w:after="0" w:line="240" w:lineRule="auto"/>
              <w:rPr>
                <w:b/>
                <w:bCs/>
                <w:sz w:val="18"/>
                <w:szCs w:val="18"/>
              </w:rPr>
            </w:pPr>
            <w:r w:rsidRPr="00BD77D8">
              <w:rPr>
                <w:b/>
                <w:bCs/>
                <w:sz w:val="18"/>
                <w:szCs w:val="18"/>
              </w:rPr>
              <w:t>Reconciliation of Payments from Consolidated Fund to Administered Income</w:t>
            </w:r>
          </w:p>
        </w:tc>
        <w:tc>
          <w:tcPr>
            <w:tcW w:w="0" w:type="auto"/>
            <w:tcBorders>
              <w:top w:val="nil"/>
              <w:left w:val="nil"/>
              <w:bottom w:val="nil"/>
              <w:right w:val="nil"/>
            </w:tcBorders>
            <w:shd w:val="clear" w:color="auto" w:fill="auto"/>
            <w:noWrap/>
            <w:vAlign w:val="bottom"/>
            <w:hideMark/>
          </w:tcPr>
          <w:p w14:paraId="29DC8F1A" w14:textId="77777777" w:rsidR="00B9311E" w:rsidRPr="00BD77D8" w:rsidRDefault="00B9311E" w:rsidP="00B9311E">
            <w:pPr>
              <w:spacing w:after="0" w:line="240" w:lineRule="auto"/>
              <w:rPr>
                <w:b/>
                <w:bCs/>
                <w:sz w:val="18"/>
                <w:szCs w:val="18"/>
              </w:rPr>
            </w:pPr>
          </w:p>
        </w:tc>
        <w:tc>
          <w:tcPr>
            <w:tcW w:w="1139" w:type="dxa"/>
            <w:tcBorders>
              <w:top w:val="nil"/>
              <w:left w:val="nil"/>
              <w:bottom w:val="nil"/>
              <w:right w:val="nil"/>
            </w:tcBorders>
            <w:shd w:val="clear" w:color="auto" w:fill="auto"/>
            <w:noWrap/>
            <w:vAlign w:val="bottom"/>
            <w:hideMark/>
          </w:tcPr>
          <w:p w14:paraId="0D6AA181" w14:textId="77777777" w:rsidR="00B9311E" w:rsidRPr="00BD77D8" w:rsidRDefault="00B9311E" w:rsidP="00B9311E">
            <w:pPr>
              <w:spacing w:after="0" w:line="240" w:lineRule="auto"/>
              <w:jc w:val="center"/>
              <w:rPr>
                <w:rFonts w:ascii="Times New Roman" w:hAnsi="Times New Roman" w:cs="Times New Roman"/>
                <w:sz w:val="20"/>
                <w:szCs w:val="20"/>
              </w:rPr>
            </w:pPr>
          </w:p>
        </w:tc>
      </w:tr>
      <w:tr w:rsidR="00BD77D8" w:rsidRPr="00BD77D8" w14:paraId="0134139F" w14:textId="77777777" w:rsidTr="003057FB">
        <w:trPr>
          <w:trHeight w:val="269"/>
        </w:trPr>
        <w:tc>
          <w:tcPr>
            <w:tcW w:w="0" w:type="auto"/>
            <w:tcBorders>
              <w:top w:val="nil"/>
              <w:left w:val="nil"/>
              <w:bottom w:val="nil"/>
              <w:right w:val="nil"/>
            </w:tcBorders>
            <w:shd w:val="clear" w:color="auto" w:fill="auto"/>
            <w:noWrap/>
            <w:vAlign w:val="bottom"/>
            <w:hideMark/>
          </w:tcPr>
          <w:p w14:paraId="1814C5AF" w14:textId="77777777" w:rsidR="00B9311E" w:rsidRPr="00BD77D8" w:rsidRDefault="00B9311E" w:rsidP="00B9311E">
            <w:pPr>
              <w:spacing w:after="0" w:line="240" w:lineRule="auto"/>
              <w:rPr>
                <w:sz w:val="18"/>
                <w:szCs w:val="18"/>
              </w:rPr>
            </w:pPr>
            <w:r w:rsidRPr="00BD77D8">
              <w:rPr>
                <w:sz w:val="18"/>
                <w:szCs w:val="18"/>
              </w:rPr>
              <w:t>Budgeted appropriation</w:t>
            </w:r>
          </w:p>
        </w:tc>
        <w:tc>
          <w:tcPr>
            <w:tcW w:w="0" w:type="auto"/>
            <w:tcBorders>
              <w:top w:val="nil"/>
              <w:left w:val="nil"/>
              <w:bottom w:val="nil"/>
              <w:right w:val="nil"/>
            </w:tcBorders>
            <w:shd w:val="clear" w:color="auto" w:fill="auto"/>
            <w:vAlign w:val="center"/>
            <w:hideMark/>
          </w:tcPr>
          <w:p w14:paraId="6FF0919B" w14:textId="77777777" w:rsidR="00B9311E" w:rsidRPr="00BD77D8" w:rsidRDefault="00B9311E" w:rsidP="00B9311E">
            <w:pPr>
              <w:spacing w:after="0" w:line="240" w:lineRule="auto"/>
              <w:jc w:val="right"/>
              <w:rPr>
                <w:sz w:val="18"/>
                <w:szCs w:val="18"/>
              </w:rPr>
            </w:pPr>
            <w:r w:rsidRPr="00BD77D8">
              <w:rPr>
                <w:sz w:val="18"/>
                <w:szCs w:val="18"/>
              </w:rPr>
              <w:t xml:space="preserve">    2,434,745 </w:t>
            </w:r>
          </w:p>
        </w:tc>
        <w:tc>
          <w:tcPr>
            <w:tcW w:w="1139" w:type="dxa"/>
            <w:tcBorders>
              <w:top w:val="nil"/>
              <w:left w:val="nil"/>
              <w:bottom w:val="nil"/>
              <w:right w:val="nil"/>
            </w:tcBorders>
            <w:shd w:val="clear" w:color="auto" w:fill="auto"/>
            <w:vAlign w:val="center"/>
            <w:hideMark/>
          </w:tcPr>
          <w:p w14:paraId="7B0EC8A3" w14:textId="77777777" w:rsidR="00B9311E" w:rsidRPr="00BD77D8" w:rsidRDefault="00B9311E" w:rsidP="00B9311E">
            <w:pPr>
              <w:spacing w:after="0" w:line="240" w:lineRule="auto"/>
              <w:jc w:val="right"/>
              <w:rPr>
                <w:sz w:val="18"/>
                <w:szCs w:val="18"/>
              </w:rPr>
            </w:pPr>
            <w:r w:rsidRPr="00BD77D8">
              <w:rPr>
                <w:sz w:val="18"/>
                <w:szCs w:val="18"/>
              </w:rPr>
              <w:t xml:space="preserve">   2,423,678 </w:t>
            </w:r>
          </w:p>
        </w:tc>
      </w:tr>
      <w:tr w:rsidR="00BD77D8" w:rsidRPr="00BD77D8" w14:paraId="6147C3C3" w14:textId="77777777" w:rsidTr="003057FB">
        <w:trPr>
          <w:trHeight w:val="269"/>
        </w:trPr>
        <w:tc>
          <w:tcPr>
            <w:tcW w:w="0" w:type="auto"/>
            <w:tcBorders>
              <w:top w:val="nil"/>
              <w:left w:val="nil"/>
              <w:bottom w:val="nil"/>
              <w:right w:val="nil"/>
            </w:tcBorders>
            <w:shd w:val="clear" w:color="auto" w:fill="auto"/>
            <w:noWrap/>
            <w:vAlign w:val="bottom"/>
            <w:hideMark/>
          </w:tcPr>
          <w:p w14:paraId="45E17EB9" w14:textId="77777777" w:rsidR="00B9311E" w:rsidRPr="00BD77D8" w:rsidRDefault="00B9311E" w:rsidP="00B9311E">
            <w:pPr>
              <w:spacing w:after="0" w:line="240" w:lineRule="auto"/>
              <w:rPr>
                <w:sz w:val="18"/>
                <w:szCs w:val="18"/>
              </w:rPr>
            </w:pPr>
            <w:r w:rsidRPr="00BD77D8">
              <w:rPr>
                <w:sz w:val="18"/>
                <w:szCs w:val="18"/>
              </w:rPr>
              <w:t>Transfers from Administered services</w:t>
            </w:r>
          </w:p>
        </w:tc>
        <w:tc>
          <w:tcPr>
            <w:tcW w:w="0" w:type="auto"/>
            <w:tcBorders>
              <w:top w:val="nil"/>
              <w:left w:val="nil"/>
              <w:bottom w:val="nil"/>
              <w:right w:val="nil"/>
            </w:tcBorders>
            <w:shd w:val="clear" w:color="auto" w:fill="auto"/>
            <w:vAlign w:val="center"/>
            <w:hideMark/>
          </w:tcPr>
          <w:p w14:paraId="76C74F61"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39" w:type="dxa"/>
            <w:tcBorders>
              <w:top w:val="nil"/>
              <w:left w:val="nil"/>
              <w:bottom w:val="nil"/>
              <w:right w:val="nil"/>
            </w:tcBorders>
            <w:shd w:val="clear" w:color="auto" w:fill="auto"/>
            <w:vAlign w:val="center"/>
            <w:hideMark/>
          </w:tcPr>
          <w:p w14:paraId="573D2F2D" w14:textId="77777777" w:rsidR="00B9311E" w:rsidRPr="00BD77D8" w:rsidRDefault="00B9311E" w:rsidP="00B9311E">
            <w:pPr>
              <w:spacing w:after="0" w:line="240" w:lineRule="auto"/>
              <w:jc w:val="right"/>
              <w:rPr>
                <w:sz w:val="18"/>
                <w:szCs w:val="18"/>
              </w:rPr>
            </w:pPr>
            <w:r w:rsidRPr="00BD77D8">
              <w:rPr>
                <w:sz w:val="18"/>
                <w:szCs w:val="18"/>
              </w:rPr>
              <w:t xml:space="preserve">           5,520 </w:t>
            </w:r>
          </w:p>
        </w:tc>
      </w:tr>
      <w:tr w:rsidR="00BD77D8" w:rsidRPr="00BD77D8" w14:paraId="5DCB51EA" w14:textId="77777777" w:rsidTr="003057FB">
        <w:trPr>
          <w:trHeight w:val="269"/>
        </w:trPr>
        <w:tc>
          <w:tcPr>
            <w:tcW w:w="0" w:type="auto"/>
            <w:tcBorders>
              <w:top w:val="nil"/>
              <w:left w:val="nil"/>
              <w:bottom w:val="nil"/>
              <w:right w:val="nil"/>
            </w:tcBorders>
            <w:shd w:val="clear" w:color="auto" w:fill="auto"/>
            <w:noWrap/>
            <w:vAlign w:val="bottom"/>
            <w:hideMark/>
          </w:tcPr>
          <w:p w14:paraId="192DF7B1" w14:textId="77777777" w:rsidR="00B9311E" w:rsidRPr="00BD77D8" w:rsidRDefault="00B9311E" w:rsidP="00B9311E">
            <w:pPr>
              <w:spacing w:after="0" w:line="240" w:lineRule="auto"/>
              <w:rPr>
                <w:sz w:val="18"/>
                <w:szCs w:val="18"/>
              </w:rPr>
            </w:pPr>
            <w:r w:rsidRPr="00BD77D8">
              <w:rPr>
                <w:sz w:val="18"/>
                <w:szCs w:val="18"/>
              </w:rPr>
              <w:t>Lapsed administered appropriation</w:t>
            </w:r>
          </w:p>
        </w:tc>
        <w:tc>
          <w:tcPr>
            <w:tcW w:w="0" w:type="auto"/>
            <w:tcBorders>
              <w:top w:val="nil"/>
              <w:left w:val="nil"/>
              <w:bottom w:val="nil"/>
              <w:right w:val="nil"/>
            </w:tcBorders>
            <w:shd w:val="clear" w:color="auto" w:fill="auto"/>
            <w:vAlign w:val="center"/>
            <w:hideMark/>
          </w:tcPr>
          <w:p w14:paraId="138411B4" w14:textId="77777777" w:rsidR="00B9311E" w:rsidRPr="00BD77D8" w:rsidRDefault="00B9311E" w:rsidP="00B9311E">
            <w:pPr>
              <w:spacing w:after="0" w:line="240" w:lineRule="auto"/>
              <w:jc w:val="right"/>
              <w:rPr>
                <w:sz w:val="18"/>
                <w:szCs w:val="18"/>
              </w:rPr>
            </w:pPr>
            <w:r w:rsidRPr="00BD77D8">
              <w:rPr>
                <w:sz w:val="18"/>
                <w:szCs w:val="18"/>
              </w:rPr>
              <w:t xml:space="preserve">        (17,514)</w:t>
            </w:r>
          </w:p>
        </w:tc>
        <w:tc>
          <w:tcPr>
            <w:tcW w:w="1139" w:type="dxa"/>
            <w:tcBorders>
              <w:top w:val="nil"/>
              <w:left w:val="nil"/>
              <w:bottom w:val="nil"/>
              <w:right w:val="nil"/>
            </w:tcBorders>
            <w:shd w:val="clear" w:color="auto" w:fill="auto"/>
            <w:vAlign w:val="center"/>
            <w:hideMark/>
          </w:tcPr>
          <w:p w14:paraId="4CA7D60B"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1F445B4D" w14:textId="77777777" w:rsidTr="003057FB">
        <w:trPr>
          <w:trHeight w:val="269"/>
        </w:trPr>
        <w:tc>
          <w:tcPr>
            <w:tcW w:w="0" w:type="auto"/>
            <w:tcBorders>
              <w:top w:val="nil"/>
              <w:left w:val="nil"/>
              <w:bottom w:val="nil"/>
              <w:right w:val="nil"/>
            </w:tcBorders>
            <w:shd w:val="clear" w:color="auto" w:fill="auto"/>
            <w:noWrap/>
            <w:vAlign w:val="bottom"/>
            <w:hideMark/>
          </w:tcPr>
          <w:p w14:paraId="5C1269C1" w14:textId="77777777" w:rsidR="00B9311E" w:rsidRPr="00BD77D8" w:rsidRDefault="00B9311E" w:rsidP="00B9311E">
            <w:pPr>
              <w:spacing w:after="0" w:line="240" w:lineRule="auto"/>
              <w:rPr>
                <w:b/>
                <w:bCs/>
                <w:sz w:val="18"/>
                <w:szCs w:val="18"/>
              </w:rPr>
            </w:pPr>
            <w:r w:rsidRPr="00BD77D8">
              <w:rPr>
                <w:b/>
                <w:bCs/>
                <w:sz w:val="18"/>
                <w:szCs w:val="18"/>
              </w:rPr>
              <w:t>Total administered receipts</w:t>
            </w:r>
          </w:p>
        </w:tc>
        <w:tc>
          <w:tcPr>
            <w:tcW w:w="0" w:type="auto"/>
            <w:tcBorders>
              <w:top w:val="single" w:sz="4" w:space="0" w:color="auto"/>
              <w:left w:val="nil"/>
              <w:bottom w:val="single" w:sz="4" w:space="0" w:color="auto"/>
              <w:right w:val="nil"/>
            </w:tcBorders>
            <w:shd w:val="clear" w:color="auto" w:fill="auto"/>
            <w:vAlign w:val="center"/>
            <w:hideMark/>
          </w:tcPr>
          <w:p w14:paraId="496FF298" w14:textId="77777777" w:rsidR="00B9311E" w:rsidRPr="00BD77D8" w:rsidRDefault="00B9311E" w:rsidP="00B9311E">
            <w:pPr>
              <w:spacing w:after="0" w:line="240" w:lineRule="auto"/>
              <w:jc w:val="right"/>
              <w:rPr>
                <w:b/>
                <w:bCs/>
                <w:sz w:val="18"/>
                <w:szCs w:val="18"/>
              </w:rPr>
            </w:pPr>
            <w:r w:rsidRPr="00BD77D8">
              <w:rPr>
                <w:b/>
                <w:bCs/>
                <w:sz w:val="18"/>
                <w:szCs w:val="18"/>
              </w:rPr>
              <w:t xml:space="preserve">    2,417,231 </w:t>
            </w:r>
          </w:p>
        </w:tc>
        <w:tc>
          <w:tcPr>
            <w:tcW w:w="1139" w:type="dxa"/>
            <w:tcBorders>
              <w:top w:val="single" w:sz="4" w:space="0" w:color="auto"/>
              <w:left w:val="nil"/>
              <w:bottom w:val="single" w:sz="4" w:space="0" w:color="auto"/>
              <w:right w:val="nil"/>
            </w:tcBorders>
            <w:shd w:val="clear" w:color="auto" w:fill="auto"/>
            <w:vAlign w:val="center"/>
            <w:hideMark/>
          </w:tcPr>
          <w:p w14:paraId="66BA971F" w14:textId="77777777" w:rsidR="00B9311E" w:rsidRPr="00BD77D8" w:rsidRDefault="00B9311E" w:rsidP="00B9311E">
            <w:pPr>
              <w:spacing w:after="0" w:line="240" w:lineRule="auto"/>
              <w:jc w:val="right"/>
              <w:rPr>
                <w:b/>
                <w:bCs/>
                <w:sz w:val="18"/>
                <w:szCs w:val="18"/>
              </w:rPr>
            </w:pPr>
            <w:r w:rsidRPr="00BD77D8">
              <w:rPr>
                <w:b/>
                <w:bCs/>
                <w:sz w:val="18"/>
                <w:szCs w:val="18"/>
              </w:rPr>
              <w:t xml:space="preserve">   2,429,198 </w:t>
            </w:r>
          </w:p>
        </w:tc>
      </w:tr>
      <w:tr w:rsidR="00BD77D8" w:rsidRPr="00BD77D8" w14:paraId="51AFC9D4" w14:textId="77777777" w:rsidTr="003057FB">
        <w:trPr>
          <w:trHeight w:val="269"/>
        </w:trPr>
        <w:tc>
          <w:tcPr>
            <w:tcW w:w="0" w:type="auto"/>
            <w:tcBorders>
              <w:top w:val="nil"/>
              <w:left w:val="nil"/>
              <w:bottom w:val="nil"/>
              <w:right w:val="nil"/>
            </w:tcBorders>
            <w:shd w:val="clear" w:color="auto" w:fill="auto"/>
            <w:noWrap/>
            <w:vAlign w:val="bottom"/>
            <w:hideMark/>
          </w:tcPr>
          <w:p w14:paraId="1C6F670D" w14:textId="77777777" w:rsidR="00B9311E" w:rsidRPr="00BD77D8" w:rsidRDefault="00B9311E" w:rsidP="00B9311E">
            <w:pPr>
              <w:spacing w:after="0" w:line="240" w:lineRule="auto"/>
              <w:jc w:val="right"/>
              <w:rPr>
                <w:b/>
                <w:bCs/>
                <w:sz w:val="18"/>
                <w:szCs w:val="18"/>
              </w:rPr>
            </w:pPr>
          </w:p>
        </w:tc>
        <w:tc>
          <w:tcPr>
            <w:tcW w:w="0" w:type="auto"/>
            <w:tcBorders>
              <w:top w:val="nil"/>
              <w:left w:val="nil"/>
              <w:bottom w:val="nil"/>
              <w:right w:val="nil"/>
            </w:tcBorders>
            <w:shd w:val="clear" w:color="auto" w:fill="auto"/>
            <w:vAlign w:val="center"/>
            <w:hideMark/>
          </w:tcPr>
          <w:p w14:paraId="78D11B89" w14:textId="77777777" w:rsidR="00B9311E" w:rsidRPr="00BD77D8" w:rsidRDefault="00B9311E" w:rsidP="00B9311E">
            <w:pPr>
              <w:spacing w:after="0" w:line="240" w:lineRule="auto"/>
              <w:rPr>
                <w:rFonts w:ascii="Times New Roman" w:hAnsi="Times New Roman" w:cs="Times New Roman"/>
                <w:sz w:val="20"/>
                <w:szCs w:val="20"/>
              </w:rPr>
            </w:pPr>
          </w:p>
        </w:tc>
        <w:tc>
          <w:tcPr>
            <w:tcW w:w="1139" w:type="dxa"/>
            <w:tcBorders>
              <w:top w:val="nil"/>
              <w:left w:val="nil"/>
              <w:bottom w:val="nil"/>
              <w:right w:val="nil"/>
            </w:tcBorders>
            <w:shd w:val="clear" w:color="auto" w:fill="auto"/>
            <w:vAlign w:val="center"/>
            <w:hideMark/>
          </w:tcPr>
          <w:p w14:paraId="091A515B"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42E5BB8B" w14:textId="77777777" w:rsidTr="003057FB">
        <w:trPr>
          <w:trHeight w:val="269"/>
        </w:trPr>
        <w:tc>
          <w:tcPr>
            <w:tcW w:w="0" w:type="auto"/>
            <w:tcBorders>
              <w:top w:val="nil"/>
              <w:left w:val="nil"/>
              <w:bottom w:val="nil"/>
              <w:right w:val="nil"/>
            </w:tcBorders>
            <w:shd w:val="clear" w:color="auto" w:fill="auto"/>
            <w:noWrap/>
            <w:vAlign w:val="bottom"/>
            <w:hideMark/>
          </w:tcPr>
          <w:p w14:paraId="5FDEA594" w14:textId="77777777" w:rsidR="00B9311E" w:rsidRPr="00BD77D8" w:rsidRDefault="00B9311E" w:rsidP="00B9311E">
            <w:pPr>
              <w:spacing w:after="0" w:line="240" w:lineRule="auto"/>
              <w:rPr>
                <w:sz w:val="18"/>
                <w:szCs w:val="18"/>
              </w:rPr>
            </w:pPr>
            <w:r w:rsidRPr="00BD77D8">
              <w:rPr>
                <w:sz w:val="18"/>
                <w:szCs w:val="18"/>
              </w:rPr>
              <w:t>Less: Opening balance of administered revenue receivable</w:t>
            </w:r>
          </w:p>
        </w:tc>
        <w:tc>
          <w:tcPr>
            <w:tcW w:w="0" w:type="auto"/>
            <w:tcBorders>
              <w:top w:val="nil"/>
              <w:left w:val="nil"/>
              <w:bottom w:val="nil"/>
              <w:right w:val="nil"/>
            </w:tcBorders>
            <w:shd w:val="clear" w:color="auto" w:fill="auto"/>
            <w:vAlign w:val="center"/>
            <w:hideMark/>
          </w:tcPr>
          <w:p w14:paraId="7B82F741"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39" w:type="dxa"/>
            <w:tcBorders>
              <w:top w:val="nil"/>
              <w:left w:val="nil"/>
              <w:bottom w:val="nil"/>
              <w:right w:val="nil"/>
            </w:tcBorders>
            <w:shd w:val="clear" w:color="auto" w:fill="auto"/>
            <w:vAlign w:val="center"/>
            <w:hideMark/>
          </w:tcPr>
          <w:p w14:paraId="6A54664E"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2AACD39B" w14:textId="77777777" w:rsidTr="003057FB">
        <w:trPr>
          <w:trHeight w:val="269"/>
        </w:trPr>
        <w:tc>
          <w:tcPr>
            <w:tcW w:w="0" w:type="auto"/>
            <w:tcBorders>
              <w:top w:val="nil"/>
              <w:left w:val="nil"/>
              <w:bottom w:val="nil"/>
              <w:right w:val="nil"/>
            </w:tcBorders>
            <w:shd w:val="clear" w:color="auto" w:fill="auto"/>
            <w:noWrap/>
            <w:vAlign w:val="bottom"/>
            <w:hideMark/>
          </w:tcPr>
          <w:p w14:paraId="02588AFB" w14:textId="77777777" w:rsidR="00B9311E" w:rsidRPr="00BD77D8" w:rsidRDefault="00B9311E" w:rsidP="00B9311E">
            <w:pPr>
              <w:spacing w:after="0" w:line="240" w:lineRule="auto"/>
              <w:rPr>
                <w:sz w:val="18"/>
                <w:szCs w:val="18"/>
              </w:rPr>
            </w:pPr>
            <w:r w:rsidRPr="00BD77D8">
              <w:rPr>
                <w:sz w:val="18"/>
                <w:szCs w:val="18"/>
              </w:rPr>
              <w:t>Plus: Closing balance of administered revenue receivable</w:t>
            </w:r>
          </w:p>
        </w:tc>
        <w:tc>
          <w:tcPr>
            <w:tcW w:w="0" w:type="auto"/>
            <w:tcBorders>
              <w:top w:val="nil"/>
              <w:left w:val="nil"/>
              <w:bottom w:val="nil"/>
              <w:right w:val="nil"/>
            </w:tcBorders>
            <w:shd w:val="clear" w:color="auto" w:fill="auto"/>
            <w:vAlign w:val="center"/>
            <w:hideMark/>
          </w:tcPr>
          <w:p w14:paraId="19D87D9A"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39" w:type="dxa"/>
            <w:tcBorders>
              <w:top w:val="nil"/>
              <w:left w:val="nil"/>
              <w:bottom w:val="nil"/>
              <w:right w:val="nil"/>
            </w:tcBorders>
            <w:shd w:val="clear" w:color="auto" w:fill="auto"/>
            <w:vAlign w:val="center"/>
            <w:hideMark/>
          </w:tcPr>
          <w:p w14:paraId="21573C30" w14:textId="77777777" w:rsidR="00B9311E" w:rsidRPr="00BD77D8" w:rsidRDefault="00B9311E" w:rsidP="00B9311E">
            <w:pPr>
              <w:spacing w:after="0" w:line="240" w:lineRule="auto"/>
              <w:jc w:val="right"/>
              <w:rPr>
                <w:sz w:val="18"/>
                <w:szCs w:val="18"/>
              </w:rPr>
            </w:pPr>
            <w:r w:rsidRPr="00BD77D8">
              <w:rPr>
                <w:sz w:val="18"/>
                <w:szCs w:val="18"/>
              </w:rPr>
              <w:t xml:space="preserve">       (14,801)</w:t>
            </w:r>
          </w:p>
        </w:tc>
      </w:tr>
      <w:tr w:rsidR="00BD77D8" w:rsidRPr="00BD77D8" w14:paraId="71A46794" w14:textId="77777777" w:rsidTr="003057FB">
        <w:trPr>
          <w:trHeight w:val="269"/>
        </w:trPr>
        <w:tc>
          <w:tcPr>
            <w:tcW w:w="0" w:type="auto"/>
            <w:tcBorders>
              <w:top w:val="nil"/>
              <w:left w:val="nil"/>
              <w:bottom w:val="nil"/>
              <w:right w:val="nil"/>
            </w:tcBorders>
            <w:shd w:val="clear" w:color="auto" w:fill="auto"/>
            <w:noWrap/>
            <w:vAlign w:val="bottom"/>
            <w:hideMark/>
          </w:tcPr>
          <w:p w14:paraId="433EB6CD" w14:textId="77777777" w:rsidR="00B9311E" w:rsidRPr="00BD77D8" w:rsidRDefault="00B9311E" w:rsidP="00B9311E">
            <w:pPr>
              <w:spacing w:after="0" w:line="240" w:lineRule="auto"/>
              <w:rPr>
                <w:sz w:val="18"/>
                <w:szCs w:val="18"/>
              </w:rPr>
            </w:pPr>
            <w:r w:rsidRPr="00BD77D8">
              <w:rPr>
                <w:sz w:val="18"/>
                <w:szCs w:val="18"/>
              </w:rPr>
              <w:t>Plus: Opening balance of departmental services revenue payable</w:t>
            </w:r>
          </w:p>
        </w:tc>
        <w:tc>
          <w:tcPr>
            <w:tcW w:w="0" w:type="auto"/>
            <w:tcBorders>
              <w:top w:val="nil"/>
              <w:left w:val="nil"/>
              <w:bottom w:val="nil"/>
              <w:right w:val="nil"/>
            </w:tcBorders>
            <w:shd w:val="clear" w:color="auto" w:fill="auto"/>
            <w:vAlign w:val="center"/>
            <w:hideMark/>
          </w:tcPr>
          <w:p w14:paraId="57F7B9FA" w14:textId="77777777" w:rsidR="00B9311E" w:rsidRPr="00BD77D8" w:rsidRDefault="00B9311E" w:rsidP="00B9311E">
            <w:pPr>
              <w:spacing w:after="0" w:line="240" w:lineRule="auto"/>
              <w:jc w:val="right"/>
              <w:rPr>
                <w:sz w:val="18"/>
                <w:szCs w:val="18"/>
              </w:rPr>
            </w:pPr>
            <w:r w:rsidRPr="00BD77D8">
              <w:rPr>
                <w:sz w:val="18"/>
                <w:szCs w:val="18"/>
              </w:rPr>
              <w:t xml:space="preserve">          20,972 </w:t>
            </w:r>
          </w:p>
        </w:tc>
        <w:tc>
          <w:tcPr>
            <w:tcW w:w="1139" w:type="dxa"/>
            <w:tcBorders>
              <w:top w:val="nil"/>
              <w:left w:val="nil"/>
              <w:bottom w:val="nil"/>
              <w:right w:val="nil"/>
            </w:tcBorders>
            <w:shd w:val="clear" w:color="auto" w:fill="auto"/>
            <w:vAlign w:val="center"/>
            <w:hideMark/>
          </w:tcPr>
          <w:p w14:paraId="55A68E0D"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4F8F7DE0" w14:textId="77777777" w:rsidTr="003057FB">
        <w:trPr>
          <w:trHeight w:val="269"/>
        </w:trPr>
        <w:tc>
          <w:tcPr>
            <w:tcW w:w="0" w:type="auto"/>
            <w:tcBorders>
              <w:top w:val="nil"/>
              <w:left w:val="nil"/>
              <w:bottom w:val="nil"/>
              <w:right w:val="nil"/>
            </w:tcBorders>
            <w:shd w:val="clear" w:color="auto" w:fill="auto"/>
            <w:noWrap/>
            <w:vAlign w:val="bottom"/>
            <w:hideMark/>
          </w:tcPr>
          <w:p w14:paraId="4B269752" w14:textId="77777777" w:rsidR="00B9311E" w:rsidRPr="00BD77D8" w:rsidRDefault="00B9311E" w:rsidP="00B9311E">
            <w:pPr>
              <w:spacing w:after="0" w:line="240" w:lineRule="auto"/>
              <w:rPr>
                <w:sz w:val="18"/>
                <w:szCs w:val="18"/>
              </w:rPr>
            </w:pPr>
            <w:r w:rsidRPr="00BD77D8">
              <w:rPr>
                <w:sz w:val="18"/>
                <w:szCs w:val="18"/>
              </w:rPr>
              <w:t>Less: Closing balance of departmental services revenue payable</w:t>
            </w:r>
          </w:p>
        </w:tc>
        <w:tc>
          <w:tcPr>
            <w:tcW w:w="0" w:type="auto"/>
            <w:tcBorders>
              <w:top w:val="nil"/>
              <w:left w:val="nil"/>
              <w:bottom w:val="nil"/>
              <w:right w:val="nil"/>
            </w:tcBorders>
            <w:shd w:val="clear" w:color="auto" w:fill="auto"/>
            <w:vAlign w:val="center"/>
            <w:hideMark/>
          </w:tcPr>
          <w:p w14:paraId="2287F6B0" w14:textId="77777777" w:rsidR="00B9311E" w:rsidRPr="00BD77D8" w:rsidRDefault="00B9311E" w:rsidP="00B9311E">
            <w:pPr>
              <w:spacing w:after="0" w:line="240" w:lineRule="auto"/>
              <w:jc w:val="right"/>
              <w:rPr>
                <w:sz w:val="18"/>
                <w:szCs w:val="18"/>
              </w:rPr>
            </w:pPr>
            <w:r w:rsidRPr="00BD77D8">
              <w:rPr>
                <w:sz w:val="18"/>
                <w:szCs w:val="18"/>
              </w:rPr>
              <w:t xml:space="preserve">        (34,592)</w:t>
            </w:r>
          </w:p>
        </w:tc>
        <w:tc>
          <w:tcPr>
            <w:tcW w:w="1139" w:type="dxa"/>
            <w:tcBorders>
              <w:top w:val="nil"/>
              <w:left w:val="nil"/>
              <w:bottom w:val="single" w:sz="4" w:space="0" w:color="auto"/>
              <w:right w:val="nil"/>
            </w:tcBorders>
            <w:shd w:val="clear" w:color="auto" w:fill="auto"/>
            <w:vAlign w:val="center"/>
            <w:hideMark/>
          </w:tcPr>
          <w:p w14:paraId="550F85DE" w14:textId="77777777" w:rsidR="00B9311E" w:rsidRPr="00BD77D8" w:rsidRDefault="00B9311E" w:rsidP="00B9311E">
            <w:pPr>
              <w:spacing w:after="0" w:line="240" w:lineRule="auto"/>
              <w:jc w:val="right"/>
              <w:rPr>
                <w:sz w:val="18"/>
                <w:szCs w:val="18"/>
              </w:rPr>
            </w:pPr>
            <w:r w:rsidRPr="00BD77D8">
              <w:rPr>
                <w:sz w:val="18"/>
                <w:szCs w:val="18"/>
              </w:rPr>
              <w:t xml:space="preserve">       (20,921)</w:t>
            </w:r>
          </w:p>
        </w:tc>
      </w:tr>
      <w:tr w:rsidR="00BD77D8" w:rsidRPr="00BD77D8" w14:paraId="290B2599" w14:textId="77777777" w:rsidTr="003057FB">
        <w:trPr>
          <w:trHeight w:val="269"/>
        </w:trPr>
        <w:tc>
          <w:tcPr>
            <w:tcW w:w="0" w:type="auto"/>
            <w:tcBorders>
              <w:top w:val="nil"/>
              <w:left w:val="nil"/>
              <w:bottom w:val="nil"/>
              <w:right w:val="nil"/>
            </w:tcBorders>
            <w:shd w:val="clear" w:color="auto" w:fill="auto"/>
            <w:noWrap/>
            <w:vAlign w:val="bottom"/>
            <w:hideMark/>
          </w:tcPr>
          <w:p w14:paraId="4EDCC740" w14:textId="77777777" w:rsidR="00B9311E" w:rsidRPr="00BD77D8" w:rsidRDefault="00B9311E" w:rsidP="00B9311E">
            <w:pPr>
              <w:spacing w:after="0" w:line="240" w:lineRule="auto"/>
              <w:rPr>
                <w:b/>
                <w:bCs/>
                <w:sz w:val="18"/>
                <w:szCs w:val="18"/>
              </w:rPr>
            </w:pPr>
            <w:r w:rsidRPr="00BD77D8">
              <w:rPr>
                <w:b/>
                <w:bCs/>
                <w:sz w:val="18"/>
                <w:szCs w:val="18"/>
              </w:rPr>
              <w:t>Administered income recognised in Note G1-1</w:t>
            </w:r>
          </w:p>
        </w:tc>
        <w:tc>
          <w:tcPr>
            <w:tcW w:w="0" w:type="auto"/>
            <w:tcBorders>
              <w:top w:val="single" w:sz="4" w:space="0" w:color="auto"/>
              <w:left w:val="nil"/>
              <w:bottom w:val="single" w:sz="4" w:space="0" w:color="auto"/>
              <w:right w:val="nil"/>
            </w:tcBorders>
            <w:shd w:val="clear" w:color="auto" w:fill="auto"/>
            <w:vAlign w:val="center"/>
            <w:hideMark/>
          </w:tcPr>
          <w:p w14:paraId="06D4CA08" w14:textId="77777777" w:rsidR="00B9311E" w:rsidRPr="00BD77D8" w:rsidRDefault="00B9311E" w:rsidP="00B9311E">
            <w:pPr>
              <w:spacing w:after="0" w:line="240" w:lineRule="auto"/>
              <w:jc w:val="right"/>
              <w:rPr>
                <w:b/>
                <w:bCs/>
                <w:sz w:val="18"/>
                <w:szCs w:val="18"/>
              </w:rPr>
            </w:pPr>
            <w:r w:rsidRPr="00BD77D8">
              <w:rPr>
                <w:b/>
                <w:bCs/>
                <w:sz w:val="18"/>
                <w:szCs w:val="18"/>
              </w:rPr>
              <w:t xml:space="preserve">    2,403,611 </w:t>
            </w:r>
          </w:p>
        </w:tc>
        <w:tc>
          <w:tcPr>
            <w:tcW w:w="1139" w:type="dxa"/>
            <w:tcBorders>
              <w:top w:val="single" w:sz="4" w:space="0" w:color="auto"/>
              <w:left w:val="nil"/>
              <w:bottom w:val="single" w:sz="4" w:space="0" w:color="auto"/>
              <w:right w:val="nil"/>
            </w:tcBorders>
            <w:shd w:val="clear" w:color="auto" w:fill="auto"/>
            <w:vAlign w:val="center"/>
            <w:hideMark/>
          </w:tcPr>
          <w:p w14:paraId="2C5737F9" w14:textId="77777777" w:rsidR="00B9311E" w:rsidRPr="00BD77D8" w:rsidRDefault="00B9311E" w:rsidP="00B9311E">
            <w:pPr>
              <w:spacing w:after="0" w:line="240" w:lineRule="auto"/>
              <w:jc w:val="right"/>
              <w:rPr>
                <w:b/>
                <w:bCs/>
                <w:sz w:val="18"/>
                <w:szCs w:val="18"/>
              </w:rPr>
            </w:pPr>
            <w:r w:rsidRPr="00BD77D8">
              <w:rPr>
                <w:b/>
                <w:bCs/>
                <w:sz w:val="18"/>
                <w:szCs w:val="18"/>
              </w:rPr>
              <w:t xml:space="preserve">   2,393,476 </w:t>
            </w:r>
          </w:p>
        </w:tc>
      </w:tr>
      <w:tr w:rsidR="00BD77D8" w:rsidRPr="00BD77D8" w14:paraId="2872B339" w14:textId="77777777" w:rsidTr="003057FB">
        <w:trPr>
          <w:trHeight w:val="269"/>
        </w:trPr>
        <w:tc>
          <w:tcPr>
            <w:tcW w:w="0" w:type="auto"/>
            <w:tcBorders>
              <w:top w:val="nil"/>
              <w:left w:val="nil"/>
              <w:bottom w:val="nil"/>
              <w:right w:val="nil"/>
            </w:tcBorders>
            <w:shd w:val="clear" w:color="auto" w:fill="auto"/>
            <w:noWrap/>
            <w:vAlign w:val="bottom"/>
            <w:hideMark/>
          </w:tcPr>
          <w:p w14:paraId="2BAE25C4" w14:textId="77777777" w:rsidR="00B9311E" w:rsidRPr="00BD77D8" w:rsidRDefault="00B9311E" w:rsidP="00B9311E">
            <w:pPr>
              <w:spacing w:after="0" w:line="240" w:lineRule="auto"/>
              <w:jc w:val="right"/>
              <w:rPr>
                <w:b/>
                <w:bCs/>
                <w:sz w:val="18"/>
                <w:szCs w:val="18"/>
              </w:rPr>
            </w:pPr>
          </w:p>
        </w:tc>
        <w:tc>
          <w:tcPr>
            <w:tcW w:w="0" w:type="auto"/>
            <w:tcBorders>
              <w:top w:val="nil"/>
              <w:left w:val="nil"/>
              <w:bottom w:val="nil"/>
              <w:right w:val="nil"/>
            </w:tcBorders>
            <w:shd w:val="clear" w:color="auto" w:fill="auto"/>
            <w:vAlign w:val="center"/>
            <w:hideMark/>
          </w:tcPr>
          <w:p w14:paraId="52EB991C" w14:textId="77777777" w:rsidR="00B9311E" w:rsidRPr="00BD77D8" w:rsidRDefault="00B9311E" w:rsidP="00B9311E">
            <w:pPr>
              <w:spacing w:after="0" w:line="240" w:lineRule="auto"/>
              <w:rPr>
                <w:rFonts w:ascii="Times New Roman" w:hAnsi="Times New Roman" w:cs="Times New Roman"/>
                <w:sz w:val="20"/>
                <w:szCs w:val="20"/>
              </w:rPr>
            </w:pPr>
          </w:p>
        </w:tc>
        <w:tc>
          <w:tcPr>
            <w:tcW w:w="1139" w:type="dxa"/>
            <w:tcBorders>
              <w:top w:val="nil"/>
              <w:left w:val="nil"/>
              <w:bottom w:val="nil"/>
              <w:right w:val="nil"/>
            </w:tcBorders>
            <w:shd w:val="clear" w:color="auto" w:fill="auto"/>
            <w:vAlign w:val="center"/>
            <w:hideMark/>
          </w:tcPr>
          <w:p w14:paraId="335D96E6"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3264F06A" w14:textId="77777777" w:rsidTr="003057FB">
        <w:trPr>
          <w:trHeight w:val="454"/>
        </w:trPr>
        <w:tc>
          <w:tcPr>
            <w:tcW w:w="0" w:type="auto"/>
            <w:tcBorders>
              <w:top w:val="nil"/>
              <w:left w:val="nil"/>
              <w:bottom w:val="nil"/>
              <w:right w:val="nil"/>
            </w:tcBorders>
            <w:shd w:val="clear" w:color="000000" w:fill="FFFFFF"/>
            <w:vAlign w:val="bottom"/>
            <w:hideMark/>
          </w:tcPr>
          <w:p w14:paraId="535257FD" w14:textId="77777777" w:rsidR="00B9311E" w:rsidRPr="00BD77D8" w:rsidRDefault="00B9311E" w:rsidP="00B9311E">
            <w:pPr>
              <w:spacing w:after="0" w:line="240" w:lineRule="auto"/>
              <w:rPr>
                <w:b/>
                <w:bCs/>
                <w:sz w:val="18"/>
                <w:szCs w:val="18"/>
              </w:rPr>
            </w:pPr>
            <w:r w:rsidRPr="00BD77D8">
              <w:rPr>
                <w:b/>
                <w:bCs/>
                <w:sz w:val="18"/>
                <w:szCs w:val="18"/>
              </w:rPr>
              <w:t>Reconciliation of Payments from Consolidated Fund to administered equity adjustment</w:t>
            </w:r>
          </w:p>
        </w:tc>
        <w:tc>
          <w:tcPr>
            <w:tcW w:w="0" w:type="auto"/>
            <w:tcBorders>
              <w:top w:val="nil"/>
              <w:left w:val="nil"/>
              <w:bottom w:val="nil"/>
              <w:right w:val="nil"/>
            </w:tcBorders>
            <w:shd w:val="clear" w:color="000000" w:fill="FFFFFF"/>
            <w:noWrap/>
            <w:vAlign w:val="center"/>
            <w:hideMark/>
          </w:tcPr>
          <w:p w14:paraId="19066D4A" w14:textId="77777777" w:rsidR="00B9311E" w:rsidRPr="00BD77D8" w:rsidRDefault="00B9311E" w:rsidP="00B9311E">
            <w:pPr>
              <w:spacing w:after="0" w:line="240" w:lineRule="auto"/>
              <w:jc w:val="center"/>
              <w:rPr>
                <w:b/>
                <w:bCs/>
                <w:sz w:val="18"/>
                <w:szCs w:val="18"/>
              </w:rPr>
            </w:pPr>
            <w:r w:rsidRPr="00BD77D8">
              <w:rPr>
                <w:b/>
                <w:bCs/>
                <w:sz w:val="18"/>
                <w:szCs w:val="18"/>
              </w:rPr>
              <w:t> </w:t>
            </w:r>
          </w:p>
        </w:tc>
        <w:tc>
          <w:tcPr>
            <w:tcW w:w="1139" w:type="dxa"/>
            <w:tcBorders>
              <w:top w:val="nil"/>
              <w:left w:val="nil"/>
              <w:bottom w:val="nil"/>
              <w:right w:val="nil"/>
            </w:tcBorders>
            <w:shd w:val="clear" w:color="000000" w:fill="FFFFFF"/>
            <w:noWrap/>
            <w:vAlign w:val="center"/>
            <w:hideMark/>
          </w:tcPr>
          <w:p w14:paraId="269B6456" w14:textId="77777777" w:rsidR="00B9311E" w:rsidRPr="00BD77D8" w:rsidRDefault="00B9311E" w:rsidP="00B9311E">
            <w:pPr>
              <w:spacing w:after="0" w:line="240" w:lineRule="auto"/>
              <w:rPr>
                <w:sz w:val="18"/>
                <w:szCs w:val="18"/>
              </w:rPr>
            </w:pPr>
            <w:r w:rsidRPr="00BD77D8">
              <w:rPr>
                <w:sz w:val="18"/>
                <w:szCs w:val="18"/>
              </w:rPr>
              <w:t> </w:t>
            </w:r>
          </w:p>
        </w:tc>
      </w:tr>
      <w:tr w:rsidR="00BD77D8" w:rsidRPr="00BD77D8" w14:paraId="49E7E6F6" w14:textId="77777777" w:rsidTr="003057FB">
        <w:trPr>
          <w:trHeight w:val="269"/>
        </w:trPr>
        <w:tc>
          <w:tcPr>
            <w:tcW w:w="0" w:type="auto"/>
            <w:tcBorders>
              <w:top w:val="nil"/>
              <w:left w:val="nil"/>
              <w:bottom w:val="nil"/>
              <w:right w:val="nil"/>
            </w:tcBorders>
            <w:shd w:val="clear" w:color="000000" w:fill="FFFFFF"/>
            <w:noWrap/>
            <w:vAlign w:val="bottom"/>
            <w:hideMark/>
          </w:tcPr>
          <w:p w14:paraId="6567DCAF" w14:textId="77777777" w:rsidR="00B9311E" w:rsidRPr="00BD77D8" w:rsidRDefault="00B9311E" w:rsidP="00B9311E">
            <w:pPr>
              <w:spacing w:after="0" w:line="240" w:lineRule="auto"/>
              <w:rPr>
                <w:sz w:val="18"/>
                <w:szCs w:val="18"/>
              </w:rPr>
            </w:pPr>
            <w:r w:rsidRPr="00BD77D8">
              <w:rPr>
                <w:sz w:val="18"/>
                <w:szCs w:val="18"/>
              </w:rPr>
              <w:t>Lapsed appropriation</w:t>
            </w:r>
          </w:p>
        </w:tc>
        <w:tc>
          <w:tcPr>
            <w:tcW w:w="0" w:type="auto"/>
            <w:tcBorders>
              <w:top w:val="nil"/>
              <w:left w:val="nil"/>
              <w:bottom w:val="nil"/>
              <w:right w:val="nil"/>
            </w:tcBorders>
            <w:shd w:val="clear" w:color="000000" w:fill="FFFFFF"/>
            <w:vAlign w:val="center"/>
            <w:hideMark/>
          </w:tcPr>
          <w:p w14:paraId="5C8A1F08" w14:textId="77777777" w:rsidR="00B9311E" w:rsidRPr="00BD77D8" w:rsidRDefault="00B9311E" w:rsidP="00B9311E">
            <w:pPr>
              <w:spacing w:after="0" w:line="240" w:lineRule="auto"/>
              <w:jc w:val="right"/>
              <w:rPr>
                <w:sz w:val="18"/>
                <w:szCs w:val="18"/>
              </w:rPr>
            </w:pPr>
            <w:r w:rsidRPr="00BD77D8">
              <w:rPr>
                <w:sz w:val="18"/>
                <w:szCs w:val="18"/>
              </w:rPr>
              <w:t xml:space="preserve">          (1,605)</w:t>
            </w:r>
          </w:p>
        </w:tc>
        <w:tc>
          <w:tcPr>
            <w:tcW w:w="1139" w:type="dxa"/>
            <w:tcBorders>
              <w:top w:val="nil"/>
              <w:left w:val="nil"/>
              <w:bottom w:val="nil"/>
              <w:right w:val="nil"/>
            </w:tcBorders>
            <w:shd w:val="clear" w:color="000000" w:fill="FFFFFF"/>
            <w:vAlign w:val="center"/>
            <w:hideMark/>
          </w:tcPr>
          <w:p w14:paraId="39D5609B"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6319DAC7" w14:textId="77777777" w:rsidTr="003057FB">
        <w:trPr>
          <w:trHeight w:val="269"/>
        </w:trPr>
        <w:tc>
          <w:tcPr>
            <w:tcW w:w="0" w:type="auto"/>
            <w:tcBorders>
              <w:top w:val="nil"/>
              <w:left w:val="nil"/>
              <w:bottom w:val="nil"/>
              <w:right w:val="nil"/>
            </w:tcBorders>
            <w:shd w:val="clear" w:color="000000" w:fill="FFFFFF"/>
            <w:noWrap/>
            <w:vAlign w:val="bottom"/>
            <w:hideMark/>
          </w:tcPr>
          <w:p w14:paraId="60943E3C" w14:textId="77777777" w:rsidR="00B9311E" w:rsidRPr="00BD77D8" w:rsidRDefault="00B9311E" w:rsidP="00B9311E">
            <w:pPr>
              <w:spacing w:after="0" w:line="240" w:lineRule="auto"/>
              <w:rPr>
                <w:b/>
                <w:bCs/>
                <w:sz w:val="18"/>
                <w:szCs w:val="18"/>
              </w:rPr>
            </w:pPr>
            <w:r w:rsidRPr="00BD77D8">
              <w:rPr>
                <w:b/>
                <w:bCs/>
                <w:sz w:val="18"/>
                <w:szCs w:val="18"/>
              </w:rPr>
              <w:t>Administered equity adjustment</w:t>
            </w:r>
          </w:p>
        </w:tc>
        <w:tc>
          <w:tcPr>
            <w:tcW w:w="0" w:type="auto"/>
            <w:tcBorders>
              <w:top w:val="single" w:sz="4" w:space="0" w:color="auto"/>
              <w:left w:val="nil"/>
              <w:bottom w:val="single" w:sz="4" w:space="0" w:color="auto"/>
              <w:right w:val="nil"/>
            </w:tcBorders>
            <w:shd w:val="clear" w:color="000000" w:fill="FFFFFF"/>
            <w:vAlign w:val="center"/>
            <w:hideMark/>
          </w:tcPr>
          <w:p w14:paraId="32247FF4" w14:textId="77777777" w:rsidR="00B9311E" w:rsidRPr="00BD77D8" w:rsidRDefault="00B9311E" w:rsidP="00B9311E">
            <w:pPr>
              <w:spacing w:after="0" w:line="240" w:lineRule="auto"/>
              <w:jc w:val="right"/>
              <w:rPr>
                <w:b/>
                <w:bCs/>
                <w:sz w:val="18"/>
                <w:szCs w:val="18"/>
              </w:rPr>
            </w:pPr>
            <w:r w:rsidRPr="00BD77D8">
              <w:rPr>
                <w:b/>
                <w:bCs/>
                <w:sz w:val="18"/>
                <w:szCs w:val="18"/>
              </w:rPr>
              <w:t xml:space="preserve">          (1,605)</w:t>
            </w:r>
          </w:p>
        </w:tc>
        <w:tc>
          <w:tcPr>
            <w:tcW w:w="1139" w:type="dxa"/>
            <w:tcBorders>
              <w:top w:val="single" w:sz="4" w:space="0" w:color="auto"/>
              <w:left w:val="nil"/>
              <w:bottom w:val="single" w:sz="4" w:space="0" w:color="auto"/>
              <w:right w:val="nil"/>
            </w:tcBorders>
            <w:shd w:val="clear" w:color="000000" w:fill="FFFFFF"/>
            <w:vAlign w:val="center"/>
            <w:hideMark/>
          </w:tcPr>
          <w:p w14:paraId="3D4D8CA8"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r>
      <w:tr w:rsidR="00BD77D8" w:rsidRPr="00BD77D8" w14:paraId="5A4643C6" w14:textId="77777777" w:rsidTr="003057FB">
        <w:trPr>
          <w:trHeight w:val="269"/>
        </w:trPr>
        <w:tc>
          <w:tcPr>
            <w:tcW w:w="0" w:type="auto"/>
            <w:tcBorders>
              <w:top w:val="nil"/>
              <w:left w:val="nil"/>
              <w:bottom w:val="nil"/>
              <w:right w:val="nil"/>
            </w:tcBorders>
            <w:shd w:val="clear" w:color="000000" w:fill="FFFFFF"/>
            <w:noWrap/>
            <w:vAlign w:val="bottom"/>
            <w:hideMark/>
          </w:tcPr>
          <w:p w14:paraId="71EAE4A6" w14:textId="77777777" w:rsidR="00B9311E" w:rsidRPr="00BD77D8" w:rsidRDefault="00B9311E" w:rsidP="00B9311E">
            <w:pPr>
              <w:spacing w:after="0" w:line="240" w:lineRule="auto"/>
              <w:rPr>
                <w:b/>
                <w:bCs/>
                <w:sz w:val="18"/>
                <w:szCs w:val="18"/>
              </w:rPr>
            </w:pPr>
            <w:r w:rsidRPr="00BD77D8">
              <w:rPr>
                <w:b/>
                <w:bCs/>
                <w:sz w:val="18"/>
                <w:szCs w:val="18"/>
              </w:rPr>
              <w:t> </w:t>
            </w:r>
          </w:p>
        </w:tc>
        <w:tc>
          <w:tcPr>
            <w:tcW w:w="0" w:type="auto"/>
            <w:tcBorders>
              <w:top w:val="nil"/>
              <w:left w:val="nil"/>
              <w:bottom w:val="nil"/>
              <w:right w:val="nil"/>
            </w:tcBorders>
            <w:shd w:val="clear" w:color="000000" w:fill="FFFFFF"/>
            <w:vAlign w:val="center"/>
            <w:hideMark/>
          </w:tcPr>
          <w:p w14:paraId="5B52A4C5" w14:textId="77777777" w:rsidR="00B9311E" w:rsidRPr="00BD77D8" w:rsidRDefault="00B9311E" w:rsidP="00B9311E">
            <w:pPr>
              <w:spacing w:after="0" w:line="240" w:lineRule="auto"/>
              <w:jc w:val="right"/>
              <w:rPr>
                <w:sz w:val="18"/>
                <w:szCs w:val="18"/>
              </w:rPr>
            </w:pPr>
            <w:r w:rsidRPr="00BD77D8">
              <w:rPr>
                <w:sz w:val="18"/>
                <w:szCs w:val="18"/>
              </w:rPr>
              <w:t> </w:t>
            </w:r>
          </w:p>
        </w:tc>
        <w:tc>
          <w:tcPr>
            <w:tcW w:w="1139" w:type="dxa"/>
            <w:tcBorders>
              <w:top w:val="nil"/>
              <w:left w:val="nil"/>
              <w:bottom w:val="nil"/>
              <w:right w:val="nil"/>
            </w:tcBorders>
            <w:shd w:val="clear" w:color="000000" w:fill="FFFFFF"/>
            <w:vAlign w:val="center"/>
            <w:hideMark/>
          </w:tcPr>
          <w:p w14:paraId="0C880C23" w14:textId="77777777" w:rsidR="00B9311E" w:rsidRPr="00BD77D8" w:rsidRDefault="00B9311E" w:rsidP="00B9311E">
            <w:pPr>
              <w:spacing w:after="0" w:line="240" w:lineRule="auto"/>
              <w:jc w:val="right"/>
              <w:rPr>
                <w:sz w:val="18"/>
                <w:szCs w:val="18"/>
              </w:rPr>
            </w:pPr>
            <w:r w:rsidRPr="00BD77D8">
              <w:rPr>
                <w:sz w:val="18"/>
                <w:szCs w:val="18"/>
              </w:rPr>
              <w:t> </w:t>
            </w:r>
          </w:p>
        </w:tc>
      </w:tr>
      <w:tr w:rsidR="00BD77D8" w:rsidRPr="00BD77D8" w14:paraId="7A7AEB68" w14:textId="77777777" w:rsidTr="003057FB">
        <w:trPr>
          <w:trHeight w:val="269"/>
        </w:trPr>
        <w:tc>
          <w:tcPr>
            <w:tcW w:w="0" w:type="auto"/>
            <w:tcBorders>
              <w:top w:val="nil"/>
              <w:left w:val="nil"/>
              <w:bottom w:val="nil"/>
              <w:right w:val="nil"/>
            </w:tcBorders>
            <w:shd w:val="clear" w:color="000000" w:fill="FFFFFF"/>
            <w:noWrap/>
            <w:vAlign w:val="bottom"/>
            <w:hideMark/>
          </w:tcPr>
          <w:p w14:paraId="54A2F173" w14:textId="77777777" w:rsidR="00B9311E" w:rsidRPr="00BD77D8" w:rsidRDefault="00B9311E" w:rsidP="00B9311E">
            <w:pPr>
              <w:spacing w:after="0" w:line="240" w:lineRule="auto"/>
              <w:rPr>
                <w:b/>
                <w:bCs/>
                <w:sz w:val="18"/>
                <w:szCs w:val="18"/>
              </w:rPr>
            </w:pPr>
            <w:r w:rsidRPr="00BD77D8">
              <w:rPr>
                <w:b/>
                <w:bCs/>
                <w:sz w:val="18"/>
                <w:szCs w:val="18"/>
              </w:rPr>
              <w:t>Administered equity adjustment recognised in contributed equity</w:t>
            </w:r>
          </w:p>
        </w:tc>
        <w:tc>
          <w:tcPr>
            <w:tcW w:w="0" w:type="auto"/>
            <w:tcBorders>
              <w:top w:val="single" w:sz="4" w:space="0" w:color="auto"/>
              <w:left w:val="nil"/>
              <w:bottom w:val="single" w:sz="4" w:space="0" w:color="auto"/>
              <w:right w:val="nil"/>
            </w:tcBorders>
            <w:shd w:val="clear" w:color="000000" w:fill="FFFFFF"/>
            <w:vAlign w:val="center"/>
            <w:hideMark/>
          </w:tcPr>
          <w:p w14:paraId="0A159F8C" w14:textId="77777777" w:rsidR="00B9311E" w:rsidRPr="00BD77D8" w:rsidRDefault="00B9311E" w:rsidP="00B9311E">
            <w:pPr>
              <w:spacing w:after="0" w:line="240" w:lineRule="auto"/>
              <w:jc w:val="right"/>
              <w:rPr>
                <w:b/>
                <w:bCs/>
                <w:sz w:val="18"/>
                <w:szCs w:val="18"/>
              </w:rPr>
            </w:pPr>
            <w:r w:rsidRPr="00BD77D8">
              <w:rPr>
                <w:b/>
                <w:bCs/>
                <w:sz w:val="18"/>
                <w:szCs w:val="18"/>
              </w:rPr>
              <w:t xml:space="preserve">          (1,605)</w:t>
            </w:r>
          </w:p>
        </w:tc>
        <w:tc>
          <w:tcPr>
            <w:tcW w:w="1139" w:type="dxa"/>
            <w:tcBorders>
              <w:top w:val="single" w:sz="4" w:space="0" w:color="auto"/>
              <w:left w:val="nil"/>
              <w:bottom w:val="single" w:sz="4" w:space="0" w:color="auto"/>
              <w:right w:val="nil"/>
            </w:tcBorders>
            <w:shd w:val="clear" w:color="000000" w:fill="FFFFFF"/>
            <w:vAlign w:val="center"/>
            <w:hideMark/>
          </w:tcPr>
          <w:p w14:paraId="7A967E5F"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r>
    </w:tbl>
    <w:p w14:paraId="736925A2" w14:textId="77777777" w:rsidR="00B9311E" w:rsidRPr="00BD77D8" w:rsidRDefault="00B9311E" w:rsidP="00B9311E">
      <w:pPr>
        <w:spacing w:after="0" w:line="20" w:lineRule="exact"/>
        <w:rPr>
          <w:rFonts w:eastAsia="PMingLiU"/>
          <w:b/>
          <w:sz w:val="18"/>
          <w:szCs w:val="18"/>
          <w:lang w:eastAsia="en-US"/>
        </w:rPr>
      </w:pPr>
    </w:p>
    <w:p w14:paraId="694E64DF" w14:textId="77777777" w:rsidR="00B9311E" w:rsidRPr="00BD77D8" w:rsidRDefault="00B9311E" w:rsidP="00727CAE">
      <w:pPr>
        <w:spacing w:before="240" w:after="0" w:line="206" w:lineRule="exact"/>
        <w:ind w:right="74"/>
        <w:jc w:val="both"/>
        <w:textAlignment w:val="baseline"/>
        <w:rPr>
          <w:rFonts w:eastAsia="Arial"/>
          <w:sz w:val="16"/>
          <w:szCs w:val="16"/>
          <w:lang w:eastAsia="en-US"/>
        </w:rPr>
      </w:pPr>
      <w:r w:rsidRPr="00BD77D8">
        <w:rPr>
          <w:rFonts w:eastAsia="Arial"/>
          <w:sz w:val="16"/>
          <w:szCs w:val="16"/>
          <w:lang w:eastAsia="en-US"/>
        </w:rPr>
        <w:t>This appropriation revenue is provided in cash by Queensland Treasury and funds activities and expenses that the department administers on behalf of the State Government (refer to Note A2-7).</w:t>
      </w:r>
    </w:p>
    <w:p w14:paraId="23D5B1FD" w14:textId="3BBF373E" w:rsidR="00A5785D" w:rsidRPr="00BD77D8" w:rsidRDefault="00A5785D" w:rsidP="0089639E">
      <w:pPr>
        <w:spacing w:before="5400" w:after="0" w:line="206" w:lineRule="exact"/>
        <w:ind w:right="74"/>
        <w:jc w:val="both"/>
        <w:textAlignment w:val="baseline"/>
        <w:rPr>
          <w:rFonts w:eastAsia="PMingLiU"/>
          <w:b/>
          <w:sz w:val="18"/>
          <w:szCs w:val="18"/>
          <w:lang w:eastAsia="en-US"/>
        </w:rPr>
        <w:sectPr w:rsidR="00A5785D" w:rsidRPr="00BD77D8" w:rsidSect="000160CF">
          <w:type w:val="nextColumn"/>
          <w:pgSz w:w="11909" w:h="16838"/>
          <w:pgMar w:top="794" w:right="794" w:bottom="794" w:left="794" w:header="720" w:footer="720" w:gutter="0"/>
          <w:cols w:space="720"/>
        </w:sectPr>
      </w:pP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6"/>
          <w:szCs w:val="16"/>
          <w:lang w:eastAsia="en-US"/>
        </w:rPr>
        <w:tab/>
      </w:r>
      <w:r w:rsidRPr="00BD77D8">
        <w:rPr>
          <w:rFonts w:eastAsia="Arial"/>
          <w:sz w:val="18"/>
          <w:szCs w:val="18"/>
          <w:lang w:eastAsia="en-US"/>
        </w:rPr>
        <w:tab/>
        <w:t>Page  41 of 45</w:t>
      </w:r>
    </w:p>
    <w:bookmarkEnd w:id="294"/>
    <w:p w14:paraId="5819ED62"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75B4A476"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2E16373B"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2551AFB9" w14:textId="77777777" w:rsidR="00B9311E" w:rsidRPr="00BD77D8" w:rsidRDefault="00B9311E" w:rsidP="00B9311E">
      <w:pPr>
        <w:pBdr>
          <w:bottom w:val="single" w:sz="4" w:space="1" w:color="auto"/>
        </w:pBdr>
        <w:spacing w:after="0" w:line="252" w:lineRule="exact"/>
        <w:textAlignment w:val="baseline"/>
        <w:rPr>
          <w:rFonts w:eastAsia="Arial"/>
          <w:b/>
          <w:spacing w:val="-1"/>
          <w:sz w:val="18"/>
          <w:szCs w:val="18"/>
          <w:lang w:eastAsia="en-US"/>
        </w:rPr>
      </w:pPr>
    </w:p>
    <w:p w14:paraId="260584CF" w14:textId="77777777" w:rsidR="00B9311E" w:rsidRPr="00BD77D8" w:rsidRDefault="00B9311E" w:rsidP="00727CAE">
      <w:pPr>
        <w:spacing w:before="200" w:line="200" w:lineRule="atLeast"/>
        <w:textAlignment w:val="baseline"/>
        <w:rPr>
          <w:rFonts w:eastAsia="Arial"/>
          <w:b/>
          <w:bCs/>
          <w:spacing w:val="-1"/>
          <w:sz w:val="22"/>
          <w:szCs w:val="22"/>
          <w:lang w:eastAsia="en-US"/>
        </w:rPr>
      </w:pPr>
      <w:r w:rsidRPr="00BD77D8">
        <w:rPr>
          <w:rFonts w:eastAsia="Arial"/>
          <w:b/>
          <w:bCs/>
          <w:spacing w:val="-1"/>
          <w:sz w:val="22"/>
          <w:szCs w:val="22"/>
          <w:lang w:eastAsia="en-US"/>
        </w:rPr>
        <w:t>G1 Administered (continued)</w:t>
      </w:r>
    </w:p>
    <w:tbl>
      <w:tblPr>
        <w:tblW w:w="10354" w:type="dxa"/>
        <w:tblLook w:val="04A0" w:firstRow="1" w:lastRow="0" w:firstColumn="1" w:lastColumn="0" w:noHBand="0" w:noVBand="1"/>
      </w:tblPr>
      <w:tblGrid>
        <w:gridCol w:w="7797"/>
        <w:gridCol w:w="1417"/>
        <w:gridCol w:w="1140"/>
      </w:tblGrid>
      <w:tr w:rsidR="00BD77D8" w:rsidRPr="00BD77D8" w14:paraId="0ECA7727" w14:textId="77777777" w:rsidTr="003057FB">
        <w:trPr>
          <w:trHeight w:val="267"/>
        </w:trPr>
        <w:tc>
          <w:tcPr>
            <w:tcW w:w="7797" w:type="dxa"/>
            <w:tcBorders>
              <w:top w:val="nil"/>
              <w:left w:val="nil"/>
              <w:bottom w:val="nil"/>
              <w:right w:val="nil"/>
            </w:tcBorders>
            <w:shd w:val="clear" w:color="auto" w:fill="auto"/>
            <w:noWrap/>
            <w:vAlign w:val="bottom"/>
            <w:hideMark/>
          </w:tcPr>
          <w:p w14:paraId="446FDF81" w14:textId="39A7F86C" w:rsidR="00B9311E" w:rsidRPr="00BD77D8" w:rsidRDefault="00B9311E" w:rsidP="00B9311E">
            <w:pPr>
              <w:spacing w:after="0" w:line="240" w:lineRule="auto"/>
              <w:rPr>
                <w:rFonts w:ascii="Times New Roman" w:hAnsi="Times New Roman" w:cs="Times New Roman"/>
                <w:sz w:val="24"/>
                <w:szCs w:val="24"/>
              </w:rPr>
            </w:pPr>
            <w:bookmarkStart w:id="331" w:name="_Toc111540703"/>
            <w:bookmarkStart w:id="332" w:name="_Toc111559267"/>
            <w:bookmarkStart w:id="333" w:name="_Toc113196539"/>
            <w:bookmarkStart w:id="334" w:name="_Toc113196887"/>
            <w:bookmarkStart w:id="335" w:name="_Toc113262017"/>
            <w:bookmarkStart w:id="336" w:name="_Toc113349171"/>
            <w:bookmarkStart w:id="337" w:name="_Toc113358096"/>
            <w:r w:rsidRPr="00BD77D8">
              <w:rPr>
                <w:rFonts w:eastAsia="Arial"/>
                <w:b/>
                <w:bCs/>
                <w:sz w:val="22"/>
                <w:szCs w:val="22"/>
                <w:lang w:eastAsia="en-US"/>
              </w:rPr>
              <w:t>G1-4 Grants and Other Contributions</w:t>
            </w:r>
            <w:bookmarkEnd w:id="331"/>
            <w:bookmarkEnd w:id="332"/>
            <w:bookmarkEnd w:id="333"/>
            <w:bookmarkEnd w:id="334"/>
            <w:bookmarkEnd w:id="335"/>
            <w:bookmarkEnd w:id="336"/>
            <w:bookmarkEnd w:id="337"/>
          </w:p>
        </w:tc>
        <w:tc>
          <w:tcPr>
            <w:tcW w:w="1417" w:type="dxa"/>
            <w:tcBorders>
              <w:top w:val="nil"/>
              <w:left w:val="nil"/>
              <w:bottom w:val="nil"/>
              <w:right w:val="nil"/>
            </w:tcBorders>
            <w:shd w:val="clear" w:color="auto" w:fill="auto"/>
            <w:noWrap/>
            <w:vAlign w:val="bottom"/>
            <w:hideMark/>
          </w:tcPr>
          <w:p w14:paraId="12DE4231"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140" w:type="dxa"/>
            <w:tcBorders>
              <w:top w:val="nil"/>
              <w:left w:val="nil"/>
              <w:bottom w:val="nil"/>
              <w:right w:val="nil"/>
            </w:tcBorders>
            <w:shd w:val="clear" w:color="auto" w:fill="auto"/>
            <w:noWrap/>
            <w:vAlign w:val="bottom"/>
            <w:hideMark/>
          </w:tcPr>
          <w:p w14:paraId="739DFB9C"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178D9503" w14:textId="77777777" w:rsidTr="003057FB">
        <w:trPr>
          <w:trHeight w:val="267"/>
        </w:trPr>
        <w:tc>
          <w:tcPr>
            <w:tcW w:w="7797" w:type="dxa"/>
            <w:tcBorders>
              <w:top w:val="nil"/>
              <w:left w:val="nil"/>
              <w:bottom w:val="nil"/>
              <w:right w:val="nil"/>
            </w:tcBorders>
            <w:shd w:val="clear" w:color="auto" w:fill="auto"/>
            <w:noWrap/>
            <w:vAlign w:val="bottom"/>
            <w:hideMark/>
          </w:tcPr>
          <w:p w14:paraId="0849C0CE" w14:textId="77777777" w:rsidR="00B9311E" w:rsidRPr="00BD77D8" w:rsidRDefault="00B9311E" w:rsidP="00B9311E">
            <w:pPr>
              <w:spacing w:after="0" w:line="240" w:lineRule="auto"/>
              <w:jc w:val="right"/>
              <w:rPr>
                <w:sz w:val="18"/>
                <w:szCs w:val="18"/>
              </w:rPr>
            </w:pPr>
          </w:p>
        </w:tc>
        <w:tc>
          <w:tcPr>
            <w:tcW w:w="1417" w:type="dxa"/>
            <w:tcBorders>
              <w:top w:val="nil"/>
              <w:left w:val="nil"/>
              <w:bottom w:val="single" w:sz="4" w:space="0" w:color="auto"/>
              <w:right w:val="nil"/>
            </w:tcBorders>
            <w:shd w:val="clear" w:color="auto" w:fill="auto"/>
            <w:noWrap/>
            <w:vAlign w:val="bottom"/>
            <w:hideMark/>
          </w:tcPr>
          <w:p w14:paraId="107643B4" w14:textId="77777777" w:rsidR="00B9311E" w:rsidRPr="00BD77D8" w:rsidRDefault="00B9311E" w:rsidP="00B9311E">
            <w:pPr>
              <w:spacing w:after="0" w:line="240" w:lineRule="auto"/>
              <w:jc w:val="right"/>
              <w:rPr>
                <w:b/>
                <w:bCs/>
                <w:sz w:val="18"/>
                <w:szCs w:val="18"/>
              </w:rPr>
            </w:pPr>
            <w:r w:rsidRPr="00BD77D8">
              <w:rPr>
                <w:b/>
                <w:bCs/>
                <w:sz w:val="18"/>
                <w:szCs w:val="18"/>
              </w:rPr>
              <w:t>$'000</w:t>
            </w:r>
          </w:p>
        </w:tc>
        <w:tc>
          <w:tcPr>
            <w:tcW w:w="1140" w:type="dxa"/>
            <w:tcBorders>
              <w:top w:val="nil"/>
              <w:left w:val="nil"/>
              <w:bottom w:val="single" w:sz="4" w:space="0" w:color="auto"/>
              <w:right w:val="nil"/>
            </w:tcBorders>
            <w:shd w:val="clear" w:color="auto" w:fill="auto"/>
            <w:noWrap/>
            <w:vAlign w:val="bottom"/>
            <w:hideMark/>
          </w:tcPr>
          <w:p w14:paraId="241011F4" w14:textId="77777777" w:rsidR="00B9311E" w:rsidRPr="00BD77D8" w:rsidRDefault="00B9311E" w:rsidP="00B9311E">
            <w:pPr>
              <w:spacing w:after="0" w:line="240" w:lineRule="auto"/>
              <w:jc w:val="right"/>
              <w:rPr>
                <w:b/>
                <w:bCs/>
                <w:sz w:val="18"/>
                <w:szCs w:val="18"/>
              </w:rPr>
            </w:pPr>
            <w:r w:rsidRPr="00BD77D8">
              <w:rPr>
                <w:b/>
                <w:bCs/>
                <w:sz w:val="18"/>
                <w:szCs w:val="18"/>
              </w:rPr>
              <w:t>$'000</w:t>
            </w:r>
          </w:p>
        </w:tc>
      </w:tr>
      <w:tr w:rsidR="00BD77D8" w:rsidRPr="00BD77D8" w14:paraId="2D03B3F1" w14:textId="77777777" w:rsidTr="003057FB">
        <w:trPr>
          <w:trHeight w:val="267"/>
        </w:trPr>
        <w:tc>
          <w:tcPr>
            <w:tcW w:w="7797" w:type="dxa"/>
            <w:tcBorders>
              <w:top w:val="nil"/>
              <w:left w:val="nil"/>
              <w:bottom w:val="nil"/>
              <w:right w:val="nil"/>
            </w:tcBorders>
            <w:shd w:val="clear" w:color="auto" w:fill="auto"/>
            <w:vAlign w:val="center"/>
            <w:hideMark/>
          </w:tcPr>
          <w:p w14:paraId="2D9A3FA0" w14:textId="77777777" w:rsidR="00B9311E" w:rsidRPr="00BD77D8" w:rsidRDefault="00B9311E" w:rsidP="00B9311E">
            <w:pPr>
              <w:spacing w:after="0" w:line="240" w:lineRule="auto"/>
              <w:rPr>
                <w:sz w:val="18"/>
                <w:szCs w:val="18"/>
              </w:rPr>
            </w:pPr>
            <w:r w:rsidRPr="00BD77D8">
              <w:rPr>
                <w:sz w:val="18"/>
                <w:szCs w:val="18"/>
              </w:rPr>
              <w:t>Commonwealth grants - Family Responsibilities Commission</w:t>
            </w:r>
          </w:p>
        </w:tc>
        <w:tc>
          <w:tcPr>
            <w:tcW w:w="1417" w:type="dxa"/>
            <w:tcBorders>
              <w:top w:val="nil"/>
              <w:left w:val="nil"/>
              <w:bottom w:val="nil"/>
              <w:right w:val="nil"/>
            </w:tcBorders>
            <w:shd w:val="clear" w:color="auto" w:fill="auto"/>
            <w:vAlign w:val="bottom"/>
            <w:hideMark/>
          </w:tcPr>
          <w:p w14:paraId="1187A50F" w14:textId="77777777" w:rsidR="00B9311E" w:rsidRPr="00BD77D8" w:rsidRDefault="00B9311E" w:rsidP="00B9311E">
            <w:pPr>
              <w:spacing w:after="0" w:line="240" w:lineRule="auto"/>
              <w:jc w:val="right"/>
              <w:rPr>
                <w:sz w:val="18"/>
                <w:szCs w:val="18"/>
              </w:rPr>
            </w:pPr>
            <w:r w:rsidRPr="00BD77D8">
              <w:rPr>
                <w:sz w:val="18"/>
                <w:szCs w:val="18"/>
              </w:rPr>
              <w:t xml:space="preserve">       1,800 </w:t>
            </w:r>
          </w:p>
        </w:tc>
        <w:tc>
          <w:tcPr>
            <w:tcW w:w="1140" w:type="dxa"/>
            <w:tcBorders>
              <w:top w:val="nil"/>
              <w:left w:val="nil"/>
              <w:bottom w:val="nil"/>
              <w:right w:val="nil"/>
            </w:tcBorders>
            <w:shd w:val="clear" w:color="auto" w:fill="auto"/>
            <w:noWrap/>
            <w:vAlign w:val="bottom"/>
            <w:hideMark/>
          </w:tcPr>
          <w:p w14:paraId="1BD3F250" w14:textId="77777777" w:rsidR="00B9311E" w:rsidRPr="00BD77D8" w:rsidRDefault="00B9311E" w:rsidP="00B9311E">
            <w:pPr>
              <w:spacing w:after="0" w:line="240" w:lineRule="auto"/>
              <w:jc w:val="right"/>
              <w:rPr>
                <w:sz w:val="18"/>
                <w:szCs w:val="18"/>
              </w:rPr>
            </w:pPr>
            <w:r w:rsidRPr="00BD77D8">
              <w:rPr>
                <w:sz w:val="18"/>
                <w:szCs w:val="18"/>
              </w:rPr>
              <w:t xml:space="preserve">           900 </w:t>
            </w:r>
          </w:p>
        </w:tc>
      </w:tr>
      <w:tr w:rsidR="00BD77D8" w:rsidRPr="00BD77D8" w14:paraId="20B04875" w14:textId="77777777" w:rsidTr="003057FB">
        <w:trPr>
          <w:trHeight w:val="267"/>
        </w:trPr>
        <w:tc>
          <w:tcPr>
            <w:tcW w:w="7797" w:type="dxa"/>
            <w:tcBorders>
              <w:top w:val="nil"/>
              <w:left w:val="nil"/>
              <w:bottom w:val="nil"/>
              <w:right w:val="nil"/>
            </w:tcBorders>
            <w:shd w:val="clear" w:color="auto" w:fill="auto"/>
            <w:vAlign w:val="center"/>
            <w:hideMark/>
          </w:tcPr>
          <w:p w14:paraId="021AE5F8" w14:textId="77777777" w:rsidR="00B9311E" w:rsidRPr="00BD77D8" w:rsidRDefault="00B9311E" w:rsidP="00B9311E">
            <w:pPr>
              <w:spacing w:after="0" w:line="240" w:lineRule="auto"/>
              <w:rPr>
                <w:sz w:val="18"/>
                <w:szCs w:val="18"/>
              </w:rPr>
            </w:pPr>
            <w:r w:rsidRPr="00BD77D8">
              <w:rPr>
                <w:sz w:val="18"/>
                <w:szCs w:val="18"/>
              </w:rPr>
              <w:t>Grants from Queensland Reconstruction Authority*</w:t>
            </w:r>
          </w:p>
        </w:tc>
        <w:tc>
          <w:tcPr>
            <w:tcW w:w="1417" w:type="dxa"/>
            <w:tcBorders>
              <w:top w:val="nil"/>
              <w:left w:val="nil"/>
              <w:bottom w:val="single" w:sz="4" w:space="0" w:color="auto"/>
              <w:right w:val="nil"/>
            </w:tcBorders>
            <w:shd w:val="clear" w:color="auto" w:fill="auto"/>
            <w:vAlign w:val="bottom"/>
            <w:hideMark/>
          </w:tcPr>
          <w:p w14:paraId="5CF4FE29"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1140" w:type="dxa"/>
            <w:tcBorders>
              <w:top w:val="nil"/>
              <w:left w:val="nil"/>
              <w:bottom w:val="nil"/>
              <w:right w:val="nil"/>
            </w:tcBorders>
            <w:shd w:val="clear" w:color="auto" w:fill="auto"/>
            <w:noWrap/>
            <w:vAlign w:val="bottom"/>
            <w:hideMark/>
          </w:tcPr>
          <w:p w14:paraId="3DC74509" w14:textId="77777777" w:rsidR="00B9311E" w:rsidRPr="00BD77D8" w:rsidRDefault="00B9311E" w:rsidP="00B9311E">
            <w:pPr>
              <w:spacing w:after="0" w:line="240" w:lineRule="auto"/>
              <w:jc w:val="right"/>
              <w:rPr>
                <w:sz w:val="18"/>
                <w:szCs w:val="18"/>
              </w:rPr>
            </w:pPr>
            <w:r w:rsidRPr="00BD77D8">
              <w:rPr>
                <w:sz w:val="18"/>
                <w:szCs w:val="18"/>
              </w:rPr>
              <w:t xml:space="preserve">       1,953 </w:t>
            </w:r>
          </w:p>
        </w:tc>
      </w:tr>
      <w:tr w:rsidR="00BD77D8" w:rsidRPr="00BD77D8" w14:paraId="6D93F91B" w14:textId="77777777" w:rsidTr="003057FB">
        <w:trPr>
          <w:trHeight w:val="267"/>
        </w:trPr>
        <w:tc>
          <w:tcPr>
            <w:tcW w:w="7797" w:type="dxa"/>
            <w:tcBorders>
              <w:top w:val="nil"/>
              <w:left w:val="nil"/>
              <w:bottom w:val="nil"/>
              <w:right w:val="nil"/>
            </w:tcBorders>
            <w:shd w:val="clear" w:color="auto" w:fill="auto"/>
            <w:vAlign w:val="center"/>
            <w:hideMark/>
          </w:tcPr>
          <w:p w14:paraId="25D87058" w14:textId="77777777" w:rsidR="00B9311E" w:rsidRPr="00BD77D8" w:rsidRDefault="00B9311E" w:rsidP="00B9311E">
            <w:pPr>
              <w:spacing w:after="0" w:line="240" w:lineRule="auto"/>
              <w:rPr>
                <w:b/>
                <w:bCs/>
                <w:sz w:val="18"/>
                <w:szCs w:val="18"/>
              </w:rPr>
            </w:pPr>
            <w:r w:rsidRPr="00BD77D8">
              <w:rPr>
                <w:b/>
                <w:bCs/>
                <w:sz w:val="18"/>
                <w:szCs w:val="18"/>
              </w:rPr>
              <w:t>Total</w:t>
            </w:r>
          </w:p>
        </w:tc>
        <w:tc>
          <w:tcPr>
            <w:tcW w:w="1417" w:type="dxa"/>
            <w:tcBorders>
              <w:top w:val="single" w:sz="4" w:space="0" w:color="auto"/>
              <w:left w:val="nil"/>
              <w:bottom w:val="single" w:sz="4" w:space="0" w:color="auto"/>
              <w:right w:val="nil"/>
            </w:tcBorders>
            <w:shd w:val="clear" w:color="auto" w:fill="auto"/>
            <w:vAlign w:val="bottom"/>
            <w:hideMark/>
          </w:tcPr>
          <w:p w14:paraId="7B5AB083" w14:textId="77777777" w:rsidR="00B9311E" w:rsidRPr="00BD77D8" w:rsidRDefault="00B9311E" w:rsidP="00B9311E">
            <w:pPr>
              <w:spacing w:after="0" w:line="240" w:lineRule="auto"/>
              <w:jc w:val="right"/>
              <w:rPr>
                <w:b/>
                <w:bCs/>
                <w:sz w:val="18"/>
                <w:szCs w:val="18"/>
              </w:rPr>
            </w:pPr>
            <w:r w:rsidRPr="00BD77D8">
              <w:rPr>
                <w:b/>
                <w:bCs/>
                <w:sz w:val="18"/>
                <w:szCs w:val="18"/>
              </w:rPr>
              <w:t xml:space="preserve">       1,800 </w:t>
            </w:r>
          </w:p>
        </w:tc>
        <w:tc>
          <w:tcPr>
            <w:tcW w:w="1140" w:type="dxa"/>
            <w:tcBorders>
              <w:top w:val="single" w:sz="4" w:space="0" w:color="auto"/>
              <w:left w:val="nil"/>
              <w:bottom w:val="single" w:sz="4" w:space="0" w:color="auto"/>
              <w:right w:val="nil"/>
            </w:tcBorders>
            <w:shd w:val="clear" w:color="auto" w:fill="auto"/>
            <w:noWrap/>
            <w:vAlign w:val="bottom"/>
            <w:hideMark/>
          </w:tcPr>
          <w:p w14:paraId="61329BE8" w14:textId="77777777" w:rsidR="00B9311E" w:rsidRPr="00BD77D8" w:rsidRDefault="00B9311E" w:rsidP="00B9311E">
            <w:pPr>
              <w:spacing w:after="0" w:line="240" w:lineRule="auto"/>
              <w:jc w:val="right"/>
              <w:rPr>
                <w:b/>
                <w:bCs/>
                <w:sz w:val="18"/>
                <w:szCs w:val="18"/>
              </w:rPr>
            </w:pPr>
            <w:r w:rsidRPr="00BD77D8">
              <w:rPr>
                <w:b/>
                <w:bCs/>
                <w:sz w:val="18"/>
                <w:szCs w:val="18"/>
              </w:rPr>
              <w:t>2,853</w:t>
            </w:r>
          </w:p>
        </w:tc>
      </w:tr>
    </w:tbl>
    <w:p w14:paraId="062CCBE0" w14:textId="77777777" w:rsidR="00B9311E" w:rsidRPr="00BD77D8" w:rsidRDefault="00B9311E" w:rsidP="00727CAE">
      <w:pPr>
        <w:spacing w:before="200" w:line="207" w:lineRule="exact"/>
        <w:ind w:right="1077"/>
        <w:textAlignment w:val="baseline"/>
        <w:rPr>
          <w:rFonts w:eastAsia="Arial"/>
          <w:b/>
          <w:sz w:val="16"/>
          <w:szCs w:val="16"/>
          <w:lang w:eastAsia="en-US"/>
        </w:rPr>
      </w:pPr>
      <w:r w:rsidRPr="00BD77D8">
        <w:rPr>
          <w:rFonts w:eastAsia="Arial"/>
          <w:sz w:val="16"/>
          <w:szCs w:val="16"/>
          <w:lang w:eastAsia="en-US"/>
        </w:rPr>
        <w:t>* Queensland Reconstruction Authority grants are from 1 July 2020 to 30 November 2020 due to the Machinery-of-Government changes.</w:t>
      </w:r>
    </w:p>
    <w:tbl>
      <w:tblPr>
        <w:tblW w:w="10313" w:type="dxa"/>
        <w:tblCellMar>
          <w:left w:w="0" w:type="dxa"/>
          <w:right w:w="0" w:type="dxa"/>
        </w:tblCellMar>
        <w:tblLook w:val="04A0" w:firstRow="1" w:lastRow="0" w:firstColumn="1" w:lastColumn="0" w:noHBand="0" w:noVBand="1"/>
      </w:tblPr>
      <w:tblGrid>
        <w:gridCol w:w="7701"/>
        <w:gridCol w:w="1449"/>
        <w:gridCol w:w="1163"/>
      </w:tblGrid>
      <w:tr w:rsidR="00BD77D8" w:rsidRPr="00BD77D8" w14:paraId="0C717D2A" w14:textId="77777777" w:rsidTr="00727CAE">
        <w:trPr>
          <w:trHeight w:val="267"/>
        </w:trPr>
        <w:tc>
          <w:tcPr>
            <w:tcW w:w="7733" w:type="dxa"/>
            <w:tcBorders>
              <w:top w:val="nil"/>
              <w:left w:val="nil"/>
              <w:bottom w:val="nil"/>
              <w:right w:val="nil"/>
            </w:tcBorders>
            <w:shd w:val="clear" w:color="auto" w:fill="auto"/>
            <w:vAlign w:val="center"/>
            <w:hideMark/>
          </w:tcPr>
          <w:p w14:paraId="4205B037" w14:textId="21CDBB49" w:rsidR="00B9311E" w:rsidRPr="00BD77D8" w:rsidRDefault="00B9311E" w:rsidP="00B9311E">
            <w:pPr>
              <w:spacing w:after="0" w:line="240" w:lineRule="auto"/>
              <w:rPr>
                <w:rFonts w:eastAsia="PMingLiU"/>
                <w:sz w:val="18"/>
                <w:szCs w:val="22"/>
                <w:lang w:eastAsia="en-US"/>
              </w:rPr>
            </w:pPr>
            <w:bookmarkStart w:id="338" w:name="_Toc111540704"/>
            <w:bookmarkStart w:id="339" w:name="_Toc111559268"/>
            <w:bookmarkStart w:id="340" w:name="_Toc113196540"/>
            <w:bookmarkStart w:id="341" w:name="_Toc113196888"/>
            <w:bookmarkStart w:id="342" w:name="_Toc113262018"/>
            <w:bookmarkStart w:id="343" w:name="_Toc113349172"/>
            <w:bookmarkStart w:id="344" w:name="_Toc113358097"/>
            <w:r w:rsidRPr="00BD77D8">
              <w:rPr>
                <w:rFonts w:eastAsia="Arial"/>
                <w:b/>
                <w:bCs/>
                <w:sz w:val="22"/>
                <w:szCs w:val="22"/>
                <w:lang w:eastAsia="en-US"/>
              </w:rPr>
              <w:t>G1-5 Supplies and Services</w:t>
            </w:r>
            <w:bookmarkEnd w:id="338"/>
            <w:bookmarkEnd w:id="339"/>
            <w:bookmarkEnd w:id="340"/>
            <w:bookmarkEnd w:id="341"/>
            <w:bookmarkEnd w:id="342"/>
            <w:bookmarkEnd w:id="343"/>
            <w:bookmarkEnd w:id="344"/>
          </w:p>
        </w:tc>
        <w:tc>
          <w:tcPr>
            <w:tcW w:w="1433" w:type="dxa"/>
            <w:tcBorders>
              <w:top w:val="nil"/>
              <w:left w:val="nil"/>
              <w:bottom w:val="nil"/>
              <w:right w:val="nil"/>
            </w:tcBorders>
            <w:shd w:val="clear" w:color="auto" w:fill="auto"/>
            <w:noWrap/>
            <w:vAlign w:val="bottom"/>
            <w:hideMark/>
          </w:tcPr>
          <w:p w14:paraId="6F460798" w14:textId="77777777" w:rsidR="00B9311E" w:rsidRPr="00BD77D8" w:rsidRDefault="00B9311E" w:rsidP="00B9311E">
            <w:pPr>
              <w:spacing w:after="0" w:line="240" w:lineRule="auto"/>
              <w:jc w:val="right"/>
              <w:rPr>
                <w:rFonts w:eastAsia="PMingLiU"/>
                <w:b/>
                <w:bCs/>
                <w:sz w:val="18"/>
                <w:szCs w:val="22"/>
                <w:lang w:eastAsia="en-US"/>
              </w:rPr>
            </w:pPr>
            <w:bookmarkStart w:id="345" w:name="_Toc111540705"/>
            <w:r w:rsidRPr="00BD77D8">
              <w:rPr>
                <w:rFonts w:eastAsia="PMingLiU"/>
                <w:b/>
                <w:bCs/>
                <w:sz w:val="18"/>
                <w:szCs w:val="22"/>
                <w:lang w:eastAsia="en-US"/>
              </w:rPr>
              <w:t>2022</w:t>
            </w:r>
            <w:bookmarkEnd w:id="345"/>
          </w:p>
        </w:tc>
        <w:tc>
          <w:tcPr>
            <w:tcW w:w="1147" w:type="dxa"/>
            <w:tcBorders>
              <w:top w:val="nil"/>
              <w:left w:val="nil"/>
              <w:bottom w:val="nil"/>
              <w:right w:val="nil"/>
            </w:tcBorders>
            <w:shd w:val="clear" w:color="auto" w:fill="auto"/>
            <w:noWrap/>
            <w:vAlign w:val="bottom"/>
            <w:hideMark/>
          </w:tcPr>
          <w:p w14:paraId="6C9E3559" w14:textId="77777777" w:rsidR="00B9311E" w:rsidRPr="00BD77D8" w:rsidRDefault="00B9311E" w:rsidP="00B9311E">
            <w:pPr>
              <w:spacing w:after="0" w:line="240" w:lineRule="auto"/>
              <w:jc w:val="right"/>
              <w:rPr>
                <w:rFonts w:eastAsia="PMingLiU"/>
                <w:b/>
                <w:bCs/>
                <w:sz w:val="18"/>
                <w:szCs w:val="22"/>
                <w:lang w:eastAsia="en-US"/>
              </w:rPr>
            </w:pPr>
            <w:bookmarkStart w:id="346" w:name="_Toc111540706"/>
            <w:r w:rsidRPr="00BD77D8">
              <w:rPr>
                <w:rFonts w:eastAsia="PMingLiU"/>
                <w:b/>
                <w:bCs/>
                <w:sz w:val="18"/>
                <w:szCs w:val="22"/>
                <w:lang w:eastAsia="en-US"/>
              </w:rPr>
              <w:t>2021</w:t>
            </w:r>
            <w:bookmarkEnd w:id="346"/>
          </w:p>
        </w:tc>
      </w:tr>
      <w:tr w:rsidR="00BD77D8" w:rsidRPr="00BD77D8" w14:paraId="70D3129A" w14:textId="77777777" w:rsidTr="00727CAE">
        <w:trPr>
          <w:trHeight w:val="267"/>
        </w:trPr>
        <w:tc>
          <w:tcPr>
            <w:tcW w:w="7733" w:type="dxa"/>
            <w:tcBorders>
              <w:top w:val="nil"/>
              <w:left w:val="nil"/>
              <w:bottom w:val="nil"/>
              <w:right w:val="nil"/>
            </w:tcBorders>
            <w:shd w:val="clear" w:color="auto" w:fill="auto"/>
            <w:vAlign w:val="center"/>
            <w:hideMark/>
          </w:tcPr>
          <w:p w14:paraId="78DB6209" w14:textId="77777777" w:rsidR="00B9311E" w:rsidRPr="00BD77D8" w:rsidRDefault="00B9311E" w:rsidP="00B9311E">
            <w:pPr>
              <w:spacing w:after="0" w:line="240" w:lineRule="auto"/>
              <w:rPr>
                <w:rFonts w:eastAsia="PMingLiU"/>
                <w:sz w:val="18"/>
                <w:szCs w:val="22"/>
                <w:lang w:eastAsia="en-US"/>
              </w:rPr>
            </w:pPr>
          </w:p>
        </w:tc>
        <w:tc>
          <w:tcPr>
            <w:tcW w:w="1433" w:type="dxa"/>
            <w:tcBorders>
              <w:top w:val="nil"/>
              <w:left w:val="nil"/>
              <w:bottom w:val="single" w:sz="4" w:space="0" w:color="auto"/>
              <w:right w:val="nil"/>
            </w:tcBorders>
            <w:shd w:val="clear" w:color="auto" w:fill="auto"/>
            <w:noWrap/>
            <w:vAlign w:val="bottom"/>
            <w:hideMark/>
          </w:tcPr>
          <w:p w14:paraId="134CF2CD" w14:textId="77777777" w:rsidR="00B9311E" w:rsidRPr="00BD77D8" w:rsidRDefault="00B9311E" w:rsidP="00B9311E">
            <w:pPr>
              <w:spacing w:after="0" w:line="240" w:lineRule="auto"/>
              <w:jc w:val="right"/>
              <w:rPr>
                <w:rFonts w:eastAsia="PMingLiU"/>
                <w:b/>
                <w:bCs/>
                <w:sz w:val="18"/>
                <w:szCs w:val="22"/>
                <w:lang w:eastAsia="en-US"/>
              </w:rPr>
            </w:pPr>
            <w:bookmarkStart w:id="347" w:name="_Toc111540707"/>
            <w:r w:rsidRPr="00BD77D8">
              <w:rPr>
                <w:rFonts w:eastAsia="PMingLiU"/>
                <w:b/>
                <w:bCs/>
                <w:sz w:val="18"/>
                <w:szCs w:val="22"/>
                <w:lang w:eastAsia="en-US"/>
              </w:rPr>
              <w:t>$'000</w:t>
            </w:r>
            <w:bookmarkEnd w:id="347"/>
          </w:p>
        </w:tc>
        <w:tc>
          <w:tcPr>
            <w:tcW w:w="1147" w:type="dxa"/>
            <w:tcBorders>
              <w:top w:val="nil"/>
              <w:left w:val="nil"/>
              <w:bottom w:val="single" w:sz="4" w:space="0" w:color="auto"/>
              <w:right w:val="nil"/>
            </w:tcBorders>
            <w:shd w:val="clear" w:color="auto" w:fill="auto"/>
            <w:noWrap/>
            <w:vAlign w:val="bottom"/>
            <w:hideMark/>
          </w:tcPr>
          <w:p w14:paraId="0A0B5BF2" w14:textId="77777777" w:rsidR="00B9311E" w:rsidRPr="00BD77D8" w:rsidRDefault="00B9311E" w:rsidP="00B9311E">
            <w:pPr>
              <w:spacing w:after="0" w:line="240" w:lineRule="auto"/>
              <w:jc w:val="right"/>
              <w:rPr>
                <w:rFonts w:eastAsia="PMingLiU"/>
                <w:b/>
                <w:bCs/>
                <w:sz w:val="18"/>
                <w:szCs w:val="22"/>
                <w:lang w:eastAsia="en-US"/>
              </w:rPr>
            </w:pPr>
            <w:bookmarkStart w:id="348" w:name="_Toc111540708"/>
            <w:r w:rsidRPr="00BD77D8">
              <w:rPr>
                <w:rFonts w:eastAsia="PMingLiU"/>
                <w:b/>
                <w:bCs/>
                <w:sz w:val="18"/>
                <w:szCs w:val="22"/>
                <w:lang w:eastAsia="en-US"/>
              </w:rPr>
              <w:t>$'000</w:t>
            </w:r>
            <w:bookmarkEnd w:id="348"/>
          </w:p>
        </w:tc>
      </w:tr>
      <w:tr w:rsidR="00BD77D8" w:rsidRPr="00BD77D8" w14:paraId="29612D3F" w14:textId="77777777" w:rsidTr="00727CAE">
        <w:trPr>
          <w:trHeight w:val="267"/>
        </w:trPr>
        <w:tc>
          <w:tcPr>
            <w:tcW w:w="7733" w:type="dxa"/>
            <w:tcBorders>
              <w:top w:val="nil"/>
              <w:left w:val="nil"/>
              <w:bottom w:val="nil"/>
              <w:right w:val="nil"/>
            </w:tcBorders>
            <w:shd w:val="clear" w:color="auto" w:fill="auto"/>
            <w:vAlign w:val="center"/>
            <w:hideMark/>
          </w:tcPr>
          <w:p w14:paraId="6C7D86EB" w14:textId="77777777" w:rsidR="00B9311E" w:rsidRPr="00BD77D8" w:rsidRDefault="00B9311E" w:rsidP="00B9311E">
            <w:pPr>
              <w:spacing w:after="0" w:line="240" w:lineRule="auto"/>
              <w:rPr>
                <w:rFonts w:eastAsia="PMingLiU"/>
                <w:sz w:val="18"/>
                <w:szCs w:val="22"/>
                <w:lang w:eastAsia="en-US"/>
              </w:rPr>
            </w:pPr>
            <w:r w:rsidRPr="00BD77D8">
              <w:rPr>
                <w:rFonts w:eastAsia="PMingLiU"/>
                <w:sz w:val="18"/>
                <w:szCs w:val="22"/>
                <w:lang w:eastAsia="en-US"/>
              </w:rPr>
              <w:t xml:space="preserve"> </w:t>
            </w:r>
            <w:bookmarkStart w:id="349" w:name="_Toc111540709"/>
            <w:r w:rsidRPr="00BD77D8">
              <w:rPr>
                <w:rFonts w:eastAsia="PMingLiU"/>
                <w:sz w:val="18"/>
                <w:szCs w:val="22"/>
                <w:lang w:eastAsia="en-US"/>
              </w:rPr>
              <w:t>Service procurement</w:t>
            </w:r>
            <w:bookmarkEnd w:id="349"/>
            <w:r w:rsidRPr="00BD77D8">
              <w:rPr>
                <w:rFonts w:eastAsia="PMingLiU"/>
                <w:sz w:val="18"/>
                <w:szCs w:val="22"/>
                <w:lang w:eastAsia="en-US"/>
              </w:rPr>
              <w:t xml:space="preserve"> </w:t>
            </w:r>
          </w:p>
        </w:tc>
        <w:tc>
          <w:tcPr>
            <w:tcW w:w="1433" w:type="dxa"/>
            <w:tcBorders>
              <w:top w:val="nil"/>
              <w:left w:val="nil"/>
              <w:bottom w:val="nil"/>
              <w:right w:val="nil"/>
            </w:tcBorders>
            <w:shd w:val="clear" w:color="auto" w:fill="auto"/>
            <w:vAlign w:val="center"/>
            <w:hideMark/>
          </w:tcPr>
          <w:p w14:paraId="26ADD1A5" w14:textId="77777777" w:rsidR="00B9311E" w:rsidRPr="00BD77D8" w:rsidRDefault="00B9311E" w:rsidP="00B9311E">
            <w:pPr>
              <w:spacing w:after="0" w:line="240" w:lineRule="auto"/>
              <w:jc w:val="right"/>
              <w:rPr>
                <w:rFonts w:eastAsia="PMingLiU"/>
                <w:sz w:val="18"/>
                <w:szCs w:val="22"/>
                <w:lang w:eastAsia="en-US"/>
              </w:rPr>
            </w:pPr>
            <w:r w:rsidRPr="00BD77D8">
              <w:rPr>
                <w:rFonts w:eastAsia="PMingLiU"/>
                <w:sz w:val="18"/>
                <w:szCs w:val="22"/>
                <w:lang w:eastAsia="en-US"/>
              </w:rPr>
              <w:t xml:space="preserve">             </w:t>
            </w:r>
            <w:bookmarkStart w:id="350" w:name="_Toc111540710"/>
            <w:r w:rsidRPr="00BD77D8">
              <w:rPr>
                <w:rFonts w:eastAsia="PMingLiU"/>
                <w:sz w:val="18"/>
                <w:szCs w:val="22"/>
                <w:lang w:eastAsia="en-US"/>
              </w:rPr>
              <w:t>-</w:t>
            </w:r>
            <w:bookmarkEnd w:id="350"/>
            <w:r w:rsidRPr="00BD77D8">
              <w:rPr>
                <w:rFonts w:eastAsia="PMingLiU"/>
                <w:sz w:val="18"/>
                <w:szCs w:val="22"/>
                <w:lang w:eastAsia="en-US"/>
              </w:rPr>
              <w:t xml:space="preserve"> </w:t>
            </w:r>
          </w:p>
        </w:tc>
        <w:tc>
          <w:tcPr>
            <w:tcW w:w="1147" w:type="dxa"/>
            <w:tcBorders>
              <w:top w:val="nil"/>
              <w:left w:val="nil"/>
              <w:bottom w:val="nil"/>
              <w:right w:val="nil"/>
            </w:tcBorders>
            <w:shd w:val="clear" w:color="auto" w:fill="auto"/>
            <w:vAlign w:val="center"/>
            <w:hideMark/>
          </w:tcPr>
          <w:p w14:paraId="75506C8C" w14:textId="77777777" w:rsidR="00B9311E" w:rsidRPr="00BD77D8" w:rsidRDefault="00B9311E" w:rsidP="00B9311E">
            <w:pPr>
              <w:spacing w:after="0" w:line="240" w:lineRule="auto"/>
              <w:jc w:val="right"/>
              <w:rPr>
                <w:rFonts w:eastAsia="PMingLiU"/>
                <w:sz w:val="18"/>
                <w:szCs w:val="22"/>
                <w:lang w:eastAsia="en-US"/>
              </w:rPr>
            </w:pPr>
            <w:r w:rsidRPr="00BD77D8">
              <w:rPr>
                <w:rFonts w:eastAsia="PMingLiU"/>
                <w:sz w:val="18"/>
                <w:szCs w:val="22"/>
                <w:lang w:eastAsia="en-US"/>
              </w:rPr>
              <w:t xml:space="preserve">         </w:t>
            </w:r>
            <w:bookmarkStart w:id="351" w:name="_Toc111540711"/>
            <w:r w:rsidRPr="00BD77D8">
              <w:rPr>
                <w:rFonts w:eastAsia="PMingLiU"/>
                <w:sz w:val="18"/>
                <w:szCs w:val="22"/>
                <w:lang w:eastAsia="en-US"/>
              </w:rPr>
              <w:t>725</w:t>
            </w:r>
            <w:bookmarkEnd w:id="351"/>
            <w:r w:rsidRPr="00BD77D8">
              <w:rPr>
                <w:rFonts w:eastAsia="PMingLiU"/>
                <w:sz w:val="18"/>
                <w:szCs w:val="22"/>
                <w:lang w:eastAsia="en-US"/>
              </w:rPr>
              <w:t xml:space="preserve"> </w:t>
            </w:r>
          </w:p>
        </w:tc>
      </w:tr>
      <w:tr w:rsidR="00BD77D8" w:rsidRPr="00BD77D8" w14:paraId="0B8B7D6D" w14:textId="77777777" w:rsidTr="00727CAE">
        <w:trPr>
          <w:trHeight w:val="267"/>
        </w:trPr>
        <w:tc>
          <w:tcPr>
            <w:tcW w:w="7733" w:type="dxa"/>
            <w:tcBorders>
              <w:top w:val="nil"/>
              <w:left w:val="nil"/>
              <w:bottom w:val="nil"/>
              <w:right w:val="nil"/>
            </w:tcBorders>
            <w:shd w:val="clear" w:color="auto" w:fill="auto"/>
            <w:vAlign w:val="center"/>
            <w:hideMark/>
          </w:tcPr>
          <w:p w14:paraId="1011A36E" w14:textId="77777777" w:rsidR="00B9311E" w:rsidRPr="00BD77D8" w:rsidRDefault="00B9311E" w:rsidP="00B9311E">
            <w:pPr>
              <w:spacing w:after="0" w:line="240" w:lineRule="auto"/>
              <w:rPr>
                <w:rFonts w:eastAsia="PMingLiU"/>
                <w:sz w:val="18"/>
                <w:szCs w:val="22"/>
                <w:lang w:eastAsia="en-US"/>
              </w:rPr>
            </w:pPr>
            <w:r w:rsidRPr="00BD77D8">
              <w:rPr>
                <w:rFonts w:eastAsia="PMingLiU"/>
                <w:sz w:val="18"/>
                <w:szCs w:val="22"/>
                <w:lang w:eastAsia="en-US"/>
              </w:rPr>
              <w:t xml:space="preserve"> </w:t>
            </w:r>
            <w:bookmarkStart w:id="352" w:name="_Toc111540712"/>
            <w:r w:rsidRPr="00BD77D8">
              <w:rPr>
                <w:rFonts w:eastAsia="PMingLiU"/>
                <w:sz w:val="18"/>
                <w:szCs w:val="22"/>
                <w:lang w:eastAsia="en-US"/>
              </w:rPr>
              <w:t>Disaster recovery</w:t>
            </w:r>
            <w:bookmarkEnd w:id="352"/>
            <w:r w:rsidRPr="00BD77D8">
              <w:rPr>
                <w:rFonts w:eastAsia="PMingLiU"/>
                <w:sz w:val="18"/>
                <w:szCs w:val="22"/>
                <w:lang w:eastAsia="en-US"/>
              </w:rPr>
              <w:t xml:space="preserve"> </w:t>
            </w:r>
          </w:p>
        </w:tc>
        <w:tc>
          <w:tcPr>
            <w:tcW w:w="1433" w:type="dxa"/>
            <w:tcBorders>
              <w:top w:val="nil"/>
              <w:left w:val="nil"/>
              <w:bottom w:val="nil"/>
              <w:right w:val="nil"/>
            </w:tcBorders>
            <w:shd w:val="clear" w:color="auto" w:fill="auto"/>
            <w:vAlign w:val="center"/>
            <w:hideMark/>
          </w:tcPr>
          <w:p w14:paraId="0FB768C3" w14:textId="77777777" w:rsidR="00B9311E" w:rsidRPr="00BD77D8" w:rsidRDefault="00B9311E" w:rsidP="00B9311E">
            <w:pPr>
              <w:spacing w:after="0" w:line="240" w:lineRule="auto"/>
              <w:jc w:val="right"/>
              <w:rPr>
                <w:rFonts w:eastAsia="PMingLiU"/>
                <w:sz w:val="18"/>
                <w:szCs w:val="22"/>
                <w:lang w:eastAsia="en-US"/>
              </w:rPr>
            </w:pPr>
            <w:r w:rsidRPr="00BD77D8">
              <w:rPr>
                <w:rFonts w:eastAsia="PMingLiU"/>
                <w:sz w:val="18"/>
                <w:szCs w:val="22"/>
                <w:lang w:eastAsia="en-US"/>
              </w:rPr>
              <w:t xml:space="preserve">             </w:t>
            </w:r>
            <w:bookmarkStart w:id="353" w:name="_Toc111540713"/>
            <w:r w:rsidRPr="00BD77D8">
              <w:rPr>
                <w:rFonts w:eastAsia="PMingLiU"/>
                <w:sz w:val="18"/>
                <w:szCs w:val="22"/>
                <w:lang w:eastAsia="en-US"/>
              </w:rPr>
              <w:t>-</w:t>
            </w:r>
            <w:bookmarkEnd w:id="353"/>
            <w:r w:rsidRPr="00BD77D8">
              <w:rPr>
                <w:rFonts w:eastAsia="PMingLiU"/>
                <w:sz w:val="18"/>
                <w:szCs w:val="22"/>
                <w:lang w:eastAsia="en-US"/>
              </w:rPr>
              <w:t xml:space="preserve"> </w:t>
            </w:r>
          </w:p>
        </w:tc>
        <w:tc>
          <w:tcPr>
            <w:tcW w:w="1147" w:type="dxa"/>
            <w:tcBorders>
              <w:top w:val="nil"/>
              <w:left w:val="nil"/>
              <w:bottom w:val="nil"/>
              <w:right w:val="nil"/>
            </w:tcBorders>
            <w:shd w:val="clear" w:color="auto" w:fill="auto"/>
            <w:vAlign w:val="center"/>
            <w:hideMark/>
          </w:tcPr>
          <w:p w14:paraId="0A3AC45B" w14:textId="77777777" w:rsidR="00B9311E" w:rsidRPr="00BD77D8" w:rsidRDefault="00B9311E" w:rsidP="00B9311E">
            <w:pPr>
              <w:spacing w:after="0" w:line="240" w:lineRule="auto"/>
              <w:jc w:val="right"/>
              <w:rPr>
                <w:rFonts w:eastAsia="PMingLiU"/>
                <w:sz w:val="18"/>
                <w:szCs w:val="22"/>
                <w:lang w:eastAsia="en-US"/>
              </w:rPr>
            </w:pPr>
            <w:r w:rsidRPr="00BD77D8">
              <w:rPr>
                <w:rFonts w:eastAsia="PMingLiU"/>
                <w:sz w:val="18"/>
                <w:szCs w:val="22"/>
                <w:lang w:eastAsia="en-US"/>
              </w:rPr>
              <w:t xml:space="preserve">         </w:t>
            </w:r>
            <w:bookmarkStart w:id="354" w:name="_Toc111540714"/>
            <w:r w:rsidRPr="00BD77D8">
              <w:rPr>
                <w:rFonts w:eastAsia="PMingLiU"/>
                <w:sz w:val="18"/>
                <w:szCs w:val="22"/>
                <w:lang w:eastAsia="en-US"/>
              </w:rPr>
              <w:t>277</w:t>
            </w:r>
            <w:bookmarkEnd w:id="354"/>
            <w:r w:rsidRPr="00BD77D8">
              <w:rPr>
                <w:rFonts w:eastAsia="PMingLiU"/>
                <w:sz w:val="18"/>
                <w:szCs w:val="22"/>
                <w:lang w:eastAsia="en-US"/>
              </w:rPr>
              <w:t xml:space="preserve"> </w:t>
            </w:r>
          </w:p>
        </w:tc>
      </w:tr>
      <w:tr w:rsidR="00B9311E" w:rsidRPr="00BD77D8" w14:paraId="17AA597A" w14:textId="77777777" w:rsidTr="00727CAE">
        <w:trPr>
          <w:trHeight w:val="267"/>
        </w:trPr>
        <w:tc>
          <w:tcPr>
            <w:tcW w:w="7733" w:type="dxa"/>
            <w:tcBorders>
              <w:top w:val="nil"/>
              <w:left w:val="nil"/>
              <w:bottom w:val="nil"/>
              <w:right w:val="nil"/>
            </w:tcBorders>
            <w:shd w:val="clear" w:color="auto" w:fill="auto"/>
            <w:vAlign w:val="center"/>
            <w:hideMark/>
          </w:tcPr>
          <w:p w14:paraId="01577214" w14:textId="77777777" w:rsidR="00B9311E" w:rsidRPr="00BD77D8" w:rsidRDefault="00B9311E" w:rsidP="00B9311E">
            <w:pPr>
              <w:spacing w:after="0" w:line="240" w:lineRule="auto"/>
              <w:rPr>
                <w:rFonts w:eastAsia="PMingLiU"/>
                <w:b/>
                <w:bCs/>
                <w:sz w:val="18"/>
                <w:szCs w:val="22"/>
                <w:lang w:eastAsia="en-US"/>
              </w:rPr>
            </w:pPr>
            <w:r w:rsidRPr="00BD77D8">
              <w:rPr>
                <w:rFonts w:eastAsia="PMingLiU"/>
                <w:b/>
                <w:bCs/>
                <w:sz w:val="18"/>
                <w:szCs w:val="22"/>
                <w:lang w:eastAsia="en-US"/>
              </w:rPr>
              <w:t xml:space="preserve"> </w:t>
            </w:r>
            <w:bookmarkStart w:id="355" w:name="_Toc111540715"/>
            <w:r w:rsidRPr="00BD77D8">
              <w:rPr>
                <w:rFonts w:eastAsia="PMingLiU"/>
                <w:b/>
                <w:bCs/>
                <w:sz w:val="18"/>
                <w:szCs w:val="22"/>
                <w:lang w:eastAsia="en-US"/>
              </w:rPr>
              <w:t>Total</w:t>
            </w:r>
            <w:bookmarkEnd w:id="355"/>
            <w:r w:rsidRPr="00BD77D8">
              <w:rPr>
                <w:rFonts w:eastAsia="PMingLiU"/>
                <w:b/>
                <w:bCs/>
                <w:sz w:val="18"/>
                <w:szCs w:val="22"/>
                <w:lang w:eastAsia="en-US"/>
              </w:rPr>
              <w:t xml:space="preserve"> </w:t>
            </w:r>
          </w:p>
        </w:tc>
        <w:tc>
          <w:tcPr>
            <w:tcW w:w="1433" w:type="dxa"/>
            <w:tcBorders>
              <w:top w:val="single" w:sz="4" w:space="0" w:color="auto"/>
              <w:left w:val="nil"/>
              <w:bottom w:val="single" w:sz="4" w:space="0" w:color="auto"/>
              <w:right w:val="nil"/>
            </w:tcBorders>
            <w:shd w:val="clear" w:color="auto" w:fill="auto"/>
            <w:vAlign w:val="center"/>
            <w:hideMark/>
          </w:tcPr>
          <w:p w14:paraId="12C01494" w14:textId="77777777" w:rsidR="00B9311E" w:rsidRPr="00BD77D8" w:rsidRDefault="00B9311E" w:rsidP="00B9311E">
            <w:pPr>
              <w:spacing w:after="0" w:line="240" w:lineRule="auto"/>
              <w:jc w:val="right"/>
              <w:rPr>
                <w:rFonts w:eastAsia="PMingLiU"/>
                <w:b/>
                <w:bCs/>
                <w:sz w:val="18"/>
                <w:szCs w:val="22"/>
                <w:lang w:eastAsia="en-US"/>
              </w:rPr>
            </w:pPr>
            <w:r w:rsidRPr="00BD77D8">
              <w:rPr>
                <w:rFonts w:eastAsia="PMingLiU"/>
                <w:b/>
                <w:bCs/>
                <w:sz w:val="18"/>
                <w:szCs w:val="22"/>
                <w:lang w:eastAsia="en-US"/>
              </w:rPr>
              <w:t xml:space="preserve">             </w:t>
            </w:r>
            <w:bookmarkStart w:id="356" w:name="_Toc111540716"/>
            <w:r w:rsidRPr="00BD77D8">
              <w:rPr>
                <w:rFonts w:eastAsia="PMingLiU"/>
                <w:b/>
                <w:bCs/>
                <w:sz w:val="18"/>
                <w:szCs w:val="22"/>
                <w:lang w:eastAsia="en-US"/>
              </w:rPr>
              <w:t>-</w:t>
            </w:r>
            <w:bookmarkEnd w:id="356"/>
            <w:r w:rsidRPr="00BD77D8">
              <w:rPr>
                <w:rFonts w:eastAsia="PMingLiU"/>
                <w:b/>
                <w:bCs/>
                <w:sz w:val="18"/>
                <w:szCs w:val="22"/>
                <w:lang w:eastAsia="en-US"/>
              </w:rPr>
              <w:t xml:space="preserve"> </w:t>
            </w:r>
          </w:p>
        </w:tc>
        <w:tc>
          <w:tcPr>
            <w:tcW w:w="1147" w:type="dxa"/>
            <w:tcBorders>
              <w:top w:val="single" w:sz="4" w:space="0" w:color="auto"/>
              <w:left w:val="nil"/>
              <w:bottom w:val="single" w:sz="4" w:space="0" w:color="auto"/>
              <w:right w:val="nil"/>
            </w:tcBorders>
            <w:shd w:val="clear" w:color="auto" w:fill="auto"/>
            <w:vAlign w:val="center"/>
            <w:hideMark/>
          </w:tcPr>
          <w:p w14:paraId="6DE224CA" w14:textId="77777777" w:rsidR="00B9311E" w:rsidRPr="00BD77D8" w:rsidRDefault="00B9311E" w:rsidP="00B9311E">
            <w:pPr>
              <w:spacing w:after="0" w:line="240" w:lineRule="auto"/>
              <w:jc w:val="right"/>
              <w:rPr>
                <w:rFonts w:eastAsia="PMingLiU"/>
                <w:b/>
                <w:bCs/>
                <w:sz w:val="18"/>
                <w:szCs w:val="22"/>
                <w:lang w:eastAsia="en-US"/>
              </w:rPr>
            </w:pPr>
            <w:r w:rsidRPr="00BD77D8">
              <w:rPr>
                <w:rFonts w:eastAsia="PMingLiU"/>
                <w:b/>
                <w:bCs/>
                <w:sz w:val="18"/>
                <w:szCs w:val="22"/>
                <w:lang w:eastAsia="en-US"/>
              </w:rPr>
              <w:t xml:space="preserve">      </w:t>
            </w:r>
            <w:bookmarkStart w:id="357" w:name="_Toc111540717"/>
            <w:r w:rsidRPr="00BD77D8">
              <w:rPr>
                <w:rFonts w:eastAsia="PMingLiU"/>
                <w:b/>
                <w:bCs/>
                <w:sz w:val="18"/>
                <w:szCs w:val="22"/>
                <w:lang w:eastAsia="en-US"/>
              </w:rPr>
              <w:t>1,002</w:t>
            </w:r>
            <w:bookmarkEnd w:id="357"/>
            <w:r w:rsidRPr="00BD77D8">
              <w:rPr>
                <w:rFonts w:eastAsia="PMingLiU"/>
                <w:b/>
                <w:bCs/>
                <w:sz w:val="18"/>
                <w:szCs w:val="22"/>
                <w:lang w:eastAsia="en-US"/>
              </w:rPr>
              <w:t xml:space="preserve"> </w:t>
            </w:r>
          </w:p>
        </w:tc>
      </w:tr>
    </w:tbl>
    <w:p w14:paraId="7D375164" w14:textId="77777777" w:rsidR="00B9311E" w:rsidRPr="00BD77D8" w:rsidRDefault="00B9311E" w:rsidP="00B9311E">
      <w:pPr>
        <w:spacing w:after="0" w:line="240" w:lineRule="auto"/>
        <w:rPr>
          <w:rFonts w:eastAsia="PMingLiU"/>
          <w:sz w:val="18"/>
          <w:szCs w:val="22"/>
          <w:lang w:eastAsia="en-US"/>
        </w:rPr>
      </w:pPr>
    </w:p>
    <w:p w14:paraId="4D12E7FA" w14:textId="29139017" w:rsidR="00B9311E" w:rsidRPr="00BD77D8" w:rsidRDefault="00B9311E" w:rsidP="007D087A">
      <w:pPr>
        <w:rPr>
          <w:rFonts w:eastAsia="PMingLiU"/>
          <w:sz w:val="18"/>
          <w:szCs w:val="22"/>
          <w:lang w:val="en-US" w:eastAsia="en-US"/>
        </w:rPr>
      </w:pPr>
      <w:bookmarkStart w:id="358" w:name="_Toc111540718"/>
      <w:bookmarkStart w:id="359" w:name="_Toc111559269"/>
      <w:bookmarkStart w:id="360" w:name="_Toc113196541"/>
      <w:bookmarkStart w:id="361" w:name="_Toc113196889"/>
      <w:bookmarkStart w:id="362" w:name="_Toc113262019"/>
      <w:bookmarkStart w:id="363" w:name="_Toc113349173"/>
      <w:bookmarkStart w:id="364" w:name="_Toc113358098"/>
      <w:r w:rsidRPr="00BD77D8">
        <w:rPr>
          <w:rFonts w:eastAsia="Arial"/>
          <w:b/>
          <w:bCs/>
          <w:sz w:val="22"/>
          <w:szCs w:val="22"/>
          <w:lang w:eastAsia="en-US"/>
        </w:rPr>
        <w:t>G1-6 Grants and Subsidies</w:t>
      </w:r>
      <w:bookmarkEnd w:id="358"/>
      <w:bookmarkEnd w:id="359"/>
      <w:bookmarkEnd w:id="360"/>
      <w:bookmarkEnd w:id="361"/>
      <w:bookmarkEnd w:id="362"/>
      <w:bookmarkEnd w:id="363"/>
      <w:bookmarkEnd w:id="364"/>
    </w:p>
    <w:tbl>
      <w:tblPr>
        <w:tblW w:w="10436" w:type="dxa"/>
        <w:tblLook w:val="04A0" w:firstRow="1" w:lastRow="0" w:firstColumn="1" w:lastColumn="0" w:noHBand="0" w:noVBand="1"/>
      </w:tblPr>
      <w:tblGrid>
        <w:gridCol w:w="7797"/>
        <w:gridCol w:w="1417"/>
        <w:gridCol w:w="1222"/>
      </w:tblGrid>
      <w:tr w:rsidR="00BD77D8" w:rsidRPr="00BD77D8" w14:paraId="5DFD6369" w14:textId="77777777" w:rsidTr="003057FB">
        <w:trPr>
          <w:trHeight w:val="269"/>
        </w:trPr>
        <w:tc>
          <w:tcPr>
            <w:tcW w:w="7797" w:type="dxa"/>
            <w:tcBorders>
              <w:top w:val="nil"/>
              <w:left w:val="nil"/>
              <w:bottom w:val="nil"/>
              <w:right w:val="nil"/>
            </w:tcBorders>
            <w:shd w:val="clear" w:color="auto" w:fill="auto"/>
            <w:vAlign w:val="center"/>
            <w:hideMark/>
          </w:tcPr>
          <w:p w14:paraId="695A4985" w14:textId="77777777" w:rsidR="00B9311E" w:rsidRPr="00BD77D8" w:rsidRDefault="00B9311E" w:rsidP="00B9311E">
            <w:pPr>
              <w:spacing w:after="0" w:line="240" w:lineRule="auto"/>
              <w:rPr>
                <w:rFonts w:eastAsia="PMingLiU"/>
                <w:sz w:val="18"/>
                <w:szCs w:val="22"/>
              </w:rPr>
            </w:pPr>
          </w:p>
        </w:tc>
        <w:tc>
          <w:tcPr>
            <w:tcW w:w="1417" w:type="dxa"/>
            <w:tcBorders>
              <w:top w:val="nil"/>
              <w:left w:val="nil"/>
              <w:bottom w:val="nil"/>
              <w:right w:val="nil"/>
            </w:tcBorders>
            <w:shd w:val="clear" w:color="auto" w:fill="auto"/>
            <w:noWrap/>
            <w:vAlign w:val="bottom"/>
            <w:hideMark/>
          </w:tcPr>
          <w:p w14:paraId="47C35C24" w14:textId="77777777" w:rsidR="00B9311E" w:rsidRPr="00BD77D8" w:rsidRDefault="00B9311E" w:rsidP="00B9311E">
            <w:pPr>
              <w:spacing w:after="0" w:line="240" w:lineRule="auto"/>
              <w:jc w:val="right"/>
              <w:rPr>
                <w:rFonts w:eastAsia="PMingLiU"/>
                <w:b/>
                <w:bCs/>
                <w:sz w:val="18"/>
                <w:szCs w:val="22"/>
              </w:rPr>
            </w:pPr>
            <w:r w:rsidRPr="00BD77D8">
              <w:rPr>
                <w:rFonts w:eastAsia="PMingLiU"/>
                <w:b/>
                <w:bCs/>
                <w:sz w:val="18"/>
                <w:szCs w:val="22"/>
              </w:rPr>
              <w:t>2022</w:t>
            </w:r>
          </w:p>
        </w:tc>
        <w:tc>
          <w:tcPr>
            <w:tcW w:w="1222" w:type="dxa"/>
            <w:tcBorders>
              <w:top w:val="nil"/>
              <w:left w:val="nil"/>
              <w:bottom w:val="nil"/>
              <w:right w:val="nil"/>
            </w:tcBorders>
            <w:shd w:val="clear" w:color="auto" w:fill="auto"/>
            <w:noWrap/>
            <w:vAlign w:val="bottom"/>
            <w:hideMark/>
          </w:tcPr>
          <w:p w14:paraId="2CB2AF57" w14:textId="77777777" w:rsidR="00B9311E" w:rsidRPr="00BD77D8" w:rsidRDefault="00B9311E" w:rsidP="00B9311E">
            <w:pPr>
              <w:spacing w:after="0" w:line="240" w:lineRule="auto"/>
              <w:jc w:val="right"/>
              <w:rPr>
                <w:rFonts w:eastAsia="PMingLiU"/>
                <w:b/>
                <w:bCs/>
                <w:sz w:val="18"/>
                <w:szCs w:val="22"/>
              </w:rPr>
            </w:pPr>
            <w:r w:rsidRPr="00BD77D8">
              <w:rPr>
                <w:rFonts w:eastAsia="PMingLiU"/>
                <w:b/>
                <w:bCs/>
                <w:sz w:val="18"/>
                <w:szCs w:val="22"/>
              </w:rPr>
              <w:t>2021</w:t>
            </w:r>
          </w:p>
        </w:tc>
      </w:tr>
      <w:tr w:rsidR="00BD77D8" w:rsidRPr="00BD77D8" w14:paraId="7A943031" w14:textId="77777777" w:rsidTr="003057FB">
        <w:trPr>
          <w:trHeight w:val="269"/>
        </w:trPr>
        <w:tc>
          <w:tcPr>
            <w:tcW w:w="7797" w:type="dxa"/>
            <w:tcBorders>
              <w:top w:val="nil"/>
              <w:left w:val="nil"/>
              <w:bottom w:val="nil"/>
              <w:right w:val="nil"/>
            </w:tcBorders>
            <w:shd w:val="clear" w:color="auto" w:fill="auto"/>
            <w:vAlign w:val="center"/>
            <w:hideMark/>
          </w:tcPr>
          <w:p w14:paraId="5CDBA5EF" w14:textId="77777777" w:rsidR="00B9311E" w:rsidRPr="00BD77D8" w:rsidRDefault="00B9311E" w:rsidP="00B9311E">
            <w:pPr>
              <w:spacing w:after="0" w:line="240" w:lineRule="auto"/>
              <w:rPr>
                <w:rFonts w:eastAsia="PMingLiU"/>
                <w:sz w:val="18"/>
                <w:szCs w:val="22"/>
              </w:rPr>
            </w:pPr>
          </w:p>
        </w:tc>
        <w:tc>
          <w:tcPr>
            <w:tcW w:w="1417" w:type="dxa"/>
            <w:tcBorders>
              <w:top w:val="nil"/>
              <w:left w:val="nil"/>
              <w:bottom w:val="single" w:sz="4" w:space="0" w:color="auto"/>
              <w:right w:val="nil"/>
            </w:tcBorders>
            <w:shd w:val="clear" w:color="auto" w:fill="auto"/>
            <w:noWrap/>
            <w:vAlign w:val="bottom"/>
            <w:hideMark/>
          </w:tcPr>
          <w:p w14:paraId="7179A627" w14:textId="77777777" w:rsidR="00B9311E" w:rsidRPr="00BD77D8" w:rsidRDefault="00B9311E" w:rsidP="00B9311E">
            <w:pPr>
              <w:spacing w:after="0" w:line="240" w:lineRule="auto"/>
              <w:jc w:val="right"/>
              <w:rPr>
                <w:rFonts w:eastAsia="PMingLiU"/>
                <w:b/>
                <w:bCs/>
                <w:sz w:val="18"/>
                <w:szCs w:val="22"/>
              </w:rPr>
            </w:pPr>
            <w:r w:rsidRPr="00BD77D8">
              <w:rPr>
                <w:rFonts w:eastAsia="PMingLiU"/>
                <w:b/>
                <w:bCs/>
                <w:sz w:val="18"/>
                <w:szCs w:val="22"/>
              </w:rPr>
              <w:t>$'000</w:t>
            </w:r>
          </w:p>
        </w:tc>
        <w:tc>
          <w:tcPr>
            <w:tcW w:w="1222" w:type="dxa"/>
            <w:tcBorders>
              <w:top w:val="nil"/>
              <w:left w:val="nil"/>
              <w:bottom w:val="single" w:sz="4" w:space="0" w:color="auto"/>
              <w:right w:val="nil"/>
            </w:tcBorders>
            <w:shd w:val="clear" w:color="auto" w:fill="auto"/>
            <w:noWrap/>
            <w:vAlign w:val="bottom"/>
            <w:hideMark/>
          </w:tcPr>
          <w:p w14:paraId="62E80852" w14:textId="77777777" w:rsidR="00B9311E" w:rsidRPr="00BD77D8" w:rsidRDefault="00B9311E" w:rsidP="00B9311E">
            <w:pPr>
              <w:spacing w:after="0" w:line="240" w:lineRule="auto"/>
              <w:jc w:val="right"/>
              <w:rPr>
                <w:rFonts w:eastAsia="PMingLiU"/>
                <w:b/>
                <w:bCs/>
                <w:sz w:val="18"/>
                <w:szCs w:val="22"/>
              </w:rPr>
            </w:pPr>
            <w:r w:rsidRPr="00BD77D8">
              <w:rPr>
                <w:rFonts w:eastAsia="PMingLiU"/>
                <w:b/>
                <w:bCs/>
                <w:sz w:val="18"/>
                <w:szCs w:val="22"/>
              </w:rPr>
              <w:t>$'000</w:t>
            </w:r>
          </w:p>
        </w:tc>
      </w:tr>
      <w:tr w:rsidR="00BD77D8" w:rsidRPr="00BD77D8" w14:paraId="1FA6F3FE" w14:textId="77777777" w:rsidTr="003057FB">
        <w:trPr>
          <w:trHeight w:val="269"/>
        </w:trPr>
        <w:tc>
          <w:tcPr>
            <w:tcW w:w="7797" w:type="dxa"/>
            <w:tcBorders>
              <w:top w:val="nil"/>
              <w:left w:val="nil"/>
              <w:bottom w:val="nil"/>
              <w:right w:val="nil"/>
            </w:tcBorders>
            <w:shd w:val="clear" w:color="auto" w:fill="auto"/>
            <w:vAlign w:val="center"/>
            <w:hideMark/>
          </w:tcPr>
          <w:p w14:paraId="2209B20D"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Grants - National Disability Insurance Agency </w:t>
            </w:r>
          </w:p>
        </w:tc>
        <w:tc>
          <w:tcPr>
            <w:tcW w:w="1417" w:type="dxa"/>
            <w:tcBorders>
              <w:top w:val="nil"/>
              <w:left w:val="nil"/>
              <w:bottom w:val="nil"/>
              <w:right w:val="nil"/>
            </w:tcBorders>
            <w:shd w:val="clear" w:color="auto" w:fill="auto"/>
            <w:vAlign w:val="bottom"/>
            <w:hideMark/>
          </w:tcPr>
          <w:p w14:paraId="69006613"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1,992,273 </w:t>
            </w:r>
          </w:p>
        </w:tc>
        <w:tc>
          <w:tcPr>
            <w:tcW w:w="1222" w:type="dxa"/>
            <w:tcBorders>
              <w:top w:val="nil"/>
              <w:left w:val="nil"/>
              <w:bottom w:val="nil"/>
              <w:right w:val="nil"/>
            </w:tcBorders>
            <w:shd w:val="clear" w:color="auto" w:fill="auto"/>
            <w:noWrap/>
            <w:vAlign w:val="bottom"/>
            <w:hideMark/>
          </w:tcPr>
          <w:p w14:paraId="4F58E06F"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1,976,912</w:t>
            </w:r>
          </w:p>
        </w:tc>
      </w:tr>
      <w:tr w:rsidR="00BD77D8" w:rsidRPr="00BD77D8" w14:paraId="602E7A7A" w14:textId="77777777" w:rsidTr="003057FB">
        <w:trPr>
          <w:trHeight w:val="269"/>
        </w:trPr>
        <w:tc>
          <w:tcPr>
            <w:tcW w:w="7797" w:type="dxa"/>
            <w:tcBorders>
              <w:top w:val="nil"/>
              <w:left w:val="nil"/>
              <w:bottom w:val="nil"/>
              <w:right w:val="nil"/>
            </w:tcBorders>
            <w:shd w:val="clear" w:color="auto" w:fill="auto"/>
            <w:vAlign w:val="center"/>
            <w:hideMark/>
          </w:tcPr>
          <w:p w14:paraId="62EB1FCD"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Grants - Electricity - COVID-19 - Small Medium Business Relief </w:t>
            </w:r>
          </w:p>
        </w:tc>
        <w:tc>
          <w:tcPr>
            <w:tcW w:w="1417" w:type="dxa"/>
            <w:tcBorders>
              <w:top w:val="nil"/>
              <w:left w:val="nil"/>
              <w:bottom w:val="nil"/>
              <w:right w:val="nil"/>
            </w:tcBorders>
            <w:shd w:val="clear" w:color="auto" w:fill="auto"/>
            <w:vAlign w:val="bottom"/>
            <w:hideMark/>
          </w:tcPr>
          <w:p w14:paraId="712FF514"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316 </w:t>
            </w:r>
          </w:p>
        </w:tc>
        <w:tc>
          <w:tcPr>
            <w:tcW w:w="1222" w:type="dxa"/>
            <w:tcBorders>
              <w:top w:val="nil"/>
              <w:left w:val="nil"/>
              <w:bottom w:val="nil"/>
              <w:right w:val="nil"/>
            </w:tcBorders>
            <w:shd w:val="clear" w:color="auto" w:fill="auto"/>
            <w:vAlign w:val="bottom"/>
            <w:hideMark/>
          </w:tcPr>
          <w:p w14:paraId="57D9F8E6"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6,708 </w:t>
            </w:r>
          </w:p>
        </w:tc>
      </w:tr>
      <w:tr w:rsidR="00BD77D8" w:rsidRPr="00BD77D8" w14:paraId="1102AD3C" w14:textId="77777777" w:rsidTr="003057FB">
        <w:trPr>
          <w:trHeight w:val="269"/>
        </w:trPr>
        <w:tc>
          <w:tcPr>
            <w:tcW w:w="7797" w:type="dxa"/>
            <w:tcBorders>
              <w:top w:val="nil"/>
              <w:left w:val="nil"/>
              <w:bottom w:val="nil"/>
              <w:right w:val="nil"/>
            </w:tcBorders>
            <w:shd w:val="clear" w:color="auto" w:fill="auto"/>
            <w:vAlign w:val="center"/>
            <w:hideMark/>
          </w:tcPr>
          <w:p w14:paraId="721D7BE0"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Grants - Family Responsibilities Commission </w:t>
            </w:r>
          </w:p>
        </w:tc>
        <w:tc>
          <w:tcPr>
            <w:tcW w:w="1417" w:type="dxa"/>
            <w:tcBorders>
              <w:top w:val="nil"/>
              <w:left w:val="nil"/>
              <w:bottom w:val="nil"/>
              <w:right w:val="nil"/>
            </w:tcBorders>
            <w:shd w:val="clear" w:color="auto" w:fill="auto"/>
            <w:vAlign w:val="bottom"/>
            <w:hideMark/>
          </w:tcPr>
          <w:p w14:paraId="70262D3E"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4,218 </w:t>
            </w:r>
          </w:p>
        </w:tc>
        <w:tc>
          <w:tcPr>
            <w:tcW w:w="1222" w:type="dxa"/>
            <w:tcBorders>
              <w:top w:val="nil"/>
              <w:left w:val="nil"/>
              <w:bottom w:val="nil"/>
              <w:right w:val="nil"/>
            </w:tcBorders>
            <w:shd w:val="clear" w:color="auto" w:fill="auto"/>
            <w:vAlign w:val="bottom"/>
            <w:hideMark/>
          </w:tcPr>
          <w:p w14:paraId="03A2A0E2"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2,079 </w:t>
            </w:r>
          </w:p>
        </w:tc>
      </w:tr>
      <w:tr w:rsidR="00BD77D8" w:rsidRPr="00BD77D8" w14:paraId="7509091F" w14:textId="77777777" w:rsidTr="003057FB">
        <w:trPr>
          <w:trHeight w:val="269"/>
        </w:trPr>
        <w:tc>
          <w:tcPr>
            <w:tcW w:w="7797" w:type="dxa"/>
            <w:tcBorders>
              <w:top w:val="nil"/>
              <w:left w:val="nil"/>
              <w:bottom w:val="nil"/>
              <w:right w:val="nil"/>
            </w:tcBorders>
            <w:shd w:val="clear" w:color="auto" w:fill="auto"/>
            <w:vAlign w:val="center"/>
            <w:hideMark/>
          </w:tcPr>
          <w:p w14:paraId="2EBC93F1"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Grants - Transfer Ownership of </w:t>
            </w:r>
            <w:proofErr w:type="spellStart"/>
            <w:r w:rsidRPr="00BD77D8">
              <w:rPr>
                <w:rFonts w:eastAsia="PMingLiU"/>
                <w:sz w:val="18"/>
                <w:szCs w:val="22"/>
              </w:rPr>
              <w:t>Olandi</w:t>
            </w:r>
            <w:proofErr w:type="spellEnd"/>
            <w:r w:rsidRPr="00BD77D8">
              <w:rPr>
                <w:rFonts w:eastAsia="PMingLiU"/>
                <w:sz w:val="18"/>
                <w:szCs w:val="22"/>
              </w:rPr>
              <w:t xml:space="preserve"> Hall to Torres Shire Council * </w:t>
            </w:r>
          </w:p>
        </w:tc>
        <w:tc>
          <w:tcPr>
            <w:tcW w:w="1417" w:type="dxa"/>
            <w:tcBorders>
              <w:top w:val="nil"/>
              <w:left w:val="nil"/>
              <w:bottom w:val="nil"/>
              <w:right w:val="nil"/>
            </w:tcBorders>
            <w:shd w:val="clear" w:color="auto" w:fill="auto"/>
            <w:vAlign w:val="bottom"/>
            <w:hideMark/>
          </w:tcPr>
          <w:p w14:paraId="1384406C"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1,605 </w:t>
            </w:r>
          </w:p>
        </w:tc>
        <w:tc>
          <w:tcPr>
            <w:tcW w:w="1222" w:type="dxa"/>
            <w:tcBorders>
              <w:top w:val="nil"/>
              <w:left w:val="nil"/>
              <w:bottom w:val="nil"/>
              <w:right w:val="nil"/>
            </w:tcBorders>
            <w:shd w:val="clear" w:color="auto" w:fill="auto"/>
            <w:vAlign w:val="bottom"/>
            <w:hideMark/>
          </w:tcPr>
          <w:p w14:paraId="53A827BB"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 </w:t>
            </w:r>
          </w:p>
        </w:tc>
      </w:tr>
      <w:tr w:rsidR="00BD77D8" w:rsidRPr="00BD77D8" w14:paraId="09FC221A" w14:textId="77777777" w:rsidTr="003057FB">
        <w:trPr>
          <w:trHeight w:val="269"/>
        </w:trPr>
        <w:tc>
          <w:tcPr>
            <w:tcW w:w="7797" w:type="dxa"/>
            <w:tcBorders>
              <w:top w:val="nil"/>
              <w:left w:val="nil"/>
              <w:bottom w:val="nil"/>
              <w:right w:val="nil"/>
            </w:tcBorders>
            <w:shd w:val="clear" w:color="auto" w:fill="auto"/>
            <w:vAlign w:val="center"/>
            <w:hideMark/>
          </w:tcPr>
          <w:p w14:paraId="76AFE272"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Grants - Western Cape Communities </w:t>
            </w:r>
          </w:p>
        </w:tc>
        <w:tc>
          <w:tcPr>
            <w:tcW w:w="1417" w:type="dxa"/>
            <w:tcBorders>
              <w:top w:val="nil"/>
              <w:left w:val="nil"/>
              <w:bottom w:val="nil"/>
              <w:right w:val="nil"/>
            </w:tcBorders>
            <w:shd w:val="clear" w:color="auto" w:fill="auto"/>
            <w:vAlign w:val="bottom"/>
            <w:hideMark/>
          </w:tcPr>
          <w:p w14:paraId="548F16BD"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16,373 </w:t>
            </w:r>
          </w:p>
        </w:tc>
        <w:tc>
          <w:tcPr>
            <w:tcW w:w="1222" w:type="dxa"/>
            <w:tcBorders>
              <w:top w:val="nil"/>
              <w:left w:val="nil"/>
              <w:bottom w:val="nil"/>
              <w:right w:val="nil"/>
            </w:tcBorders>
            <w:shd w:val="clear" w:color="auto" w:fill="auto"/>
            <w:vAlign w:val="bottom"/>
            <w:hideMark/>
          </w:tcPr>
          <w:p w14:paraId="10683D16"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7,025 </w:t>
            </w:r>
          </w:p>
        </w:tc>
      </w:tr>
      <w:tr w:rsidR="00BD77D8" w:rsidRPr="00BD77D8" w14:paraId="13121E4E" w14:textId="77777777" w:rsidTr="003057FB">
        <w:trPr>
          <w:trHeight w:val="269"/>
        </w:trPr>
        <w:tc>
          <w:tcPr>
            <w:tcW w:w="7797" w:type="dxa"/>
            <w:tcBorders>
              <w:top w:val="nil"/>
              <w:left w:val="nil"/>
              <w:bottom w:val="nil"/>
              <w:right w:val="nil"/>
            </w:tcBorders>
            <w:shd w:val="clear" w:color="auto" w:fill="auto"/>
            <w:vAlign w:val="center"/>
            <w:hideMark/>
          </w:tcPr>
          <w:p w14:paraId="28B50043"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Grants - Disaster Recovery Personal Hardship Assistance Scheme </w:t>
            </w:r>
          </w:p>
        </w:tc>
        <w:tc>
          <w:tcPr>
            <w:tcW w:w="1417" w:type="dxa"/>
            <w:tcBorders>
              <w:top w:val="nil"/>
              <w:left w:val="nil"/>
              <w:bottom w:val="nil"/>
              <w:right w:val="nil"/>
            </w:tcBorders>
            <w:shd w:val="clear" w:color="auto" w:fill="auto"/>
            <w:vAlign w:val="bottom"/>
            <w:hideMark/>
          </w:tcPr>
          <w:p w14:paraId="42D7C263"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 </w:t>
            </w:r>
          </w:p>
        </w:tc>
        <w:tc>
          <w:tcPr>
            <w:tcW w:w="1222" w:type="dxa"/>
            <w:tcBorders>
              <w:top w:val="nil"/>
              <w:left w:val="nil"/>
              <w:bottom w:val="nil"/>
              <w:right w:val="nil"/>
            </w:tcBorders>
            <w:shd w:val="clear" w:color="auto" w:fill="auto"/>
            <w:vAlign w:val="bottom"/>
            <w:hideMark/>
          </w:tcPr>
          <w:p w14:paraId="6A4924B5"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1,065 </w:t>
            </w:r>
          </w:p>
        </w:tc>
      </w:tr>
      <w:tr w:rsidR="00BD77D8" w:rsidRPr="00BD77D8" w14:paraId="7AA52B13" w14:textId="77777777" w:rsidTr="003057FB">
        <w:trPr>
          <w:trHeight w:val="269"/>
        </w:trPr>
        <w:tc>
          <w:tcPr>
            <w:tcW w:w="7797" w:type="dxa"/>
            <w:tcBorders>
              <w:top w:val="nil"/>
              <w:left w:val="nil"/>
              <w:bottom w:val="nil"/>
              <w:right w:val="nil"/>
            </w:tcBorders>
            <w:shd w:val="clear" w:color="auto" w:fill="auto"/>
            <w:vAlign w:val="center"/>
            <w:hideMark/>
          </w:tcPr>
          <w:p w14:paraId="3921550D"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Grants - Disaster Recovery </w:t>
            </w:r>
          </w:p>
        </w:tc>
        <w:tc>
          <w:tcPr>
            <w:tcW w:w="1417" w:type="dxa"/>
            <w:tcBorders>
              <w:top w:val="nil"/>
              <w:left w:val="nil"/>
              <w:bottom w:val="nil"/>
              <w:right w:val="nil"/>
            </w:tcBorders>
            <w:shd w:val="clear" w:color="auto" w:fill="auto"/>
            <w:vAlign w:val="bottom"/>
            <w:hideMark/>
          </w:tcPr>
          <w:p w14:paraId="4EC8AED6"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 </w:t>
            </w:r>
          </w:p>
        </w:tc>
        <w:tc>
          <w:tcPr>
            <w:tcW w:w="1222" w:type="dxa"/>
            <w:tcBorders>
              <w:top w:val="nil"/>
              <w:left w:val="nil"/>
              <w:bottom w:val="nil"/>
              <w:right w:val="nil"/>
            </w:tcBorders>
            <w:shd w:val="clear" w:color="auto" w:fill="auto"/>
            <w:vAlign w:val="bottom"/>
            <w:hideMark/>
          </w:tcPr>
          <w:p w14:paraId="03E81CCA"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11,157 </w:t>
            </w:r>
          </w:p>
        </w:tc>
      </w:tr>
      <w:tr w:rsidR="00BD77D8" w:rsidRPr="00BD77D8" w14:paraId="70E827D2" w14:textId="77777777" w:rsidTr="003057FB">
        <w:trPr>
          <w:trHeight w:val="269"/>
        </w:trPr>
        <w:tc>
          <w:tcPr>
            <w:tcW w:w="7797" w:type="dxa"/>
            <w:tcBorders>
              <w:top w:val="nil"/>
              <w:left w:val="nil"/>
              <w:bottom w:val="nil"/>
              <w:right w:val="nil"/>
            </w:tcBorders>
            <w:shd w:val="clear" w:color="auto" w:fill="auto"/>
            <w:vAlign w:val="center"/>
            <w:hideMark/>
          </w:tcPr>
          <w:p w14:paraId="2D7272DC" w14:textId="77777777" w:rsidR="00B9311E" w:rsidRPr="00BD77D8" w:rsidRDefault="00B9311E" w:rsidP="00B9311E">
            <w:pPr>
              <w:spacing w:after="0" w:line="240" w:lineRule="auto"/>
              <w:rPr>
                <w:rFonts w:eastAsia="PMingLiU"/>
                <w:b/>
                <w:bCs/>
                <w:sz w:val="18"/>
                <w:szCs w:val="22"/>
              </w:rPr>
            </w:pPr>
            <w:r w:rsidRPr="00BD77D8">
              <w:rPr>
                <w:rFonts w:eastAsia="PMingLiU"/>
                <w:b/>
                <w:bCs/>
                <w:sz w:val="18"/>
                <w:szCs w:val="22"/>
              </w:rPr>
              <w:t xml:space="preserve"> Total grants and subsidies </w:t>
            </w:r>
          </w:p>
        </w:tc>
        <w:tc>
          <w:tcPr>
            <w:tcW w:w="1417" w:type="dxa"/>
            <w:tcBorders>
              <w:top w:val="single" w:sz="4" w:space="0" w:color="auto"/>
              <w:left w:val="nil"/>
              <w:bottom w:val="single" w:sz="4" w:space="0" w:color="auto"/>
              <w:right w:val="nil"/>
            </w:tcBorders>
            <w:shd w:val="clear" w:color="auto" w:fill="auto"/>
            <w:vAlign w:val="bottom"/>
            <w:hideMark/>
          </w:tcPr>
          <w:p w14:paraId="1AAD3E9C" w14:textId="77777777" w:rsidR="00B9311E" w:rsidRPr="00BD77D8" w:rsidRDefault="00B9311E" w:rsidP="00B9311E">
            <w:pPr>
              <w:spacing w:after="0" w:line="240" w:lineRule="auto"/>
              <w:jc w:val="right"/>
              <w:rPr>
                <w:rFonts w:eastAsia="PMingLiU"/>
                <w:b/>
                <w:bCs/>
                <w:sz w:val="18"/>
                <w:szCs w:val="22"/>
              </w:rPr>
            </w:pPr>
            <w:r w:rsidRPr="00BD77D8">
              <w:rPr>
                <w:rFonts w:eastAsia="PMingLiU"/>
                <w:b/>
                <w:bCs/>
                <w:sz w:val="18"/>
                <w:szCs w:val="22"/>
              </w:rPr>
              <w:t xml:space="preserve">   2,014,784 </w:t>
            </w:r>
          </w:p>
        </w:tc>
        <w:tc>
          <w:tcPr>
            <w:tcW w:w="1222" w:type="dxa"/>
            <w:tcBorders>
              <w:top w:val="single" w:sz="4" w:space="0" w:color="auto"/>
              <w:left w:val="nil"/>
              <w:bottom w:val="single" w:sz="4" w:space="0" w:color="auto"/>
              <w:right w:val="nil"/>
            </w:tcBorders>
            <w:shd w:val="clear" w:color="auto" w:fill="auto"/>
            <w:vAlign w:val="bottom"/>
            <w:hideMark/>
          </w:tcPr>
          <w:p w14:paraId="0347B49A" w14:textId="77777777" w:rsidR="00B9311E" w:rsidRPr="00BD77D8" w:rsidRDefault="00B9311E" w:rsidP="00B9311E">
            <w:pPr>
              <w:spacing w:after="0" w:line="240" w:lineRule="auto"/>
              <w:jc w:val="right"/>
              <w:rPr>
                <w:rFonts w:eastAsia="PMingLiU"/>
                <w:b/>
                <w:bCs/>
                <w:sz w:val="18"/>
                <w:szCs w:val="22"/>
              </w:rPr>
            </w:pPr>
            <w:r w:rsidRPr="00BD77D8">
              <w:rPr>
                <w:rFonts w:eastAsia="PMingLiU"/>
                <w:b/>
                <w:bCs/>
                <w:sz w:val="18"/>
                <w:szCs w:val="22"/>
              </w:rPr>
              <w:t xml:space="preserve"> 2,004,946 </w:t>
            </w:r>
          </w:p>
        </w:tc>
      </w:tr>
      <w:tr w:rsidR="00BD77D8" w:rsidRPr="00BD77D8" w14:paraId="69673A7B" w14:textId="77777777" w:rsidTr="003057FB">
        <w:trPr>
          <w:trHeight w:val="269"/>
        </w:trPr>
        <w:tc>
          <w:tcPr>
            <w:tcW w:w="7797" w:type="dxa"/>
            <w:tcBorders>
              <w:top w:val="nil"/>
              <w:left w:val="nil"/>
              <w:bottom w:val="nil"/>
              <w:right w:val="nil"/>
            </w:tcBorders>
            <w:shd w:val="clear" w:color="auto" w:fill="auto"/>
            <w:vAlign w:val="center"/>
            <w:hideMark/>
          </w:tcPr>
          <w:p w14:paraId="154CA61E"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Concession - Asset ownership electricity dividend </w:t>
            </w:r>
          </w:p>
        </w:tc>
        <w:tc>
          <w:tcPr>
            <w:tcW w:w="1417" w:type="dxa"/>
            <w:tcBorders>
              <w:top w:val="nil"/>
              <w:left w:val="nil"/>
              <w:bottom w:val="nil"/>
              <w:right w:val="nil"/>
            </w:tcBorders>
            <w:shd w:val="clear" w:color="auto" w:fill="auto"/>
            <w:vAlign w:val="bottom"/>
            <w:hideMark/>
          </w:tcPr>
          <w:p w14:paraId="388D9CFF"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106,332 </w:t>
            </w:r>
          </w:p>
        </w:tc>
        <w:tc>
          <w:tcPr>
            <w:tcW w:w="1222" w:type="dxa"/>
            <w:tcBorders>
              <w:top w:val="nil"/>
              <w:left w:val="nil"/>
              <w:bottom w:val="nil"/>
              <w:right w:val="nil"/>
            </w:tcBorders>
            <w:shd w:val="clear" w:color="auto" w:fill="auto"/>
            <w:vAlign w:val="bottom"/>
            <w:hideMark/>
          </w:tcPr>
          <w:p w14:paraId="2BCCC325"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104,780 </w:t>
            </w:r>
          </w:p>
        </w:tc>
      </w:tr>
      <w:tr w:rsidR="00BD77D8" w:rsidRPr="00BD77D8" w14:paraId="04C94CA1" w14:textId="77777777" w:rsidTr="003057FB">
        <w:trPr>
          <w:trHeight w:val="269"/>
        </w:trPr>
        <w:tc>
          <w:tcPr>
            <w:tcW w:w="7797" w:type="dxa"/>
            <w:tcBorders>
              <w:top w:val="nil"/>
              <w:left w:val="nil"/>
              <w:bottom w:val="nil"/>
              <w:right w:val="nil"/>
            </w:tcBorders>
            <w:shd w:val="clear" w:color="auto" w:fill="auto"/>
            <w:vAlign w:val="center"/>
            <w:hideMark/>
          </w:tcPr>
          <w:p w14:paraId="383B6AEF"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Concession - Electricity </w:t>
            </w:r>
          </w:p>
        </w:tc>
        <w:tc>
          <w:tcPr>
            <w:tcW w:w="1417" w:type="dxa"/>
            <w:tcBorders>
              <w:top w:val="nil"/>
              <w:left w:val="nil"/>
              <w:bottom w:val="nil"/>
              <w:right w:val="nil"/>
            </w:tcBorders>
            <w:shd w:val="clear" w:color="auto" w:fill="auto"/>
            <w:vAlign w:val="bottom"/>
            <w:hideMark/>
          </w:tcPr>
          <w:p w14:paraId="5A821C07"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195,617 </w:t>
            </w:r>
          </w:p>
        </w:tc>
        <w:tc>
          <w:tcPr>
            <w:tcW w:w="1222" w:type="dxa"/>
            <w:tcBorders>
              <w:top w:val="nil"/>
              <w:left w:val="nil"/>
              <w:bottom w:val="nil"/>
              <w:right w:val="nil"/>
            </w:tcBorders>
            <w:shd w:val="clear" w:color="auto" w:fill="auto"/>
            <w:vAlign w:val="bottom"/>
            <w:hideMark/>
          </w:tcPr>
          <w:p w14:paraId="4C7A2424"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198,835 </w:t>
            </w:r>
          </w:p>
        </w:tc>
      </w:tr>
      <w:tr w:rsidR="00BD77D8" w:rsidRPr="00BD77D8" w14:paraId="3726E28F" w14:textId="77777777" w:rsidTr="003057FB">
        <w:trPr>
          <w:trHeight w:val="269"/>
        </w:trPr>
        <w:tc>
          <w:tcPr>
            <w:tcW w:w="7797" w:type="dxa"/>
            <w:tcBorders>
              <w:top w:val="nil"/>
              <w:left w:val="nil"/>
              <w:bottom w:val="nil"/>
              <w:right w:val="nil"/>
            </w:tcBorders>
            <w:shd w:val="clear" w:color="auto" w:fill="auto"/>
            <w:vAlign w:val="center"/>
            <w:hideMark/>
          </w:tcPr>
          <w:p w14:paraId="398D5DE8"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Concession - Electricity - COVID-19 - Residential Household Relief </w:t>
            </w:r>
          </w:p>
        </w:tc>
        <w:tc>
          <w:tcPr>
            <w:tcW w:w="1417" w:type="dxa"/>
            <w:tcBorders>
              <w:top w:val="nil"/>
              <w:left w:val="nil"/>
              <w:bottom w:val="nil"/>
              <w:right w:val="nil"/>
            </w:tcBorders>
            <w:shd w:val="clear" w:color="auto" w:fill="auto"/>
            <w:vAlign w:val="bottom"/>
            <w:hideMark/>
          </w:tcPr>
          <w:p w14:paraId="7F586791"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327 </w:t>
            </w:r>
          </w:p>
        </w:tc>
        <w:tc>
          <w:tcPr>
            <w:tcW w:w="1222" w:type="dxa"/>
            <w:tcBorders>
              <w:top w:val="nil"/>
              <w:left w:val="nil"/>
              <w:bottom w:val="nil"/>
              <w:right w:val="nil"/>
            </w:tcBorders>
            <w:shd w:val="clear" w:color="auto" w:fill="auto"/>
            <w:vAlign w:val="bottom"/>
            <w:hideMark/>
          </w:tcPr>
          <w:p w14:paraId="7D8A2127"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11,447 </w:t>
            </w:r>
          </w:p>
        </w:tc>
      </w:tr>
      <w:tr w:rsidR="00BD77D8" w:rsidRPr="00BD77D8" w14:paraId="1C221B68" w14:textId="77777777" w:rsidTr="003057FB">
        <w:trPr>
          <w:trHeight w:val="269"/>
        </w:trPr>
        <w:tc>
          <w:tcPr>
            <w:tcW w:w="7797" w:type="dxa"/>
            <w:tcBorders>
              <w:top w:val="nil"/>
              <w:left w:val="nil"/>
              <w:bottom w:val="nil"/>
              <w:right w:val="nil"/>
            </w:tcBorders>
            <w:shd w:val="clear" w:color="auto" w:fill="auto"/>
            <w:vAlign w:val="center"/>
            <w:hideMark/>
          </w:tcPr>
          <w:p w14:paraId="69CE587F"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Concession - Rates </w:t>
            </w:r>
          </w:p>
        </w:tc>
        <w:tc>
          <w:tcPr>
            <w:tcW w:w="1417" w:type="dxa"/>
            <w:tcBorders>
              <w:top w:val="nil"/>
              <w:left w:val="nil"/>
              <w:bottom w:val="nil"/>
              <w:right w:val="nil"/>
            </w:tcBorders>
            <w:shd w:val="clear" w:color="auto" w:fill="auto"/>
            <w:vAlign w:val="bottom"/>
            <w:hideMark/>
          </w:tcPr>
          <w:p w14:paraId="2C25E418"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53,652 </w:t>
            </w:r>
          </w:p>
        </w:tc>
        <w:tc>
          <w:tcPr>
            <w:tcW w:w="1222" w:type="dxa"/>
            <w:tcBorders>
              <w:top w:val="nil"/>
              <w:left w:val="nil"/>
              <w:bottom w:val="nil"/>
              <w:right w:val="nil"/>
            </w:tcBorders>
            <w:shd w:val="clear" w:color="auto" w:fill="auto"/>
            <w:vAlign w:val="bottom"/>
            <w:hideMark/>
          </w:tcPr>
          <w:p w14:paraId="44AC2C08"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54,340 </w:t>
            </w:r>
          </w:p>
        </w:tc>
      </w:tr>
      <w:tr w:rsidR="00BD77D8" w:rsidRPr="00BD77D8" w14:paraId="1B73C684" w14:textId="77777777" w:rsidTr="003057FB">
        <w:trPr>
          <w:trHeight w:val="269"/>
        </w:trPr>
        <w:tc>
          <w:tcPr>
            <w:tcW w:w="7797" w:type="dxa"/>
            <w:tcBorders>
              <w:top w:val="nil"/>
              <w:left w:val="nil"/>
              <w:bottom w:val="nil"/>
              <w:right w:val="nil"/>
            </w:tcBorders>
            <w:shd w:val="clear" w:color="auto" w:fill="auto"/>
            <w:vAlign w:val="center"/>
            <w:hideMark/>
          </w:tcPr>
          <w:p w14:paraId="638218DB"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Concession - Water </w:t>
            </w:r>
          </w:p>
        </w:tc>
        <w:tc>
          <w:tcPr>
            <w:tcW w:w="1417" w:type="dxa"/>
            <w:tcBorders>
              <w:top w:val="nil"/>
              <w:left w:val="nil"/>
              <w:bottom w:val="nil"/>
              <w:right w:val="nil"/>
            </w:tcBorders>
            <w:shd w:val="clear" w:color="auto" w:fill="auto"/>
            <w:vAlign w:val="bottom"/>
            <w:hideMark/>
          </w:tcPr>
          <w:p w14:paraId="11006C9E"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19,836 </w:t>
            </w:r>
          </w:p>
        </w:tc>
        <w:tc>
          <w:tcPr>
            <w:tcW w:w="1222" w:type="dxa"/>
            <w:tcBorders>
              <w:top w:val="nil"/>
              <w:left w:val="nil"/>
              <w:bottom w:val="nil"/>
              <w:right w:val="nil"/>
            </w:tcBorders>
            <w:shd w:val="clear" w:color="auto" w:fill="auto"/>
            <w:vAlign w:val="bottom"/>
            <w:hideMark/>
          </w:tcPr>
          <w:p w14:paraId="5853A1D1"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18,271 </w:t>
            </w:r>
          </w:p>
        </w:tc>
      </w:tr>
      <w:tr w:rsidR="00BD77D8" w:rsidRPr="00BD77D8" w14:paraId="3495F035" w14:textId="77777777" w:rsidTr="003057FB">
        <w:trPr>
          <w:trHeight w:val="269"/>
        </w:trPr>
        <w:tc>
          <w:tcPr>
            <w:tcW w:w="7797" w:type="dxa"/>
            <w:tcBorders>
              <w:top w:val="nil"/>
              <w:left w:val="nil"/>
              <w:bottom w:val="nil"/>
              <w:right w:val="nil"/>
            </w:tcBorders>
            <w:shd w:val="clear" w:color="auto" w:fill="auto"/>
            <w:vAlign w:val="center"/>
            <w:hideMark/>
          </w:tcPr>
          <w:p w14:paraId="43936588"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Concession - Home Energy Emergency Assistance </w:t>
            </w:r>
          </w:p>
        </w:tc>
        <w:tc>
          <w:tcPr>
            <w:tcW w:w="1417" w:type="dxa"/>
            <w:tcBorders>
              <w:top w:val="nil"/>
              <w:left w:val="nil"/>
              <w:bottom w:val="nil"/>
              <w:right w:val="nil"/>
            </w:tcBorders>
            <w:shd w:val="clear" w:color="auto" w:fill="auto"/>
            <w:vAlign w:val="bottom"/>
            <w:hideMark/>
          </w:tcPr>
          <w:p w14:paraId="08AAF95D"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8,555 </w:t>
            </w:r>
          </w:p>
        </w:tc>
        <w:tc>
          <w:tcPr>
            <w:tcW w:w="1222" w:type="dxa"/>
            <w:tcBorders>
              <w:top w:val="nil"/>
              <w:left w:val="nil"/>
              <w:bottom w:val="nil"/>
              <w:right w:val="nil"/>
            </w:tcBorders>
            <w:shd w:val="clear" w:color="auto" w:fill="auto"/>
            <w:vAlign w:val="bottom"/>
            <w:hideMark/>
          </w:tcPr>
          <w:p w14:paraId="222D07EE"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7,696 </w:t>
            </w:r>
          </w:p>
        </w:tc>
      </w:tr>
      <w:tr w:rsidR="00BD77D8" w:rsidRPr="00BD77D8" w14:paraId="7867652B" w14:textId="77777777" w:rsidTr="003057FB">
        <w:trPr>
          <w:trHeight w:val="269"/>
        </w:trPr>
        <w:tc>
          <w:tcPr>
            <w:tcW w:w="7797" w:type="dxa"/>
            <w:tcBorders>
              <w:top w:val="nil"/>
              <w:left w:val="nil"/>
              <w:bottom w:val="nil"/>
              <w:right w:val="nil"/>
            </w:tcBorders>
            <w:shd w:val="clear" w:color="auto" w:fill="auto"/>
            <w:vAlign w:val="center"/>
            <w:hideMark/>
          </w:tcPr>
          <w:p w14:paraId="772CE450"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Concession - Natural gas </w:t>
            </w:r>
          </w:p>
        </w:tc>
        <w:tc>
          <w:tcPr>
            <w:tcW w:w="1417" w:type="dxa"/>
            <w:tcBorders>
              <w:top w:val="nil"/>
              <w:left w:val="nil"/>
              <w:bottom w:val="nil"/>
              <w:right w:val="nil"/>
            </w:tcBorders>
            <w:shd w:val="clear" w:color="auto" w:fill="auto"/>
            <w:vAlign w:val="bottom"/>
            <w:hideMark/>
          </w:tcPr>
          <w:p w14:paraId="103FC0B5"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2,608 </w:t>
            </w:r>
          </w:p>
        </w:tc>
        <w:tc>
          <w:tcPr>
            <w:tcW w:w="1222" w:type="dxa"/>
            <w:tcBorders>
              <w:top w:val="nil"/>
              <w:left w:val="nil"/>
              <w:bottom w:val="nil"/>
              <w:right w:val="nil"/>
            </w:tcBorders>
            <w:shd w:val="clear" w:color="auto" w:fill="auto"/>
            <w:vAlign w:val="bottom"/>
            <w:hideMark/>
          </w:tcPr>
          <w:p w14:paraId="78D0AC1A"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2,497 </w:t>
            </w:r>
          </w:p>
        </w:tc>
      </w:tr>
      <w:tr w:rsidR="00BD77D8" w:rsidRPr="00BD77D8" w14:paraId="492B65DC" w14:textId="77777777" w:rsidTr="003057FB">
        <w:trPr>
          <w:trHeight w:val="269"/>
        </w:trPr>
        <w:tc>
          <w:tcPr>
            <w:tcW w:w="7797" w:type="dxa"/>
            <w:tcBorders>
              <w:top w:val="nil"/>
              <w:left w:val="nil"/>
              <w:bottom w:val="nil"/>
              <w:right w:val="nil"/>
            </w:tcBorders>
            <w:shd w:val="clear" w:color="auto" w:fill="auto"/>
            <w:vAlign w:val="center"/>
            <w:hideMark/>
          </w:tcPr>
          <w:p w14:paraId="31A1090D"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Concession - Life Support </w:t>
            </w:r>
          </w:p>
        </w:tc>
        <w:tc>
          <w:tcPr>
            <w:tcW w:w="1417" w:type="dxa"/>
            <w:tcBorders>
              <w:top w:val="nil"/>
              <w:left w:val="nil"/>
              <w:bottom w:val="nil"/>
              <w:right w:val="nil"/>
            </w:tcBorders>
            <w:shd w:val="clear" w:color="auto" w:fill="auto"/>
            <w:vAlign w:val="bottom"/>
            <w:hideMark/>
          </w:tcPr>
          <w:p w14:paraId="09E4F6E4"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1,973 </w:t>
            </w:r>
          </w:p>
        </w:tc>
        <w:tc>
          <w:tcPr>
            <w:tcW w:w="1222" w:type="dxa"/>
            <w:tcBorders>
              <w:top w:val="nil"/>
              <w:left w:val="nil"/>
              <w:bottom w:val="nil"/>
              <w:right w:val="nil"/>
            </w:tcBorders>
            <w:shd w:val="clear" w:color="auto" w:fill="auto"/>
            <w:vAlign w:val="bottom"/>
            <w:hideMark/>
          </w:tcPr>
          <w:p w14:paraId="2FE04107"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2,071 </w:t>
            </w:r>
          </w:p>
        </w:tc>
      </w:tr>
      <w:tr w:rsidR="00BD77D8" w:rsidRPr="00BD77D8" w14:paraId="786B8851" w14:textId="77777777" w:rsidTr="003057FB">
        <w:trPr>
          <w:trHeight w:val="269"/>
        </w:trPr>
        <w:tc>
          <w:tcPr>
            <w:tcW w:w="7797" w:type="dxa"/>
            <w:tcBorders>
              <w:top w:val="nil"/>
              <w:left w:val="nil"/>
              <w:bottom w:val="nil"/>
              <w:right w:val="nil"/>
            </w:tcBorders>
            <w:shd w:val="clear" w:color="auto" w:fill="auto"/>
            <w:vAlign w:val="center"/>
            <w:hideMark/>
          </w:tcPr>
          <w:p w14:paraId="20EF8B3B" w14:textId="77777777" w:rsidR="00B9311E" w:rsidRPr="00BD77D8" w:rsidRDefault="00B9311E" w:rsidP="00B9311E">
            <w:pPr>
              <w:spacing w:after="0" w:line="240" w:lineRule="auto"/>
              <w:rPr>
                <w:rFonts w:eastAsia="PMingLiU"/>
                <w:sz w:val="18"/>
                <w:szCs w:val="22"/>
              </w:rPr>
            </w:pPr>
            <w:r w:rsidRPr="00BD77D8">
              <w:rPr>
                <w:rFonts w:eastAsia="PMingLiU"/>
                <w:sz w:val="18"/>
                <w:szCs w:val="22"/>
              </w:rPr>
              <w:t xml:space="preserve"> Concession - Medical cooling and heating electricity </w:t>
            </w:r>
          </w:p>
        </w:tc>
        <w:tc>
          <w:tcPr>
            <w:tcW w:w="1417" w:type="dxa"/>
            <w:tcBorders>
              <w:top w:val="nil"/>
              <w:left w:val="nil"/>
              <w:bottom w:val="nil"/>
              <w:right w:val="nil"/>
            </w:tcBorders>
            <w:shd w:val="clear" w:color="auto" w:fill="auto"/>
            <w:vAlign w:val="bottom"/>
            <w:hideMark/>
          </w:tcPr>
          <w:p w14:paraId="20BD15E6"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1,750 </w:t>
            </w:r>
          </w:p>
        </w:tc>
        <w:tc>
          <w:tcPr>
            <w:tcW w:w="1222" w:type="dxa"/>
            <w:tcBorders>
              <w:top w:val="nil"/>
              <w:left w:val="nil"/>
              <w:bottom w:val="nil"/>
              <w:right w:val="nil"/>
            </w:tcBorders>
            <w:shd w:val="clear" w:color="auto" w:fill="auto"/>
            <w:vAlign w:val="bottom"/>
            <w:hideMark/>
          </w:tcPr>
          <w:p w14:paraId="10FDECA1" w14:textId="77777777" w:rsidR="00B9311E" w:rsidRPr="00BD77D8" w:rsidRDefault="00B9311E" w:rsidP="00B9311E">
            <w:pPr>
              <w:spacing w:after="0" w:line="240" w:lineRule="auto"/>
              <w:jc w:val="right"/>
              <w:rPr>
                <w:rFonts w:eastAsia="PMingLiU"/>
                <w:sz w:val="18"/>
                <w:szCs w:val="22"/>
              </w:rPr>
            </w:pPr>
            <w:r w:rsidRPr="00BD77D8">
              <w:rPr>
                <w:rFonts w:eastAsia="PMingLiU"/>
                <w:sz w:val="18"/>
                <w:szCs w:val="22"/>
              </w:rPr>
              <w:t xml:space="preserve">         1,716 </w:t>
            </w:r>
          </w:p>
        </w:tc>
      </w:tr>
      <w:tr w:rsidR="00BD77D8" w:rsidRPr="00BD77D8" w14:paraId="355B68B7" w14:textId="77777777" w:rsidTr="003057FB">
        <w:trPr>
          <w:trHeight w:val="269"/>
        </w:trPr>
        <w:tc>
          <w:tcPr>
            <w:tcW w:w="7797" w:type="dxa"/>
            <w:tcBorders>
              <w:top w:val="nil"/>
              <w:left w:val="nil"/>
              <w:bottom w:val="nil"/>
              <w:right w:val="nil"/>
            </w:tcBorders>
            <w:shd w:val="clear" w:color="auto" w:fill="auto"/>
            <w:vAlign w:val="center"/>
            <w:hideMark/>
          </w:tcPr>
          <w:p w14:paraId="50599598" w14:textId="77777777" w:rsidR="00B9311E" w:rsidRPr="00BD77D8" w:rsidRDefault="00B9311E" w:rsidP="00B9311E">
            <w:pPr>
              <w:spacing w:after="0" w:line="240" w:lineRule="auto"/>
              <w:rPr>
                <w:rFonts w:eastAsia="PMingLiU"/>
                <w:b/>
                <w:bCs/>
                <w:sz w:val="18"/>
                <w:szCs w:val="22"/>
              </w:rPr>
            </w:pPr>
            <w:r w:rsidRPr="00BD77D8">
              <w:rPr>
                <w:rFonts w:eastAsia="PMingLiU"/>
                <w:b/>
                <w:bCs/>
                <w:sz w:val="18"/>
                <w:szCs w:val="22"/>
              </w:rPr>
              <w:t xml:space="preserve"> Total concession payments </w:t>
            </w:r>
          </w:p>
        </w:tc>
        <w:tc>
          <w:tcPr>
            <w:tcW w:w="1417" w:type="dxa"/>
            <w:tcBorders>
              <w:top w:val="single" w:sz="4" w:space="0" w:color="auto"/>
              <w:left w:val="nil"/>
              <w:bottom w:val="single" w:sz="4" w:space="0" w:color="auto"/>
              <w:right w:val="nil"/>
            </w:tcBorders>
            <w:shd w:val="clear" w:color="auto" w:fill="auto"/>
            <w:vAlign w:val="bottom"/>
            <w:hideMark/>
          </w:tcPr>
          <w:p w14:paraId="17CCBFF6" w14:textId="77777777" w:rsidR="00B9311E" w:rsidRPr="00BD77D8" w:rsidRDefault="00B9311E" w:rsidP="00B9311E">
            <w:pPr>
              <w:spacing w:after="0" w:line="240" w:lineRule="auto"/>
              <w:jc w:val="right"/>
              <w:rPr>
                <w:rFonts w:eastAsia="PMingLiU"/>
                <w:b/>
                <w:bCs/>
                <w:sz w:val="18"/>
                <w:szCs w:val="22"/>
              </w:rPr>
            </w:pPr>
            <w:r w:rsidRPr="00BD77D8">
              <w:rPr>
                <w:rFonts w:eastAsia="PMingLiU"/>
                <w:b/>
                <w:bCs/>
                <w:sz w:val="18"/>
                <w:szCs w:val="22"/>
              </w:rPr>
              <w:t xml:space="preserve">      390,650 </w:t>
            </w:r>
          </w:p>
        </w:tc>
        <w:tc>
          <w:tcPr>
            <w:tcW w:w="1222" w:type="dxa"/>
            <w:tcBorders>
              <w:top w:val="single" w:sz="4" w:space="0" w:color="auto"/>
              <w:left w:val="nil"/>
              <w:bottom w:val="single" w:sz="4" w:space="0" w:color="auto"/>
              <w:right w:val="nil"/>
            </w:tcBorders>
            <w:shd w:val="clear" w:color="auto" w:fill="auto"/>
            <w:vAlign w:val="bottom"/>
            <w:hideMark/>
          </w:tcPr>
          <w:p w14:paraId="24ED0EBF" w14:textId="77777777" w:rsidR="00B9311E" w:rsidRPr="00BD77D8" w:rsidRDefault="00B9311E" w:rsidP="00B9311E">
            <w:pPr>
              <w:spacing w:after="0" w:line="240" w:lineRule="auto"/>
              <w:jc w:val="right"/>
              <w:rPr>
                <w:rFonts w:eastAsia="PMingLiU"/>
                <w:b/>
                <w:bCs/>
                <w:sz w:val="18"/>
                <w:szCs w:val="22"/>
              </w:rPr>
            </w:pPr>
            <w:r w:rsidRPr="00BD77D8">
              <w:rPr>
                <w:rFonts w:eastAsia="PMingLiU"/>
                <w:b/>
                <w:bCs/>
                <w:sz w:val="18"/>
                <w:szCs w:val="22"/>
              </w:rPr>
              <w:t xml:space="preserve">     401,653 </w:t>
            </w:r>
          </w:p>
        </w:tc>
      </w:tr>
      <w:tr w:rsidR="00B9311E" w:rsidRPr="00BD77D8" w14:paraId="2C042763" w14:textId="77777777" w:rsidTr="003057FB">
        <w:trPr>
          <w:trHeight w:val="269"/>
        </w:trPr>
        <w:tc>
          <w:tcPr>
            <w:tcW w:w="7797" w:type="dxa"/>
            <w:tcBorders>
              <w:top w:val="nil"/>
              <w:left w:val="nil"/>
              <w:bottom w:val="nil"/>
              <w:right w:val="nil"/>
            </w:tcBorders>
            <w:shd w:val="clear" w:color="auto" w:fill="auto"/>
            <w:vAlign w:val="center"/>
            <w:hideMark/>
          </w:tcPr>
          <w:p w14:paraId="0ECCF838" w14:textId="77777777" w:rsidR="00B9311E" w:rsidRPr="00BD77D8" w:rsidRDefault="00B9311E" w:rsidP="00B9311E">
            <w:pPr>
              <w:spacing w:after="0" w:line="240" w:lineRule="auto"/>
              <w:rPr>
                <w:rFonts w:eastAsia="PMingLiU"/>
                <w:b/>
                <w:bCs/>
                <w:sz w:val="18"/>
                <w:szCs w:val="22"/>
              </w:rPr>
            </w:pPr>
            <w:r w:rsidRPr="00BD77D8">
              <w:rPr>
                <w:rFonts w:eastAsia="PMingLiU"/>
                <w:b/>
                <w:bCs/>
                <w:sz w:val="18"/>
                <w:szCs w:val="22"/>
              </w:rPr>
              <w:t xml:space="preserve"> Total </w:t>
            </w:r>
          </w:p>
        </w:tc>
        <w:tc>
          <w:tcPr>
            <w:tcW w:w="1417" w:type="dxa"/>
            <w:tcBorders>
              <w:top w:val="nil"/>
              <w:left w:val="nil"/>
              <w:bottom w:val="single" w:sz="4" w:space="0" w:color="auto"/>
              <w:right w:val="nil"/>
            </w:tcBorders>
            <w:shd w:val="clear" w:color="auto" w:fill="auto"/>
            <w:vAlign w:val="bottom"/>
            <w:hideMark/>
          </w:tcPr>
          <w:p w14:paraId="685B379C" w14:textId="77777777" w:rsidR="00B9311E" w:rsidRPr="00BD77D8" w:rsidRDefault="00B9311E" w:rsidP="00B9311E">
            <w:pPr>
              <w:spacing w:after="0" w:line="240" w:lineRule="auto"/>
              <w:jc w:val="right"/>
              <w:rPr>
                <w:rFonts w:eastAsia="PMingLiU"/>
                <w:b/>
                <w:bCs/>
                <w:sz w:val="18"/>
                <w:szCs w:val="22"/>
              </w:rPr>
            </w:pPr>
            <w:r w:rsidRPr="00BD77D8">
              <w:rPr>
                <w:rFonts w:eastAsia="PMingLiU"/>
                <w:b/>
                <w:bCs/>
                <w:sz w:val="18"/>
                <w:szCs w:val="22"/>
              </w:rPr>
              <w:t xml:space="preserve">   2,405,434 </w:t>
            </w:r>
          </w:p>
        </w:tc>
        <w:tc>
          <w:tcPr>
            <w:tcW w:w="1222" w:type="dxa"/>
            <w:tcBorders>
              <w:top w:val="nil"/>
              <w:left w:val="nil"/>
              <w:bottom w:val="single" w:sz="4" w:space="0" w:color="auto"/>
              <w:right w:val="nil"/>
            </w:tcBorders>
            <w:shd w:val="clear" w:color="auto" w:fill="auto"/>
            <w:vAlign w:val="bottom"/>
            <w:hideMark/>
          </w:tcPr>
          <w:p w14:paraId="0E714F84" w14:textId="77777777" w:rsidR="00B9311E" w:rsidRPr="00BD77D8" w:rsidRDefault="00B9311E" w:rsidP="00B9311E">
            <w:pPr>
              <w:spacing w:after="0" w:line="240" w:lineRule="auto"/>
              <w:jc w:val="right"/>
              <w:rPr>
                <w:rFonts w:eastAsia="PMingLiU"/>
                <w:b/>
                <w:bCs/>
                <w:sz w:val="18"/>
                <w:szCs w:val="22"/>
              </w:rPr>
            </w:pPr>
            <w:r w:rsidRPr="00BD77D8">
              <w:rPr>
                <w:rFonts w:eastAsia="PMingLiU"/>
                <w:b/>
                <w:bCs/>
                <w:sz w:val="18"/>
                <w:szCs w:val="22"/>
              </w:rPr>
              <w:t xml:space="preserve"> 2,406,599 </w:t>
            </w:r>
          </w:p>
        </w:tc>
      </w:tr>
    </w:tbl>
    <w:p w14:paraId="3667CFCA" w14:textId="77777777" w:rsidR="00B9311E" w:rsidRPr="00BD77D8" w:rsidRDefault="00B9311E" w:rsidP="00B9311E">
      <w:pPr>
        <w:spacing w:after="0" w:line="20" w:lineRule="exact"/>
        <w:rPr>
          <w:rFonts w:eastAsia="PMingLiU"/>
          <w:sz w:val="18"/>
          <w:szCs w:val="22"/>
          <w:lang w:val="en-US" w:eastAsia="en-US"/>
        </w:rPr>
      </w:pPr>
    </w:p>
    <w:p w14:paraId="479B5585" w14:textId="77777777" w:rsidR="00B9311E" w:rsidRPr="00BD77D8" w:rsidRDefault="00B9311E" w:rsidP="00B9311E">
      <w:pPr>
        <w:spacing w:after="0" w:line="20" w:lineRule="exact"/>
        <w:rPr>
          <w:rFonts w:eastAsia="PMingLiU"/>
          <w:b/>
          <w:sz w:val="18"/>
          <w:szCs w:val="18"/>
          <w:lang w:eastAsia="en-US"/>
        </w:rPr>
      </w:pPr>
    </w:p>
    <w:p w14:paraId="2D2CA0B1" w14:textId="77777777" w:rsidR="00B9311E" w:rsidRPr="00BD77D8" w:rsidRDefault="00B9311E" w:rsidP="00B9311E">
      <w:pPr>
        <w:spacing w:after="0" w:line="20" w:lineRule="exact"/>
        <w:rPr>
          <w:rFonts w:eastAsia="PMingLiU"/>
          <w:b/>
          <w:sz w:val="18"/>
          <w:szCs w:val="18"/>
          <w:lang w:eastAsia="en-US"/>
        </w:rPr>
      </w:pPr>
    </w:p>
    <w:p w14:paraId="241D63D2" w14:textId="77777777" w:rsidR="00B9311E" w:rsidRPr="00BD77D8" w:rsidRDefault="00B9311E" w:rsidP="00B9311E">
      <w:pPr>
        <w:spacing w:after="0" w:line="20" w:lineRule="exact"/>
        <w:rPr>
          <w:rFonts w:eastAsia="PMingLiU"/>
          <w:b/>
          <w:sz w:val="18"/>
          <w:szCs w:val="18"/>
          <w:lang w:eastAsia="en-US"/>
        </w:rPr>
      </w:pPr>
    </w:p>
    <w:p w14:paraId="168B27A3" w14:textId="77777777" w:rsidR="00B9311E" w:rsidRPr="00BD77D8" w:rsidRDefault="00B9311E" w:rsidP="00B9311E">
      <w:pPr>
        <w:spacing w:after="0" w:line="20" w:lineRule="exact"/>
        <w:rPr>
          <w:rFonts w:eastAsia="PMingLiU"/>
          <w:b/>
          <w:sz w:val="18"/>
          <w:szCs w:val="18"/>
          <w:lang w:eastAsia="en-US"/>
        </w:rPr>
      </w:pPr>
    </w:p>
    <w:p w14:paraId="737C6277" w14:textId="77777777" w:rsidR="00B9311E" w:rsidRPr="00BD77D8" w:rsidRDefault="00B9311E" w:rsidP="00B9311E">
      <w:pPr>
        <w:spacing w:after="0" w:line="20" w:lineRule="exact"/>
        <w:rPr>
          <w:rFonts w:eastAsia="PMingLiU"/>
          <w:b/>
          <w:sz w:val="18"/>
          <w:szCs w:val="18"/>
          <w:lang w:eastAsia="en-US"/>
        </w:rPr>
      </w:pPr>
    </w:p>
    <w:p w14:paraId="05DA6FA9" w14:textId="77777777" w:rsidR="00B9311E" w:rsidRPr="00BD77D8" w:rsidRDefault="00B9311E" w:rsidP="00B9311E">
      <w:pPr>
        <w:spacing w:after="0" w:line="20" w:lineRule="exact"/>
        <w:rPr>
          <w:rFonts w:eastAsia="PMingLiU"/>
          <w:b/>
          <w:sz w:val="18"/>
          <w:szCs w:val="18"/>
          <w:lang w:eastAsia="en-US"/>
        </w:rPr>
      </w:pPr>
    </w:p>
    <w:p w14:paraId="27FA66C2" w14:textId="77777777" w:rsidR="00B9311E" w:rsidRPr="00BD77D8" w:rsidRDefault="00B9311E" w:rsidP="00B9311E">
      <w:pPr>
        <w:spacing w:after="0" w:line="20" w:lineRule="exact"/>
        <w:rPr>
          <w:rFonts w:eastAsia="PMingLiU"/>
          <w:b/>
          <w:sz w:val="18"/>
          <w:szCs w:val="18"/>
          <w:lang w:eastAsia="en-US"/>
        </w:rPr>
      </w:pPr>
    </w:p>
    <w:p w14:paraId="0D6EE529" w14:textId="3DC190CC" w:rsidR="00B9311E" w:rsidRPr="00BD77D8" w:rsidRDefault="00B9311E" w:rsidP="00B9311E">
      <w:pPr>
        <w:spacing w:after="0" w:line="205" w:lineRule="exact"/>
        <w:textAlignment w:val="baseline"/>
        <w:rPr>
          <w:rFonts w:eastAsia="PMingLiU"/>
          <w:sz w:val="16"/>
          <w:szCs w:val="20"/>
          <w:lang w:eastAsia="en-US"/>
        </w:rPr>
      </w:pPr>
      <w:r w:rsidRPr="00BD77D8">
        <w:rPr>
          <w:rFonts w:eastAsia="Arial"/>
          <w:iCs/>
          <w:spacing w:val="-3"/>
          <w:sz w:val="16"/>
          <w:szCs w:val="16"/>
          <w:lang w:eastAsia="en-US"/>
        </w:rPr>
        <w:t xml:space="preserve">* Transfer of land </w:t>
      </w:r>
      <w:r w:rsidRPr="00BD77D8">
        <w:rPr>
          <w:rFonts w:eastAsia="PMingLiU"/>
          <w:sz w:val="16"/>
          <w:szCs w:val="20"/>
          <w:lang w:eastAsia="en-US"/>
        </w:rPr>
        <w:t xml:space="preserve">and building, </w:t>
      </w:r>
      <w:proofErr w:type="spellStart"/>
      <w:r w:rsidRPr="00BD77D8">
        <w:rPr>
          <w:rFonts w:eastAsia="PMingLiU"/>
          <w:sz w:val="16"/>
          <w:szCs w:val="20"/>
          <w:lang w:eastAsia="en-US"/>
        </w:rPr>
        <w:t>Olandi</w:t>
      </w:r>
      <w:proofErr w:type="spellEnd"/>
      <w:r w:rsidRPr="00BD77D8">
        <w:rPr>
          <w:rFonts w:eastAsia="PMingLiU"/>
          <w:sz w:val="16"/>
          <w:szCs w:val="20"/>
          <w:lang w:eastAsia="en-US"/>
        </w:rPr>
        <w:t xml:space="preserve"> Hall, to the Torres Shire Council. Refer to the Statement of Changes in Equity for further information.</w:t>
      </w:r>
    </w:p>
    <w:p w14:paraId="0F42577B" w14:textId="46E97013" w:rsidR="00FE0355" w:rsidRPr="00BD77D8" w:rsidRDefault="00FE0355" w:rsidP="0089639E">
      <w:pPr>
        <w:spacing w:before="1200" w:after="0" w:line="205" w:lineRule="exact"/>
        <w:textAlignment w:val="baseline"/>
        <w:rPr>
          <w:rFonts w:eastAsia="Arial"/>
          <w:b/>
          <w:bCs/>
          <w:iCs/>
          <w:spacing w:val="-3"/>
          <w:sz w:val="18"/>
          <w:szCs w:val="18"/>
          <w:lang w:eastAsia="en-US"/>
        </w:rPr>
      </w:pP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6"/>
          <w:szCs w:val="20"/>
          <w:lang w:eastAsia="en-US"/>
        </w:rPr>
        <w:tab/>
      </w:r>
      <w:r w:rsidRPr="00BD77D8">
        <w:rPr>
          <w:rFonts w:eastAsia="PMingLiU"/>
          <w:sz w:val="18"/>
          <w:szCs w:val="18"/>
          <w:lang w:eastAsia="en-US"/>
        </w:rPr>
        <w:t>Page 42 of 45</w:t>
      </w:r>
    </w:p>
    <w:p w14:paraId="58FBC74D" w14:textId="77777777" w:rsidR="00B9311E" w:rsidRPr="00BD77D8" w:rsidRDefault="00B9311E" w:rsidP="00B9311E">
      <w:pPr>
        <w:spacing w:after="0" w:line="20" w:lineRule="exact"/>
        <w:rPr>
          <w:rFonts w:eastAsia="PMingLiU"/>
          <w:b/>
          <w:sz w:val="16"/>
          <w:szCs w:val="16"/>
          <w:lang w:eastAsia="en-US"/>
        </w:rPr>
      </w:pPr>
    </w:p>
    <w:p w14:paraId="4C599BF5" w14:textId="7988CA7B" w:rsidR="00A5785D" w:rsidRPr="00BD77D8" w:rsidRDefault="00A5785D" w:rsidP="00B9311E">
      <w:pPr>
        <w:spacing w:after="0" w:line="20" w:lineRule="exact"/>
        <w:rPr>
          <w:rFonts w:eastAsia="PMingLiU"/>
          <w:b/>
          <w:sz w:val="16"/>
          <w:szCs w:val="16"/>
          <w:lang w:eastAsia="en-US"/>
        </w:rPr>
      </w:pPr>
    </w:p>
    <w:p w14:paraId="0FCCC581" w14:textId="77777777" w:rsidR="00FE0355" w:rsidRPr="00BD77D8" w:rsidRDefault="00FE0355" w:rsidP="00B9311E">
      <w:pPr>
        <w:spacing w:after="0" w:line="20" w:lineRule="exact"/>
        <w:rPr>
          <w:rFonts w:eastAsia="PMingLiU"/>
          <w:b/>
          <w:sz w:val="16"/>
          <w:szCs w:val="16"/>
          <w:lang w:eastAsia="en-US"/>
        </w:rPr>
      </w:pPr>
    </w:p>
    <w:p w14:paraId="14588A2A" w14:textId="77777777" w:rsidR="00A5785D" w:rsidRPr="00BD77D8" w:rsidRDefault="00A5785D" w:rsidP="00B9311E">
      <w:pPr>
        <w:spacing w:after="0" w:line="20" w:lineRule="exact"/>
        <w:rPr>
          <w:rFonts w:eastAsia="PMingLiU"/>
          <w:b/>
          <w:sz w:val="16"/>
          <w:szCs w:val="16"/>
          <w:lang w:eastAsia="en-US"/>
        </w:rPr>
      </w:pPr>
    </w:p>
    <w:p w14:paraId="725A17D4" w14:textId="24C0D282" w:rsidR="00A5785D" w:rsidRPr="00BD77D8" w:rsidRDefault="00A5785D" w:rsidP="00B9311E">
      <w:pPr>
        <w:spacing w:after="0" w:line="20" w:lineRule="exact"/>
        <w:rPr>
          <w:rFonts w:eastAsia="PMingLiU"/>
          <w:b/>
          <w:sz w:val="16"/>
          <w:szCs w:val="16"/>
          <w:lang w:eastAsia="en-US"/>
        </w:rPr>
        <w:sectPr w:rsidR="00A5785D" w:rsidRPr="00BD77D8" w:rsidSect="000160CF">
          <w:type w:val="nextColumn"/>
          <w:pgSz w:w="11909" w:h="16838"/>
          <w:pgMar w:top="794" w:right="794" w:bottom="794" w:left="794" w:header="720" w:footer="720" w:gutter="0"/>
          <w:cols w:space="720"/>
        </w:sectPr>
      </w:pPr>
    </w:p>
    <w:p w14:paraId="05511A3A"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1367E071"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1319F977" w14:textId="77777777" w:rsidR="00B9311E" w:rsidRPr="00BD77D8" w:rsidRDefault="00B9311E" w:rsidP="00B9311E">
      <w:pPr>
        <w:spacing w:after="0" w:line="199"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6683F65C" w14:textId="77777777" w:rsidR="00B9311E" w:rsidRPr="00BD77D8" w:rsidRDefault="00B9311E" w:rsidP="00B9311E">
      <w:pPr>
        <w:pBdr>
          <w:bottom w:val="single" w:sz="4" w:space="1" w:color="auto"/>
        </w:pBdr>
        <w:spacing w:after="0" w:line="252" w:lineRule="exact"/>
        <w:textAlignment w:val="baseline"/>
        <w:rPr>
          <w:rFonts w:eastAsia="Arial"/>
          <w:b/>
          <w:spacing w:val="-1"/>
          <w:sz w:val="18"/>
          <w:szCs w:val="18"/>
          <w:lang w:eastAsia="en-US"/>
        </w:rPr>
      </w:pPr>
    </w:p>
    <w:p w14:paraId="61DBD7B3" w14:textId="77777777" w:rsidR="00B9311E" w:rsidRPr="00BD77D8" w:rsidRDefault="00B9311E" w:rsidP="00727CAE">
      <w:pPr>
        <w:spacing w:before="200" w:line="180" w:lineRule="atLeast"/>
        <w:textAlignment w:val="baseline"/>
        <w:rPr>
          <w:rFonts w:eastAsia="Arial"/>
          <w:b/>
          <w:bCs/>
          <w:spacing w:val="-1"/>
          <w:sz w:val="22"/>
          <w:szCs w:val="22"/>
          <w:lang w:eastAsia="en-US"/>
        </w:rPr>
      </w:pPr>
      <w:r w:rsidRPr="00BD77D8">
        <w:rPr>
          <w:rFonts w:eastAsia="Arial"/>
          <w:b/>
          <w:bCs/>
          <w:spacing w:val="-1"/>
          <w:sz w:val="22"/>
          <w:szCs w:val="22"/>
          <w:lang w:eastAsia="en-US"/>
        </w:rPr>
        <w:t>G1 Administered (continued)</w:t>
      </w:r>
    </w:p>
    <w:p w14:paraId="6CBAB02D" w14:textId="77777777" w:rsidR="00B9311E" w:rsidRPr="00BD77D8" w:rsidRDefault="00B9311E" w:rsidP="007D087A">
      <w:pPr>
        <w:rPr>
          <w:rFonts w:ascii="Calibri Light" w:eastAsia="Arial" w:hAnsi="Calibri Light" w:cs="Times New Roman"/>
          <w:b/>
          <w:bCs/>
          <w:sz w:val="22"/>
          <w:szCs w:val="22"/>
          <w:lang w:eastAsia="en-US"/>
        </w:rPr>
      </w:pPr>
      <w:bookmarkStart w:id="365" w:name="_Toc111494833"/>
      <w:bookmarkStart w:id="366" w:name="_Toc111540719"/>
      <w:bookmarkStart w:id="367" w:name="_Toc111559270"/>
      <w:bookmarkStart w:id="368" w:name="_Toc113196542"/>
      <w:bookmarkStart w:id="369" w:name="_Toc113196890"/>
      <w:bookmarkStart w:id="370" w:name="_Toc113262020"/>
      <w:bookmarkStart w:id="371" w:name="_Toc113349174"/>
      <w:bookmarkStart w:id="372" w:name="_Toc113358099"/>
      <w:r w:rsidRPr="00BD77D8">
        <w:rPr>
          <w:rFonts w:eastAsia="Arial"/>
          <w:b/>
          <w:bCs/>
          <w:sz w:val="22"/>
          <w:szCs w:val="22"/>
          <w:lang w:eastAsia="en-US"/>
        </w:rPr>
        <w:t>G1-7 Receivables</w:t>
      </w:r>
      <w:bookmarkEnd w:id="365"/>
      <w:bookmarkEnd w:id="366"/>
      <w:bookmarkEnd w:id="367"/>
      <w:bookmarkEnd w:id="368"/>
      <w:bookmarkEnd w:id="369"/>
      <w:bookmarkEnd w:id="370"/>
      <w:bookmarkEnd w:id="371"/>
      <w:bookmarkEnd w:id="372"/>
    </w:p>
    <w:tbl>
      <w:tblPr>
        <w:tblW w:w="10348" w:type="dxa"/>
        <w:tblCellMar>
          <w:left w:w="0" w:type="dxa"/>
          <w:right w:w="0" w:type="dxa"/>
        </w:tblCellMar>
        <w:tblLook w:val="04A0" w:firstRow="1" w:lastRow="0" w:firstColumn="1" w:lastColumn="0" w:noHBand="0" w:noVBand="1"/>
      </w:tblPr>
      <w:tblGrid>
        <w:gridCol w:w="7952"/>
        <w:gridCol w:w="1324"/>
        <w:gridCol w:w="1072"/>
      </w:tblGrid>
      <w:tr w:rsidR="00BD77D8" w:rsidRPr="00BD77D8" w14:paraId="4727BFDE" w14:textId="77777777" w:rsidTr="003057FB">
        <w:trPr>
          <w:trHeight w:val="283"/>
        </w:trPr>
        <w:tc>
          <w:tcPr>
            <w:tcW w:w="7984" w:type="dxa"/>
            <w:vMerge w:val="restart"/>
            <w:tcBorders>
              <w:top w:val="nil"/>
              <w:left w:val="nil"/>
              <w:bottom w:val="nil"/>
              <w:right w:val="nil"/>
            </w:tcBorders>
            <w:shd w:val="clear" w:color="auto" w:fill="auto"/>
            <w:vAlign w:val="bottom"/>
            <w:hideMark/>
          </w:tcPr>
          <w:p w14:paraId="51058EA1" w14:textId="77777777" w:rsidR="00B9311E" w:rsidRPr="00BD77D8" w:rsidRDefault="00B9311E" w:rsidP="00B9311E">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14:paraId="5D3DA010"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1056" w:type="dxa"/>
            <w:tcBorders>
              <w:top w:val="nil"/>
              <w:left w:val="nil"/>
              <w:bottom w:val="nil"/>
              <w:right w:val="nil"/>
            </w:tcBorders>
            <w:shd w:val="clear" w:color="auto" w:fill="auto"/>
            <w:noWrap/>
            <w:vAlign w:val="bottom"/>
            <w:hideMark/>
          </w:tcPr>
          <w:p w14:paraId="20325D08"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2EC400E3" w14:textId="77777777" w:rsidTr="003057FB">
        <w:trPr>
          <w:trHeight w:val="283"/>
        </w:trPr>
        <w:tc>
          <w:tcPr>
            <w:tcW w:w="7984" w:type="dxa"/>
            <w:vMerge/>
            <w:tcBorders>
              <w:top w:val="nil"/>
              <w:left w:val="nil"/>
              <w:bottom w:val="nil"/>
              <w:right w:val="nil"/>
            </w:tcBorders>
            <w:vAlign w:val="center"/>
            <w:hideMark/>
          </w:tcPr>
          <w:p w14:paraId="5AF877D2" w14:textId="77777777" w:rsidR="00B9311E" w:rsidRPr="00BD77D8" w:rsidRDefault="00B9311E" w:rsidP="00B9311E">
            <w:pPr>
              <w:spacing w:after="0" w:line="240" w:lineRule="auto"/>
              <w:rPr>
                <w:rFonts w:ascii="Times New Roman" w:hAnsi="Times New Roman" w:cs="Times New Roman"/>
                <w:sz w:val="24"/>
                <w:szCs w:val="24"/>
              </w:rPr>
            </w:pPr>
          </w:p>
        </w:tc>
        <w:tc>
          <w:tcPr>
            <w:tcW w:w="1308" w:type="dxa"/>
            <w:tcBorders>
              <w:top w:val="nil"/>
              <w:left w:val="nil"/>
              <w:bottom w:val="single" w:sz="4" w:space="0" w:color="auto"/>
              <w:right w:val="nil"/>
            </w:tcBorders>
            <w:shd w:val="clear" w:color="auto" w:fill="auto"/>
            <w:vAlign w:val="bottom"/>
            <w:hideMark/>
          </w:tcPr>
          <w:p w14:paraId="09199AC5"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1056" w:type="dxa"/>
            <w:tcBorders>
              <w:top w:val="nil"/>
              <w:left w:val="nil"/>
              <w:bottom w:val="single" w:sz="4" w:space="0" w:color="auto"/>
              <w:right w:val="nil"/>
            </w:tcBorders>
            <w:shd w:val="clear" w:color="auto" w:fill="auto"/>
            <w:vAlign w:val="bottom"/>
            <w:hideMark/>
          </w:tcPr>
          <w:p w14:paraId="36532520"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70E23C94" w14:textId="77777777" w:rsidTr="003057FB">
        <w:trPr>
          <w:trHeight w:val="283"/>
        </w:trPr>
        <w:tc>
          <w:tcPr>
            <w:tcW w:w="7984" w:type="dxa"/>
            <w:tcBorders>
              <w:top w:val="nil"/>
              <w:left w:val="nil"/>
              <w:bottom w:val="nil"/>
              <w:right w:val="nil"/>
            </w:tcBorders>
            <w:shd w:val="clear" w:color="auto" w:fill="auto"/>
            <w:vAlign w:val="bottom"/>
            <w:hideMark/>
          </w:tcPr>
          <w:p w14:paraId="3062CA26" w14:textId="77777777" w:rsidR="00B9311E" w:rsidRPr="00BD77D8" w:rsidRDefault="00B9311E" w:rsidP="00B9311E">
            <w:pPr>
              <w:spacing w:after="0" w:line="240" w:lineRule="auto"/>
              <w:rPr>
                <w:b/>
                <w:bCs/>
                <w:sz w:val="18"/>
                <w:szCs w:val="18"/>
              </w:rPr>
            </w:pPr>
            <w:r w:rsidRPr="00BD77D8">
              <w:rPr>
                <w:b/>
                <w:bCs/>
                <w:sz w:val="18"/>
                <w:szCs w:val="18"/>
              </w:rPr>
              <w:t xml:space="preserve"> Current </w:t>
            </w:r>
          </w:p>
        </w:tc>
        <w:tc>
          <w:tcPr>
            <w:tcW w:w="1308" w:type="dxa"/>
            <w:tcBorders>
              <w:top w:val="nil"/>
              <w:left w:val="nil"/>
              <w:bottom w:val="nil"/>
              <w:right w:val="nil"/>
            </w:tcBorders>
            <w:shd w:val="clear" w:color="auto" w:fill="auto"/>
            <w:vAlign w:val="bottom"/>
            <w:hideMark/>
          </w:tcPr>
          <w:p w14:paraId="58F1EACC" w14:textId="77777777" w:rsidR="00B9311E" w:rsidRPr="00BD77D8" w:rsidRDefault="00B9311E" w:rsidP="00B9311E">
            <w:pPr>
              <w:spacing w:after="0" w:line="240" w:lineRule="auto"/>
              <w:rPr>
                <w:b/>
                <w:bCs/>
                <w:sz w:val="18"/>
                <w:szCs w:val="18"/>
              </w:rPr>
            </w:pPr>
          </w:p>
        </w:tc>
        <w:tc>
          <w:tcPr>
            <w:tcW w:w="1056" w:type="dxa"/>
            <w:tcBorders>
              <w:top w:val="nil"/>
              <w:left w:val="nil"/>
              <w:bottom w:val="nil"/>
              <w:right w:val="nil"/>
            </w:tcBorders>
            <w:shd w:val="clear" w:color="auto" w:fill="auto"/>
            <w:vAlign w:val="bottom"/>
            <w:hideMark/>
          </w:tcPr>
          <w:p w14:paraId="53C96987"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76BA9B45" w14:textId="77777777" w:rsidTr="003057FB">
        <w:trPr>
          <w:trHeight w:val="283"/>
        </w:trPr>
        <w:tc>
          <w:tcPr>
            <w:tcW w:w="7984" w:type="dxa"/>
            <w:tcBorders>
              <w:top w:val="nil"/>
              <w:left w:val="nil"/>
              <w:bottom w:val="nil"/>
              <w:right w:val="nil"/>
            </w:tcBorders>
            <w:shd w:val="clear" w:color="auto" w:fill="auto"/>
            <w:vAlign w:val="bottom"/>
            <w:hideMark/>
          </w:tcPr>
          <w:p w14:paraId="323AE01E" w14:textId="77777777" w:rsidR="00B9311E" w:rsidRPr="00BD77D8" w:rsidRDefault="00B9311E" w:rsidP="00B9311E">
            <w:pPr>
              <w:spacing w:after="0" w:line="240" w:lineRule="auto"/>
              <w:rPr>
                <w:sz w:val="18"/>
                <w:szCs w:val="18"/>
              </w:rPr>
            </w:pPr>
            <w:r w:rsidRPr="00BD77D8">
              <w:rPr>
                <w:sz w:val="18"/>
                <w:szCs w:val="18"/>
              </w:rPr>
              <w:t xml:space="preserve"> Trade and other debtors </w:t>
            </w:r>
          </w:p>
        </w:tc>
        <w:tc>
          <w:tcPr>
            <w:tcW w:w="1308" w:type="dxa"/>
            <w:tcBorders>
              <w:top w:val="nil"/>
              <w:left w:val="nil"/>
              <w:bottom w:val="single" w:sz="4" w:space="0" w:color="auto"/>
              <w:right w:val="nil"/>
            </w:tcBorders>
            <w:shd w:val="clear" w:color="auto" w:fill="auto"/>
            <w:vAlign w:val="bottom"/>
            <w:hideMark/>
          </w:tcPr>
          <w:p w14:paraId="17B4BD89" w14:textId="77777777" w:rsidR="00B9311E" w:rsidRPr="00BD77D8" w:rsidRDefault="00B9311E" w:rsidP="00B9311E">
            <w:pPr>
              <w:spacing w:after="0" w:line="240" w:lineRule="auto"/>
              <w:jc w:val="right"/>
              <w:rPr>
                <w:sz w:val="18"/>
                <w:szCs w:val="18"/>
              </w:rPr>
            </w:pPr>
            <w:r w:rsidRPr="00BD77D8">
              <w:rPr>
                <w:sz w:val="18"/>
                <w:szCs w:val="18"/>
              </w:rPr>
              <w:t xml:space="preserve">              23 </w:t>
            </w:r>
          </w:p>
        </w:tc>
        <w:tc>
          <w:tcPr>
            <w:tcW w:w="1056" w:type="dxa"/>
            <w:tcBorders>
              <w:top w:val="nil"/>
              <w:left w:val="nil"/>
              <w:bottom w:val="single" w:sz="4" w:space="0" w:color="auto"/>
              <w:right w:val="nil"/>
            </w:tcBorders>
            <w:shd w:val="clear" w:color="auto" w:fill="auto"/>
            <w:vAlign w:val="bottom"/>
            <w:hideMark/>
          </w:tcPr>
          <w:p w14:paraId="0BD7F40F" w14:textId="77777777" w:rsidR="00B9311E" w:rsidRPr="00BD77D8" w:rsidRDefault="00B9311E" w:rsidP="00B9311E">
            <w:pPr>
              <w:spacing w:after="0" w:line="240" w:lineRule="auto"/>
              <w:jc w:val="right"/>
              <w:rPr>
                <w:sz w:val="18"/>
                <w:szCs w:val="18"/>
              </w:rPr>
            </w:pPr>
            <w:r w:rsidRPr="00BD77D8">
              <w:rPr>
                <w:sz w:val="18"/>
                <w:szCs w:val="18"/>
              </w:rPr>
              <w:t xml:space="preserve">                 - </w:t>
            </w:r>
          </w:p>
        </w:tc>
      </w:tr>
      <w:tr w:rsidR="00BD77D8" w:rsidRPr="00BD77D8" w14:paraId="2DF68C76" w14:textId="77777777" w:rsidTr="003057FB">
        <w:trPr>
          <w:trHeight w:val="298"/>
        </w:trPr>
        <w:tc>
          <w:tcPr>
            <w:tcW w:w="7984" w:type="dxa"/>
            <w:tcBorders>
              <w:top w:val="nil"/>
              <w:left w:val="nil"/>
              <w:bottom w:val="nil"/>
              <w:right w:val="nil"/>
            </w:tcBorders>
            <w:shd w:val="clear" w:color="auto" w:fill="auto"/>
            <w:vAlign w:val="bottom"/>
            <w:hideMark/>
          </w:tcPr>
          <w:p w14:paraId="6FE38C44" w14:textId="77777777" w:rsidR="00B9311E" w:rsidRPr="00BD77D8" w:rsidRDefault="00B9311E" w:rsidP="00B9311E">
            <w:pPr>
              <w:spacing w:after="0" w:line="240" w:lineRule="auto"/>
              <w:rPr>
                <w:b/>
                <w:bCs/>
                <w:sz w:val="24"/>
                <w:szCs w:val="24"/>
              </w:rPr>
            </w:pPr>
            <w:r w:rsidRPr="00BD77D8">
              <w:rPr>
                <w:b/>
                <w:bCs/>
                <w:sz w:val="24"/>
                <w:szCs w:val="24"/>
              </w:rPr>
              <w:t xml:space="preserve">   </w:t>
            </w:r>
          </w:p>
        </w:tc>
        <w:tc>
          <w:tcPr>
            <w:tcW w:w="1308" w:type="dxa"/>
            <w:tcBorders>
              <w:top w:val="nil"/>
              <w:left w:val="nil"/>
              <w:bottom w:val="nil"/>
              <w:right w:val="nil"/>
            </w:tcBorders>
            <w:shd w:val="clear" w:color="auto" w:fill="auto"/>
            <w:vAlign w:val="bottom"/>
            <w:hideMark/>
          </w:tcPr>
          <w:p w14:paraId="0789039E" w14:textId="77777777" w:rsidR="00B9311E" w:rsidRPr="00BD77D8" w:rsidRDefault="00B9311E" w:rsidP="00B9311E">
            <w:pPr>
              <w:spacing w:after="0" w:line="240" w:lineRule="auto"/>
              <w:jc w:val="right"/>
              <w:rPr>
                <w:b/>
                <w:bCs/>
                <w:sz w:val="18"/>
                <w:szCs w:val="18"/>
              </w:rPr>
            </w:pPr>
            <w:r w:rsidRPr="00BD77D8">
              <w:rPr>
                <w:b/>
                <w:bCs/>
                <w:sz w:val="18"/>
                <w:szCs w:val="18"/>
              </w:rPr>
              <w:t xml:space="preserve">              23 </w:t>
            </w:r>
          </w:p>
        </w:tc>
        <w:tc>
          <w:tcPr>
            <w:tcW w:w="1056" w:type="dxa"/>
            <w:tcBorders>
              <w:top w:val="nil"/>
              <w:left w:val="nil"/>
              <w:bottom w:val="nil"/>
              <w:right w:val="nil"/>
            </w:tcBorders>
            <w:shd w:val="clear" w:color="auto" w:fill="auto"/>
            <w:vAlign w:val="bottom"/>
            <w:hideMark/>
          </w:tcPr>
          <w:p w14:paraId="2E5C8211" w14:textId="77777777" w:rsidR="00B9311E" w:rsidRPr="00BD77D8" w:rsidRDefault="00B9311E" w:rsidP="00B9311E">
            <w:pPr>
              <w:spacing w:after="0" w:line="240" w:lineRule="auto"/>
              <w:jc w:val="right"/>
              <w:rPr>
                <w:b/>
                <w:bCs/>
                <w:sz w:val="18"/>
                <w:szCs w:val="18"/>
              </w:rPr>
            </w:pPr>
            <w:r w:rsidRPr="00BD77D8">
              <w:rPr>
                <w:b/>
                <w:bCs/>
                <w:sz w:val="18"/>
                <w:szCs w:val="18"/>
              </w:rPr>
              <w:t xml:space="preserve">                 - </w:t>
            </w:r>
          </w:p>
        </w:tc>
      </w:tr>
      <w:tr w:rsidR="00BD77D8" w:rsidRPr="00BD77D8" w14:paraId="0192FAA9" w14:textId="77777777" w:rsidTr="003057FB">
        <w:trPr>
          <w:trHeight w:val="119"/>
        </w:trPr>
        <w:tc>
          <w:tcPr>
            <w:tcW w:w="7984" w:type="dxa"/>
            <w:tcBorders>
              <w:top w:val="nil"/>
              <w:left w:val="nil"/>
              <w:bottom w:val="nil"/>
              <w:right w:val="nil"/>
            </w:tcBorders>
            <w:shd w:val="clear" w:color="auto" w:fill="auto"/>
            <w:vAlign w:val="bottom"/>
            <w:hideMark/>
          </w:tcPr>
          <w:p w14:paraId="66774CE1" w14:textId="77777777" w:rsidR="00B9311E" w:rsidRPr="00BD77D8" w:rsidRDefault="00B9311E" w:rsidP="00B9311E">
            <w:pPr>
              <w:spacing w:after="0" w:line="240" w:lineRule="auto"/>
              <w:jc w:val="right"/>
              <w:rPr>
                <w:sz w:val="18"/>
                <w:szCs w:val="18"/>
              </w:rPr>
            </w:pPr>
          </w:p>
        </w:tc>
        <w:tc>
          <w:tcPr>
            <w:tcW w:w="1308" w:type="dxa"/>
            <w:tcBorders>
              <w:top w:val="nil"/>
              <w:left w:val="nil"/>
              <w:bottom w:val="nil"/>
              <w:right w:val="nil"/>
            </w:tcBorders>
            <w:shd w:val="clear" w:color="auto" w:fill="auto"/>
            <w:vAlign w:val="bottom"/>
            <w:hideMark/>
          </w:tcPr>
          <w:p w14:paraId="09CD2E8E" w14:textId="77777777" w:rsidR="00B9311E" w:rsidRPr="00BD77D8" w:rsidRDefault="00B9311E" w:rsidP="00B9311E">
            <w:pPr>
              <w:spacing w:after="0" w:line="240" w:lineRule="auto"/>
              <w:rPr>
                <w:rFonts w:ascii="Times New Roman" w:hAnsi="Times New Roman" w:cs="Times New Roman"/>
                <w:sz w:val="20"/>
                <w:szCs w:val="20"/>
              </w:rPr>
            </w:pPr>
          </w:p>
        </w:tc>
        <w:tc>
          <w:tcPr>
            <w:tcW w:w="1056" w:type="dxa"/>
            <w:tcBorders>
              <w:top w:val="nil"/>
              <w:left w:val="nil"/>
              <w:bottom w:val="nil"/>
              <w:right w:val="nil"/>
            </w:tcBorders>
            <w:shd w:val="clear" w:color="auto" w:fill="auto"/>
            <w:vAlign w:val="bottom"/>
            <w:hideMark/>
          </w:tcPr>
          <w:p w14:paraId="1F7FB6C2"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359129CB" w14:textId="77777777" w:rsidTr="003057FB">
        <w:trPr>
          <w:trHeight w:val="283"/>
        </w:trPr>
        <w:tc>
          <w:tcPr>
            <w:tcW w:w="7984" w:type="dxa"/>
            <w:tcBorders>
              <w:top w:val="nil"/>
              <w:left w:val="nil"/>
              <w:bottom w:val="nil"/>
              <w:right w:val="nil"/>
            </w:tcBorders>
            <w:shd w:val="clear" w:color="auto" w:fill="auto"/>
            <w:vAlign w:val="bottom"/>
            <w:hideMark/>
          </w:tcPr>
          <w:p w14:paraId="7EA6D220" w14:textId="77777777" w:rsidR="00B9311E" w:rsidRPr="00BD77D8" w:rsidRDefault="00B9311E" w:rsidP="00B9311E">
            <w:pPr>
              <w:spacing w:after="0" w:line="240" w:lineRule="auto"/>
              <w:rPr>
                <w:sz w:val="18"/>
                <w:szCs w:val="18"/>
              </w:rPr>
            </w:pPr>
            <w:r w:rsidRPr="00BD77D8">
              <w:rPr>
                <w:sz w:val="18"/>
                <w:szCs w:val="18"/>
              </w:rPr>
              <w:t xml:space="preserve"> GST input tax credits receivable </w:t>
            </w:r>
          </w:p>
        </w:tc>
        <w:tc>
          <w:tcPr>
            <w:tcW w:w="1308" w:type="dxa"/>
            <w:tcBorders>
              <w:top w:val="nil"/>
              <w:left w:val="nil"/>
              <w:bottom w:val="nil"/>
              <w:right w:val="nil"/>
            </w:tcBorders>
            <w:shd w:val="clear" w:color="auto" w:fill="auto"/>
            <w:vAlign w:val="bottom"/>
            <w:hideMark/>
          </w:tcPr>
          <w:p w14:paraId="60D80053" w14:textId="77777777" w:rsidR="00B9311E" w:rsidRPr="00BD77D8" w:rsidRDefault="00B9311E" w:rsidP="00B9311E">
            <w:pPr>
              <w:spacing w:after="0" w:line="240" w:lineRule="auto"/>
              <w:jc w:val="right"/>
              <w:rPr>
                <w:sz w:val="18"/>
                <w:szCs w:val="18"/>
              </w:rPr>
            </w:pPr>
            <w:r w:rsidRPr="00BD77D8">
              <w:rPr>
                <w:sz w:val="18"/>
                <w:szCs w:val="18"/>
              </w:rPr>
              <w:t xml:space="preserve">         1,748 </w:t>
            </w:r>
          </w:p>
        </w:tc>
        <w:tc>
          <w:tcPr>
            <w:tcW w:w="1056" w:type="dxa"/>
            <w:tcBorders>
              <w:top w:val="nil"/>
              <w:left w:val="nil"/>
              <w:bottom w:val="nil"/>
              <w:right w:val="nil"/>
            </w:tcBorders>
            <w:shd w:val="clear" w:color="auto" w:fill="auto"/>
            <w:vAlign w:val="bottom"/>
            <w:hideMark/>
          </w:tcPr>
          <w:p w14:paraId="59914857" w14:textId="77777777" w:rsidR="00B9311E" w:rsidRPr="00BD77D8" w:rsidRDefault="00B9311E" w:rsidP="00B9311E">
            <w:pPr>
              <w:spacing w:after="0" w:line="240" w:lineRule="auto"/>
              <w:jc w:val="right"/>
              <w:rPr>
                <w:sz w:val="18"/>
                <w:szCs w:val="18"/>
              </w:rPr>
            </w:pPr>
            <w:r w:rsidRPr="00BD77D8">
              <w:rPr>
                <w:sz w:val="18"/>
                <w:szCs w:val="18"/>
              </w:rPr>
              <w:t xml:space="preserve">        1,959 </w:t>
            </w:r>
          </w:p>
        </w:tc>
      </w:tr>
      <w:tr w:rsidR="00BD77D8" w:rsidRPr="00BD77D8" w14:paraId="0B0E3D37" w14:textId="77777777" w:rsidTr="003057FB">
        <w:trPr>
          <w:trHeight w:val="283"/>
        </w:trPr>
        <w:tc>
          <w:tcPr>
            <w:tcW w:w="7984" w:type="dxa"/>
            <w:tcBorders>
              <w:top w:val="nil"/>
              <w:left w:val="nil"/>
              <w:bottom w:val="nil"/>
              <w:right w:val="nil"/>
            </w:tcBorders>
            <w:shd w:val="clear" w:color="auto" w:fill="auto"/>
            <w:vAlign w:val="bottom"/>
            <w:hideMark/>
          </w:tcPr>
          <w:p w14:paraId="1CFD11B6"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1308" w:type="dxa"/>
            <w:tcBorders>
              <w:top w:val="single" w:sz="4" w:space="0" w:color="auto"/>
              <w:left w:val="nil"/>
              <w:bottom w:val="single" w:sz="4" w:space="0" w:color="auto"/>
              <w:right w:val="nil"/>
            </w:tcBorders>
            <w:shd w:val="clear" w:color="auto" w:fill="auto"/>
            <w:vAlign w:val="bottom"/>
            <w:hideMark/>
          </w:tcPr>
          <w:p w14:paraId="339D391A" w14:textId="77777777" w:rsidR="00B9311E" w:rsidRPr="00BD77D8" w:rsidRDefault="00B9311E" w:rsidP="00B9311E">
            <w:pPr>
              <w:spacing w:after="0" w:line="240" w:lineRule="auto"/>
              <w:jc w:val="right"/>
              <w:rPr>
                <w:b/>
                <w:bCs/>
                <w:sz w:val="18"/>
                <w:szCs w:val="18"/>
              </w:rPr>
            </w:pPr>
            <w:r w:rsidRPr="00BD77D8">
              <w:rPr>
                <w:b/>
                <w:bCs/>
                <w:sz w:val="18"/>
                <w:szCs w:val="18"/>
              </w:rPr>
              <w:t xml:space="preserve">         1,771 </w:t>
            </w:r>
          </w:p>
        </w:tc>
        <w:tc>
          <w:tcPr>
            <w:tcW w:w="1056" w:type="dxa"/>
            <w:tcBorders>
              <w:top w:val="single" w:sz="4" w:space="0" w:color="auto"/>
              <w:left w:val="nil"/>
              <w:bottom w:val="single" w:sz="4" w:space="0" w:color="auto"/>
              <w:right w:val="nil"/>
            </w:tcBorders>
            <w:shd w:val="clear" w:color="auto" w:fill="auto"/>
            <w:vAlign w:val="bottom"/>
            <w:hideMark/>
          </w:tcPr>
          <w:p w14:paraId="31A466F3" w14:textId="77777777" w:rsidR="00B9311E" w:rsidRPr="00BD77D8" w:rsidRDefault="00B9311E" w:rsidP="00B9311E">
            <w:pPr>
              <w:spacing w:after="0" w:line="240" w:lineRule="auto"/>
              <w:jc w:val="right"/>
              <w:rPr>
                <w:b/>
                <w:bCs/>
                <w:sz w:val="18"/>
                <w:szCs w:val="18"/>
              </w:rPr>
            </w:pPr>
            <w:r w:rsidRPr="00BD77D8">
              <w:rPr>
                <w:b/>
                <w:bCs/>
                <w:sz w:val="18"/>
                <w:szCs w:val="18"/>
              </w:rPr>
              <w:t xml:space="preserve">        1,959 </w:t>
            </w:r>
          </w:p>
        </w:tc>
      </w:tr>
    </w:tbl>
    <w:p w14:paraId="3C2ADD9D" w14:textId="77777777" w:rsidR="00B9311E" w:rsidRPr="00BD77D8" w:rsidRDefault="00B9311E" w:rsidP="00293C43">
      <w:pPr>
        <w:spacing w:before="480"/>
        <w:rPr>
          <w:rFonts w:ascii="Calibri Light" w:eastAsia="Arial" w:hAnsi="Calibri Light" w:cs="Times New Roman"/>
          <w:b/>
          <w:bCs/>
          <w:sz w:val="22"/>
          <w:szCs w:val="22"/>
          <w:lang w:eastAsia="en-US"/>
        </w:rPr>
      </w:pPr>
      <w:bookmarkStart w:id="373" w:name="_Toc111494834"/>
      <w:bookmarkStart w:id="374" w:name="_Toc111540720"/>
      <w:bookmarkStart w:id="375" w:name="_Toc111559271"/>
      <w:bookmarkStart w:id="376" w:name="_Toc113196543"/>
      <w:bookmarkStart w:id="377" w:name="_Toc113196891"/>
      <w:bookmarkStart w:id="378" w:name="_Toc113262021"/>
      <w:bookmarkStart w:id="379" w:name="_Toc113349175"/>
      <w:bookmarkStart w:id="380" w:name="_Toc113358100"/>
      <w:r w:rsidRPr="00BD77D8">
        <w:rPr>
          <w:rFonts w:eastAsia="Arial"/>
          <w:b/>
          <w:bCs/>
          <w:sz w:val="22"/>
          <w:szCs w:val="22"/>
          <w:lang w:eastAsia="en-US"/>
        </w:rPr>
        <w:t>G1-8 Payables</w:t>
      </w:r>
      <w:bookmarkEnd w:id="373"/>
      <w:bookmarkEnd w:id="374"/>
      <w:bookmarkEnd w:id="375"/>
      <w:bookmarkEnd w:id="376"/>
      <w:bookmarkEnd w:id="377"/>
      <w:bookmarkEnd w:id="378"/>
      <w:bookmarkEnd w:id="379"/>
      <w:bookmarkEnd w:id="380"/>
    </w:p>
    <w:tbl>
      <w:tblPr>
        <w:tblW w:w="10348" w:type="dxa"/>
        <w:tblLook w:val="04A0" w:firstRow="1" w:lastRow="0" w:firstColumn="1" w:lastColumn="0" w:noHBand="0" w:noVBand="1"/>
      </w:tblPr>
      <w:tblGrid>
        <w:gridCol w:w="8080"/>
        <w:gridCol w:w="1276"/>
        <w:gridCol w:w="992"/>
      </w:tblGrid>
      <w:tr w:rsidR="00BD77D8" w:rsidRPr="00BD77D8" w14:paraId="3C5EB652" w14:textId="77777777" w:rsidTr="003057FB">
        <w:trPr>
          <w:trHeight w:val="271"/>
        </w:trPr>
        <w:tc>
          <w:tcPr>
            <w:tcW w:w="8080" w:type="dxa"/>
            <w:vMerge w:val="restart"/>
            <w:tcBorders>
              <w:top w:val="nil"/>
              <w:left w:val="nil"/>
              <w:bottom w:val="nil"/>
              <w:right w:val="nil"/>
            </w:tcBorders>
            <w:shd w:val="clear" w:color="auto" w:fill="auto"/>
            <w:vAlign w:val="center"/>
            <w:hideMark/>
          </w:tcPr>
          <w:p w14:paraId="5384B33D" w14:textId="77777777" w:rsidR="00B9311E" w:rsidRPr="00BD77D8" w:rsidRDefault="00B9311E" w:rsidP="00B9311E">
            <w:pPr>
              <w:spacing w:after="0" w:line="240" w:lineRule="auto"/>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14:paraId="24DD17E2"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992" w:type="dxa"/>
            <w:tcBorders>
              <w:top w:val="nil"/>
              <w:left w:val="nil"/>
              <w:bottom w:val="nil"/>
              <w:right w:val="nil"/>
            </w:tcBorders>
            <w:shd w:val="clear" w:color="auto" w:fill="auto"/>
            <w:noWrap/>
            <w:vAlign w:val="bottom"/>
            <w:hideMark/>
          </w:tcPr>
          <w:p w14:paraId="50EA0215"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1AE5AC2C" w14:textId="77777777" w:rsidTr="003057FB">
        <w:trPr>
          <w:trHeight w:val="271"/>
        </w:trPr>
        <w:tc>
          <w:tcPr>
            <w:tcW w:w="8080" w:type="dxa"/>
            <w:vMerge/>
            <w:tcBorders>
              <w:top w:val="nil"/>
              <w:left w:val="nil"/>
              <w:bottom w:val="nil"/>
              <w:right w:val="nil"/>
            </w:tcBorders>
            <w:vAlign w:val="center"/>
            <w:hideMark/>
          </w:tcPr>
          <w:p w14:paraId="188547B3" w14:textId="77777777" w:rsidR="00B9311E" w:rsidRPr="00BD77D8" w:rsidRDefault="00B9311E" w:rsidP="00B9311E">
            <w:pPr>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nil"/>
            </w:tcBorders>
            <w:shd w:val="clear" w:color="auto" w:fill="auto"/>
            <w:vAlign w:val="center"/>
            <w:hideMark/>
          </w:tcPr>
          <w:p w14:paraId="4C1C64AF"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992" w:type="dxa"/>
            <w:tcBorders>
              <w:top w:val="nil"/>
              <w:left w:val="nil"/>
              <w:bottom w:val="single" w:sz="4" w:space="0" w:color="auto"/>
              <w:right w:val="nil"/>
            </w:tcBorders>
            <w:shd w:val="clear" w:color="auto" w:fill="auto"/>
            <w:vAlign w:val="center"/>
            <w:hideMark/>
          </w:tcPr>
          <w:p w14:paraId="784F726D"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58E14596" w14:textId="77777777" w:rsidTr="003057FB">
        <w:trPr>
          <w:trHeight w:val="271"/>
        </w:trPr>
        <w:tc>
          <w:tcPr>
            <w:tcW w:w="8080" w:type="dxa"/>
            <w:tcBorders>
              <w:top w:val="nil"/>
              <w:left w:val="nil"/>
              <w:bottom w:val="nil"/>
              <w:right w:val="nil"/>
            </w:tcBorders>
            <w:shd w:val="clear" w:color="auto" w:fill="auto"/>
            <w:vAlign w:val="center"/>
            <w:hideMark/>
          </w:tcPr>
          <w:p w14:paraId="780ACF1A" w14:textId="77777777" w:rsidR="00B9311E" w:rsidRPr="00BD77D8" w:rsidRDefault="00B9311E" w:rsidP="00B9311E">
            <w:pPr>
              <w:spacing w:after="0" w:line="240" w:lineRule="auto"/>
              <w:rPr>
                <w:b/>
                <w:bCs/>
                <w:sz w:val="18"/>
                <w:szCs w:val="18"/>
              </w:rPr>
            </w:pPr>
            <w:r w:rsidRPr="00BD77D8">
              <w:rPr>
                <w:b/>
                <w:bCs/>
                <w:sz w:val="18"/>
                <w:szCs w:val="18"/>
              </w:rPr>
              <w:t xml:space="preserve"> Current </w:t>
            </w:r>
          </w:p>
        </w:tc>
        <w:tc>
          <w:tcPr>
            <w:tcW w:w="1276" w:type="dxa"/>
            <w:tcBorders>
              <w:top w:val="nil"/>
              <w:left w:val="nil"/>
              <w:bottom w:val="nil"/>
              <w:right w:val="nil"/>
            </w:tcBorders>
            <w:shd w:val="clear" w:color="auto" w:fill="auto"/>
            <w:vAlign w:val="center"/>
            <w:hideMark/>
          </w:tcPr>
          <w:p w14:paraId="51B7FE59" w14:textId="77777777" w:rsidR="00B9311E" w:rsidRPr="00BD77D8" w:rsidRDefault="00B9311E" w:rsidP="00B9311E">
            <w:pPr>
              <w:spacing w:after="0" w:line="240" w:lineRule="auto"/>
              <w:rPr>
                <w:b/>
                <w:bCs/>
                <w:sz w:val="18"/>
                <w:szCs w:val="18"/>
              </w:rPr>
            </w:pPr>
          </w:p>
        </w:tc>
        <w:tc>
          <w:tcPr>
            <w:tcW w:w="992" w:type="dxa"/>
            <w:tcBorders>
              <w:top w:val="nil"/>
              <w:left w:val="nil"/>
              <w:bottom w:val="nil"/>
              <w:right w:val="nil"/>
            </w:tcBorders>
            <w:shd w:val="clear" w:color="auto" w:fill="auto"/>
            <w:vAlign w:val="center"/>
            <w:hideMark/>
          </w:tcPr>
          <w:p w14:paraId="1AA5775F" w14:textId="77777777" w:rsidR="00B9311E" w:rsidRPr="00BD77D8" w:rsidRDefault="00B9311E" w:rsidP="00B9311E">
            <w:pPr>
              <w:spacing w:after="0" w:line="240" w:lineRule="auto"/>
              <w:jc w:val="right"/>
              <w:rPr>
                <w:rFonts w:ascii="Times New Roman" w:hAnsi="Times New Roman" w:cs="Times New Roman"/>
                <w:b/>
                <w:bCs/>
                <w:sz w:val="20"/>
                <w:szCs w:val="20"/>
              </w:rPr>
            </w:pPr>
          </w:p>
        </w:tc>
      </w:tr>
      <w:tr w:rsidR="00BD77D8" w:rsidRPr="00BD77D8" w14:paraId="0F9EDA3F" w14:textId="77777777" w:rsidTr="003057FB">
        <w:trPr>
          <w:trHeight w:val="271"/>
        </w:trPr>
        <w:tc>
          <w:tcPr>
            <w:tcW w:w="8080" w:type="dxa"/>
            <w:tcBorders>
              <w:top w:val="nil"/>
              <w:left w:val="nil"/>
              <w:bottom w:val="nil"/>
              <w:right w:val="nil"/>
            </w:tcBorders>
            <w:shd w:val="clear" w:color="auto" w:fill="auto"/>
            <w:vAlign w:val="center"/>
            <w:hideMark/>
          </w:tcPr>
          <w:p w14:paraId="55376FAC" w14:textId="77777777" w:rsidR="00B9311E" w:rsidRPr="00BD77D8" w:rsidRDefault="00B9311E" w:rsidP="00B9311E">
            <w:pPr>
              <w:spacing w:after="0" w:line="240" w:lineRule="auto"/>
              <w:rPr>
                <w:sz w:val="18"/>
                <w:szCs w:val="18"/>
              </w:rPr>
            </w:pPr>
            <w:r w:rsidRPr="00BD77D8">
              <w:rPr>
                <w:sz w:val="18"/>
                <w:szCs w:val="18"/>
              </w:rPr>
              <w:t xml:space="preserve"> Trade creditors and accruals </w:t>
            </w:r>
          </w:p>
        </w:tc>
        <w:tc>
          <w:tcPr>
            <w:tcW w:w="1276" w:type="dxa"/>
            <w:tcBorders>
              <w:top w:val="nil"/>
              <w:left w:val="nil"/>
              <w:bottom w:val="nil"/>
              <w:right w:val="nil"/>
            </w:tcBorders>
            <w:shd w:val="clear" w:color="auto" w:fill="auto"/>
            <w:vAlign w:val="center"/>
            <w:hideMark/>
          </w:tcPr>
          <w:p w14:paraId="4AC3EDB4" w14:textId="77777777" w:rsidR="00B9311E" w:rsidRPr="00BD77D8" w:rsidRDefault="00B9311E" w:rsidP="00B9311E">
            <w:pPr>
              <w:spacing w:after="0" w:line="240" w:lineRule="auto"/>
              <w:jc w:val="right"/>
              <w:rPr>
                <w:sz w:val="18"/>
                <w:szCs w:val="18"/>
              </w:rPr>
            </w:pPr>
            <w:r w:rsidRPr="00BD77D8">
              <w:rPr>
                <w:sz w:val="18"/>
                <w:szCs w:val="18"/>
              </w:rPr>
              <w:t xml:space="preserve">              7 </w:t>
            </w:r>
          </w:p>
        </w:tc>
        <w:tc>
          <w:tcPr>
            <w:tcW w:w="992" w:type="dxa"/>
            <w:tcBorders>
              <w:top w:val="nil"/>
              <w:left w:val="nil"/>
              <w:bottom w:val="nil"/>
              <w:right w:val="nil"/>
            </w:tcBorders>
            <w:shd w:val="clear" w:color="auto" w:fill="auto"/>
            <w:vAlign w:val="center"/>
            <w:hideMark/>
          </w:tcPr>
          <w:p w14:paraId="5982F286" w14:textId="77777777" w:rsidR="00B9311E" w:rsidRPr="00BD77D8" w:rsidRDefault="00B9311E" w:rsidP="00B9311E">
            <w:pPr>
              <w:spacing w:after="0" w:line="240" w:lineRule="auto"/>
              <w:jc w:val="right"/>
              <w:rPr>
                <w:sz w:val="18"/>
                <w:szCs w:val="18"/>
              </w:rPr>
            </w:pPr>
            <w:r w:rsidRPr="00BD77D8">
              <w:rPr>
                <w:sz w:val="18"/>
                <w:szCs w:val="18"/>
              </w:rPr>
              <w:t xml:space="preserve">            3 </w:t>
            </w:r>
          </w:p>
        </w:tc>
      </w:tr>
      <w:tr w:rsidR="00BD77D8" w:rsidRPr="00BD77D8" w14:paraId="2DB3EFD8" w14:textId="77777777" w:rsidTr="003057FB">
        <w:trPr>
          <w:trHeight w:val="271"/>
        </w:trPr>
        <w:tc>
          <w:tcPr>
            <w:tcW w:w="8080" w:type="dxa"/>
            <w:tcBorders>
              <w:top w:val="nil"/>
              <w:left w:val="nil"/>
              <w:bottom w:val="nil"/>
              <w:right w:val="nil"/>
            </w:tcBorders>
            <w:shd w:val="clear" w:color="auto" w:fill="auto"/>
            <w:vAlign w:val="center"/>
            <w:hideMark/>
          </w:tcPr>
          <w:p w14:paraId="5C275503" w14:textId="77777777" w:rsidR="00B9311E" w:rsidRPr="00BD77D8" w:rsidRDefault="00B9311E" w:rsidP="00B9311E">
            <w:pPr>
              <w:spacing w:after="0" w:line="240" w:lineRule="auto"/>
              <w:rPr>
                <w:sz w:val="18"/>
                <w:szCs w:val="18"/>
              </w:rPr>
            </w:pPr>
            <w:r w:rsidRPr="00BD77D8">
              <w:rPr>
                <w:sz w:val="18"/>
                <w:szCs w:val="18"/>
              </w:rPr>
              <w:t xml:space="preserve"> Service Concessions payable </w:t>
            </w:r>
          </w:p>
        </w:tc>
        <w:tc>
          <w:tcPr>
            <w:tcW w:w="1276" w:type="dxa"/>
            <w:tcBorders>
              <w:top w:val="nil"/>
              <w:left w:val="nil"/>
              <w:bottom w:val="nil"/>
              <w:right w:val="nil"/>
            </w:tcBorders>
            <w:shd w:val="clear" w:color="auto" w:fill="auto"/>
            <w:vAlign w:val="center"/>
            <w:hideMark/>
          </w:tcPr>
          <w:p w14:paraId="6BF541C8" w14:textId="77777777" w:rsidR="00B9311E" w:rsidRPr="00BD77D8" w:rsidRDefault="00B9311E" w:rsidP="00B9311E">
            <w:pPr>
              <w:spacing w:after="0" w:line="240" w:lineRule="auto"/>
              <w:jc w:val="right"/>
              <w:rPr>
                <w:sz w:val="18"/>
                <w:szCs w:val="18"/>
              </w:rPr>
            </w:pPr>
            <w:r w:rsidRPr="00BD77D8">
              <w:rPr>
                <w:sz w:val="18"/>
                <w:szCs w:val="18"/>
              </w:rPr>
              <w:t xml:space="preserve">    22,894 </w:t>
            </w:r>
          </w:p>
        </w:tc>
        <w:tc>
          <w:tcPr>
            <w:tcW w:w="992" w:type="dxa"/>
            <w:tcBorders>
              <w:top w:val="nil"/>
              <w:left w:val="nil"/>
              <w:bottom w:val="nil"/>
              <w:right w:val="nil"/>
            </w:tcBorders>
            <w:shd w:val="clear" w:color="auto" w:fill="auto"/>
            <w:vAlign w:val="center"/>
            <w:hideMark/>
          </w:tcPr>
          <w:p w14:paraId="3AE992DD" w14:textId="77777777" w:rsidR="00B9311E" w:rsidRPr="00BD77D8" w:rsidRDefault="00B9311E" w:rsidP="00B9311E">
            <w:pPr>
              <w:spacing w:after="0" w:line="240" w:lineRule="auto"/>
              <w:jc w:val="right"/>
              <w:rPr>
                <w:sz w:val="18"/>
                <w:szCs w:val="18"/>
              </w:rPr>
            </w:pPr>
            <w:r w:rsidRPr="00BD77D8">
              <w:rPr>
                <w:sz w:val="18"/>
                <w:szCs w:val="18"/>
              </w:rPr>
              <w:t xml:space="preserve"> 26,808 </w:t>
            </w:r>
          </w:p>
        </w:tc>
      </w:tr>
      <w:tr w:rsidR="00BD77D8" w:rsidRPr="00BD77D8" w14:paraId="5FDA84A8" w14:textId="77777777" w:rsidTr="003057FB">
        <w:trPr>
          <w:trHeight w:val="271"/>
        </w:trPr>
        <w:tc>
          <w:tcPr>
            <w:tcW w:w="8080" w:type="dxa"/>
            <w:tcBorders>
              <w:top w:val="nil"/>
              <w:left w:val="nil"/>
              <w:bottom w:val="nil"/>
              <w:right w:val="nil"/>
            </w:tcBorders>
            <w:shd w:val="clear" w:color="auto" w:fill="auto"/>
            <w:vAlign w:val="center"/>
            <w:hideMark/>
          </w:tcPr>
          <w:p w14:paraId="6B04F6DA" w14:textId="77777777" w:rsidR="00B9311E" w:rsidRPr="00BD77D8" w:rsidRDefault="00B9311E" w:rsidP="00B9311E">
            <w:pPr>
              <w:spacing w:after="0" w:line="240" w:lineRule="auto"/>
              <w:rPr>
                <w:sz w:val="18"/>
                <w:szCs w:val="18"/>
              </w:rPr>
            </w:pPr>
            <w:r w:rsidRPr="00BD77D8">
              <w:rPr>
                <w:sz w:val="18"/>
                <w:szCs w:val="18"/>
              </w:rPr>
              <w:t xml:space="preserve"> Deferred appropriation payable to Consolidated Fund </w:t>
            </w:r>
          </w:p>
        </w:tc>
        <w:tc>
          <w:tcPr>
            <w:tcW w:w="1276" w:type="dxa"/>
            <w:tcBorders>
              <w:top w:val="nil"/>
              <w:left w:val="nil"/>
              <w:bottom w:val="nil"/>
              <w:right w:val="nil"/>
            </w:tcBorders>
            <w:shd w:val="clear" w:color="auto" w:fill="auto"/>
            <w:vAlign w:val="center"/>
            <w:hideMark/>
          </w:tcPr>
          <w:p w14:paraId="387EEAAE" w14:textId="77777777" w:rsidR="00B9311E" w:rsidRPr="00BD77D8" w:rsidRDefault="00B9311E" w:rsidP="00B9311E">
            <w:pPr>
              <w:spacing w:after="0" w:line="240" w:lineRule="auto"/>
              <w:jc w:val="right"/>
              <w:rPr>
                <w:sz w:val="18"/>
                <w:szCs w:val="18"/>
              </w:rPr>
            </w:pPr>
            <w:r w:rsidRPr="00BD77D8">
              <w:rPr>
                <w:sz w:val="18"/>
                <w:szCs w:val="18"/>
              </w:rPr>
              <w:t xml:space="preserve">    34,592 </w:t>
            </w:r>
          </w:p>
        </w:tc>
        <w:tc>
          <w:tcPr>
            <w:tcW w:w="992" w:type="dxa"/>
            <w:tcBorders>
              <w:top w:val="nil"/>
              <w:left w:val="nil"/>
              <w:bottom w:val="nil"/>
              <w:right w:val="nil"/>
            </w:tcBorders>
            <w:shd w:val="clear" w:color="auto" w:fill="auto"/>
            <w:vAlign w:val="center"/>
            <w:hideMark/>
          </w:tcPr>
          <w:p w14:paraId="77FDD4D2" w14:textId="77777777" w:rsidR="00B9311E" w:rsidRPr="00BD77D8" w:rsidRDefault="00B9311E" w:rsidP="00B9311E">
            <w:pPr>
              <w:spacing w:after="0" w:line="240" w:lineRule="auto"/>
              <w:jc w:val="right"/>
              <w:rPr>
                <w:sz w:val="18"/>
                <w:szCs w:val="18"/>
              </w:rPr>
            </w:pPr>
            <w:r w:rsidRPr="00BD77D8">
              <w:rPr>
                <w:sz w:val="18"/>
                <w:szCs w:val="18"/>
              </w:rPr>
              <w:t xml:space="preserve"> 20,921 </w:t>
            </w:r>
          </w:p>
        </w:tc>
      </w:tr>
      <w:tr w:rsidR="00BD77D8" w:rsidRPr="00BD77D8" w14:paraId="3B0656C9" w14:textId="77777777" w:rsidTr="003057FB">
        <w:trPr>
          <w:trHeight w:val="271"/>
        </w:trPr>
        <w:tc>
          <w:tcPr>
            <w:tcW w:w="8080" w:type="dxa"/>
            <w:tcBorders>
              <w:top w:val="nil"/>
              <w:left w:val="nil"/>
              <w:bottom w:val="nil"/>
              <w:right w:val="nil"/>
            </w:tcBorders>
            <w:shd w:val="clear" w:color="auto" w:fill="auto"/>
            <w:vAlign w:val="center"/>
            <w:hideMark/>
          </w:tcPr>
          <w:p w14:paraId="5D201159" w14:textId="77777777" w:rsidR="00B9311E" w:rsidRPr="00BD77D8" w:rsidRDefault="00B9311E" w:rsidP="00B9311E">
            <w:pPr>
              <w:spacing w:after="0" w:line="240" w:lineRule="auto"/>
              <w:rPr>
                <w:sz w:val="18"/>
                <w:szCs w:val="18"/>
              </w:rPr>
            </w:pPr>
            <w:r w:rsidRPr="00BD77D8">
              <w:rPr>
                <w:sz w:val="18"/>
                <w:szCs w:val="18"/>
              </w:rPr>
              <w:t xml:space="preserve"> Other </w:t>
            </w:r>
          </w:p>
        </w:tc>
        <w:tc>
          <w:tcPr>
            <w:tcW w:w="1276" w:type="dxa"/>
            <w:tcBorders>
              <w:top w:val="nil"/>
              <w:left w:val="nil"/>
              <w:bottom w:val="nil"/>
              <w:right w:val="nil"/>
            </w:tcBorders>
            <w:shd w:val="clear" w:color="auto" w:fill="auto"/>
            <w:vAlign w:val="center"/>
            <w:hideMark/>
          </w:tcPr>
          <w:p w14:paraId="324667E3" w14:textId="77777777" w:rsidR="00B9311E" w:rsidRPr="00BD77D8" w:rsidRDefault="00B9311E" w:rsidP="00B9311E">
            <w:pPr>
              <w:spacing w:after="0" w:line="240" w:lineRule="auto"/>
              <w:jc w:val="right"/>
              <w:rPr>
                <w:sz w:val="18"/>
                <w:szCs w:val="18"/>
              </w:rPr>
            </w:pPr>
            <w:r w:rsidRPr="00BD77D8">
              <w:rPr>
                <w:sz w:val="18"/>
                <w:szCs w:val="18"/>
              </w:rPr>
              <w:t xml:space="preserve">               - </w:t>
            </w:r>
          </w:p>
        </w:tc>
        <w:tc>
          <w:tcPr>
            <w:tcW w:w="992" w:type="dxa"/>
            <w:tcBorders>
              <w:top w:val="nil"/>
              <w:left w:val="nil"/>
              <w:bottom w:val="nil"/>
              <w:right w:val="nil"/>
            </w:tcBorders>
            <w:shd w:val="clear" w:color="auto" w:fill="auto"/>
            <w:vAlign w:val="center"/>
            <w:hideMark/>
          </w:tcPr>
          <w:p w14:paraId="520C4029" w14:textId="77777777" w:rsidR="00B9311E" w:rsidRPr="00BD77D8" w:rsidRDefault="00B9311E" w:rsidP="00B9311E">
            <w:pPr>
              <w:spacing w:after="0" w:line="240" w:lineRule="auto"/>
              <w:jc w:val="right"/>
              <w:rPr>
                <w:sz w:val="18"/>
                <w:szCs w:val="18"/>
              </w:rPr>
            </w:pPr>
            <w:r w:rsidRPr="00BD77D8">
              <w:rPr>
                <w:sz w:val="18"/>
                <w:szCs w:val="18"/>
              </w:rPr>
              <w:t xml:space="preserve">            1 </w:t>
            </w:r>
          </w:p>
        </w:tc>
      </w:tr>
      <w:tr w:rsidR="00BD77D8" w:rsidRPr="00BD77D8" w14:paraId="78DEF75E" w14:textId="77777777" w:rsidTr="003057FB">
        <w:trPr>
          <w:trHeight w:val="271"/>
        </w:trPr>
        <w:tc>
          <w:tcPr>
            <w:tcW w:w="8080" w:type="dxa"/>
            <w:tcBorders>
              <w:top w:val="nil"/>
              <w:left w:val="nil"/>
              <w:bottom w:val="nil"/>
              <w:right w:val="nil"/>
            </w:tcBorders>
            <w:shd w:val="clear" w:color="auto" w:fill="auto"/>
            <w:vAlign w:val="center"/>
            <w:hideMark/>
          </w:tcPr>
          <w:p w14:paraId="7D3C3A74" w14:textId="77777777" w:rsidR="00B9311E" w:rsidRPr="00BD77D8" w:rsidRDefault="00B9311E" w:rsidP="00B9311E">
            <w:pPr>
              <w:spacing w:after="0" w:line="240" w:lineRule="auto"/>
              <w:rPr>
                <w:b/>
                <w:bCs/>
                <w:sz w:val="18"/>
                <w:szCs w:val="18"/>
              </w:rPr>
            </w:pPr>
            <w:r w:rsidRPr="00BD77D8">
              <w:rPr>
                <w:b/>
                <w:bCs/>
                <w:sz w:val="18"/>
                <w:szCs w:val="18"/>
              </w:rPr>
              <w:t xml:space="preserve"> Total </w:t>
            </w:r>
          </w:p>
        </w:tc>
        <w:tc>
          <w:tcPr>
            <w:tcW w:w="1276" w:type="dxa"/>
            <w:tcBorders>
              <w:top w:val="single" w:sz="4" w:space="0" w:color="auto"/>
              <w:left w:val="nil"/>
              <w:bottom w:val="single" w:sz="4" w:space="0" w:color="auto"/>
              <w:right w:val="nil"/>
            </w:tcBorders>
            <w:shd w:val="clear" w:color="auto" w:fill="auto"/>
            <w:vAlign w:val="center"/>
            <w:hideMark/>
          </w:tcPr>
          <w:p w14:paraId="0A9B6164" w14:textId="77777777" w:rsidR="00B9311E" w:rsidRPr="00BD77D8" w:rsidRDefault="00B9311E" w:rsidP="00B9311E">
            <w:pPr>
              <w:spacing w:after="0" w:line="240" w:lineRule="auto"/>
              <w:jc w:val="right"/>
              <w:rPr>
                <w:b/>
                <w:bCs/>
                <w:sz w:val="18"/>
                <w:szCs w:val="18"/>
              </w:rPr>
            </w:pPr>
            <w:r w:rsidRPr="00BD77D8">
              <w:rPr>
                <w:b/>
                <w:bCs/>
                <w:sz w:val="18"/>
                <w:szCs w:val="18"/>
              </w:rPr>
              <w:t xml:space="preserve">    57,493 </w:t>
            </w:r>
          </w:p>
        </w:tc>
        <w:tc>
          <w:tcPr>
            <w:tcW w:w="992" w:type="dxa"/>
            <w:tcBorders>
              <w:top w:val="single" w:sz="4" w:space="0" w:color="auto"/>
              <w:left w:val="nil"/>
              <w:bottom w:val="single" w:sz="4" w:space="0" w:color="auto"/>
              <w:right w:val="nil"/>
            </w:tcBorders>
            <w:shd w:val="clear" w:color="auto" w:fill="auto"/>
            <w:vAlign w:val="center"/>
            <w:hideMark/>
          </w:tcPr>
          <w:p w14:paraId="05F3E684" w14:textId="77777777" w:rsidR="00B9311E" w:rsidRPr="00BD77D8" w:rsidRDefault="00B9311E" w:rsidP="00B9311E">
            <w:pPr>
              <w:spacing w:after="0" w:line="240" w:lineRule="auto"/>
              <w:jc w:val="right"/>
              <w:rPr>
                <w:b/>
                <w:bCs/>
                <w:sz w:val="18"/>
                <w:szCs w:val="18"/>
              </w:rPr>
            </w:pPr>
            <w:r w:rsidRPr="00BD77D8">
              <w:rPr>
                <w:b/>
                <w:bCs/>
                <w:sz w:val="18"/>
                <w:szCs w:val="18"/>
              </w:rPr>
              <w:t xml:space="preserve"> 47,733 </w:t>
            </w:r>
          </w:p>
        </w:tc>
      </w:tr>
    </w:tbl>
    <w:p w14:paraId="44BBB9C1" w14:textId="77777777" w:rsidR="00B9311E" w:rsidRPr="00BD77D8" w:rsidRDefault="00B9311E" w:rsidP="00293C43">
      <w:pPr>
        <w:spacing w:before="480"/>
        <w:rPr>
          <w:rFonts w:ascii="Calibri Light" w:eastAsia="Arial" w:hAnsi="Calibri Light" w:cs="Times New Roman"/>
          <w:b/>
          <w:bCs/>
          <w:sz w:val="22"/>
          <w:szCs w:val="22"/>
          <w:lang w:eastAsia="en-US"/>
        </w:rPr>
      </w:pPr>
      <w:bookmarkStart w:id="381" w:name="_Toc111494835"/>
      <w:bookmarkStart w:id="382" w:name="_Toc111540721"/>
      <w:bookmarkStart w:id="383" w:name="_Toc111559272"/>
      <w:bookmarkStart w:id="384" w:name="_Toc113196544"/>
      <w:bookmarkStart w:id="385" w:name="_Toc113196892"/>
      <w:bookmarkStart w:id="386" w:name="_Toc113262022"/>
      <w:bookmarkStart w:id="387" w:name="_Toc113349176"/>
      <w:bookmarkStart w:id="388" w:name="_Toc113358101"/>
      <w:r w:rsidRPr="00BD77D8">
        <w:rPr>
          <w:rFonts w:eastAsia="Arial"/>
          <w:b/>
          <w:bCs/>
          <w:sz w:val="22"/>
          <w:szCs w:val="22"/>
          <w:lang w:eastAsia="en-US"/>
        </w:rPr>
        <w:t>G1-9 Financial Instruments</w:t>
      </w:r>
      <w:bookmarkEnd w:id="381"/>
      <w:bookmarkEnd w:id="382"/>
      <w:bookmarkEnd w:id="383"/>
      <w:bookmarkEnd w:id="384"/>
      <w:bookmarkEnd w:id="385"/>
      <w:bookmarkEnd w:id="386"/>
      <w:bookmarkEnd w:id="387"/>
      <w:bookmarkEnd w:id="388"/>
    </w:p>
    <w:p w14:paraId="408FCB97" w14:textId="77777777" w:rsidR="00B9311E" w:rsidRPr="00BD77D8" w:rsidRDefault="00B9311E" w:rsidP="00293C43">
      <w:pPr>
        <w:spacing w:before="200" w:after="0" w:line="180" w:lineRule="atLeast"/>
        <w:ind w:right="289"/>
        <w:textAlignment w:val="baseline"/>
        <w:rPr>
          <w:rFonts w:eastAsia="Arial"/>
          <w:b/>
          <w:bCs/>
          <w:sz w:val="18"/>
          <w:szCs w:val="18"/>
          <w:lang w:eastAsia="en-US"/>
        </w:rPr>
      </w:pPr>
      <w:r w:rsidRPr="00BD77D8">
        <w:rPr>
          <w:rFonts w:eastAsia="Arial"/>
          <w:sz w:val="18"/>
          <w:szCs w:val="18"/>
          <w:lang w:eastAsia="en-US"/>
        </w:rPr>
        <w:t>The department does not consider that there are any material financial management risks associated with the above financial assets and liabilities.</w:t>
      </w:r>
    </w:p>
    <w:p w14:paraId="0BCF1D9D" w14:textId="77777777" w:rsidR="00B9311E" w:rsidRPr="00BD77D8" w:rsidRDefault="00B9311E" w:rsidP="00293C43">
      <w:pPr>
        <w:spacing w:before="200" w:after="0" w:line="205" w:lineRule="exact"/>
        <w:textAlignment w:val="baseline"/>
        <w:rPr>
          <w:rFonts w:eastAsia="PMingLiU"/>
          <w:sz w:val="18"/>
          <w:szCs w:val="22"/>
          <w:lang w:val="en-US" w:eastAsia="en-US"/>
        </w:rPr>
      </w:pPr>
      <w:r w:rsidRPr="00BD77D8">
        <w:rPr>
          <w:rFonts w:eastAsia="Arial"/>
          <w:sz w:val="18"/>
          <w:szCs w:val="18"/>
          <w:lang w:eastAsia="en-US"/>
        </w:rPr>
        <w:t>The department has the following categories of financial assets and financial liabilities</w:t>
      </w:r>
    </w:p>
    <w:tbl>
      <w:tblPr>
        <w:tblW w:w="10348" w:type="dxa"/>
        <w:tblLook w:val="04A0" w:firstRow="1" w:lastRow="0" w:firstColumn="1" w:lastColumn="0" w:noHBand="0" w:noVBand="1"/>
      </w:tblPr>
      <w:tblGrid>
        <w:gridCol w:w="6670"/>
        <w:gridCol w:w="1410"/>
        <w:gridCol w:w="1395"/>
        <w:gridCol w:w="873"/>
      </w:tblGrid>
      <w:tr w:rsidR="00BD77D8" w:rsidRPr="00BD77D8" w14:paraId="2D836494" w14:textId="77777777" w:rsidTr="003057FB">
        <w:trPr>
          <w:trHeight w:val="273"/>
        </w:trPr>
        <w:tc>
          <w:tcPr>
            <w:tcW w:w="0" w:type="auto"/>
            <w:tcBorders>
              <w:top w:val="nil"/>
              <w:left w:val="nil"/>
              <w:bottom w:val="nil"/>
              <w:right w:val="nil"/>
            </w:tcBorders>
            <w:shd w:val="clear" w:color="auto" w:fill="auto"/>
            <w:vAlign w:val="center"/>
            <w:hideMark/>
          </w:tcPr>
          <w:p w14:paraId="23AFC144" w14:textId="77777777" w:rsidR="00B9311E" w:rsidRPr="00BD77D8" w:rsidRDefault="00B9311E" w:rsidP="00B9311E">
            <w:pPr>
              <w:spacing w:after="0" w:line="240" w:lineRule="auto"/>
              <w:rPr>
                <w:rFonts w:ascii="Times New Roman" w:hAnsi="Times New Roman" w:cs="Times New Roman"/>
                <w:sz w:val="24"/>
                <w:szCs w:val="24"/>
              </w:rPr>
            </w:pPr>
          </w:p>
        </w:tc>
        <w:tc>
          <w:tcPr>
            <w:tcW w:w="1410" w:type="dxa"/>
            <w:tcBorders>
              <w:top w:val="nil"/>
              <w:left w:val="nil"/>
              <w:bottom w:val="nil"/>
              <w:right w:val="nil"/>
            </w:tcBorders>
            <w:shd w:val="clear" w:color="auto" w:fill="auto"/>
            <w:vAlign w:val="center"/>
            <w:hideMark/>
          </w:tcPr>
          <w:p w14:paraId="28960E25" w14:textId="77777777" w:rsidR="00B9311E" w:rsidRPr="00BD77D8" w:rsidRDefault="00B9311E" w:rsidP="00B9311E">
            <w:pPr>
              <w:spacing w:after="0" w:line="240" w:lineRule="auto"/>
              <w:rPr>
                <w:rFonts w:ascii="Times New Roman" w:hAnsi="Times New Roman" w:cs="Times New Roman"/>
                <w:sz w:val="20"/>
                <w:szCs w:val="20"/>
              </w:rPr>
            </w:pPr>
          </w:p>
        </w:tc>
        <w:tc>
          <w:tcPr>
            <w:tcW w:w="1395" w:type="dxa"/>
            <w:tcBorders>
              <w:top w:val="nil"/>
              <w:left w:val="nil"/>
              <w:bottom w:val="nil"/>
              <w:right w:val="nil"/>
            </w:tcBorders>
            <w:shd w:val="clear" w:color="auto" w:fill="auto"/>
            <w:noWrap/>
            <w:vAlign w:val="bottom"/>
            <w:hideMark/>
          </w:tcPr>
          <w:p w14:paraId="1FA95D03" w14:textId="77777777" w:rsidR="00B9311E" w:rsidRPr="00BD77D8" w:rsidRDefault="00B9311E" w:rsidP="00B9311E">
            <w:pPr>
              <w:spacing w:after="0" w:line="240" w:lineRule="auto"/>
              <w:jc w:val="right"/>
              <w:rPr>
                <w:b/>
                <w:bCs/>
                <w:sz w:val="18"/>
                <w:szCs w:val="18"/>
              </w:rPr>
            </w:pPr>
            <w:r w:rsidRPr="00BD77D8">
              <w:rPr>
                <w:b/>
                <w:bCs/>
                <w:sz w:val="18"/>
                <w:szCs w:val="18"/>
              </w:rPr>
              <w:t>2022</w:t>
            </w:r>
          </w:p>
        </w:tc>
        <w:tc>
          <w:tcPr>
            <w:tcW w:w="873" w:type="dxa"/>
            <w:tcBorders>
              <w:top w:val="nil"/>
              <w:left w:val="nil"/>
              <w:bottom w:val="nil"/>
              <w:right w:val="nil"/>
            </w:tcBorders>
            <w:shd w:val="clear" w:color="auto" w:fill="auto"/>
            <w:noWrap/>
            <w:vAlign w:val="bottom"/>
            <w:hideMark/>
          </w:tcPr>
          <w:p w14:paraId="3F61FF13" w14:textId="77777777" w:rsidR="00B9311E" w:rsidRPr="00BD77D8" w:rsidRDefault="00B9311E" w:rsidP="00B9311E">
            <w:pPr>
              <w:spacing w:after="0" w:line="240" w:lineRule="auto"/>
              <w:jc w:val="right"/>
              <w:rPr>
                <w:b/>
                <w:bCs/>
                <w:sz w:val="18"/>
                <w:szCs w:val="18"/>
              </w:rPr>
            </w:pPr>
            <w:r w:rsidRPr="00BD77D8">
              <w:rPr>
                <w:b/>
                <w:bCs/>
                <w:sz w:val="18"/>
                <w:szCs w:val="18"/>
              </w:rPr>
              <w:t>2021</w:t>
            </w:r>
          </w:p>
        </w:tc>
      </w:tr>
      <w:tr w:rsidR="00BD77D8" w:rsidRPr="00BD77D8" w14:paraId="7725A8FD" w14:textId="77777777" w:rsidTr="003057FB">
        <w:trPr>
          <w:trHeight w:val="273"/>
        </w:trPr>
        <w:tc>
          <w:tcPr>
            <w:tcW w:w="0" w:type="auto"/>
            <w:tcBorders>
              <w:top w:val="nil"/>
              <w:left w:val="nil"/>
              <w:bottom w:val="nil"/>
              <w:right w:val="nil"/>
            </w:tcBorders>
            <w:shd w:val="clear" w:color="auto" w:fill="auto"/>
            <w:vAlign w:val="center"/>
            <w:hideMark/>
          </w:tcPr>
          <w:p w14:paraId="24B65217" w14:textId="77777777" w:rsidR="00B9311E" w:rsidRPr="00BD77D8" w:rsidRDefault="00B9311E" w:rsidP="00B9311E">
            <w:pPr>
              <w:spacing w:after="0" w:line="240" w:lineRule="auto"/>
              <w:jc w:val="right"/>
              <w:rPr>
                <w:sz w:val="18"/>
                <w:szCs w:val="18"/>
              </w:rPr>
            </w:pPr>
          </w:p>
        </w:tc>
        <w:tc>
          <w:tcPr>
            <w:tcW w:w="1410" w:type="dxa"/>
            <w:tcBorders>
              <w:top w:val="nil"/>
              <w:left w:val="nil"/>
              <w:bottom w:val="nil"/>
              <w:right w:val="nil"/>
            </w:tcBorders>
            <w:shd w:val="clear" w:color="auto" w:fill="auto"/>
            <w:vAlign w:val="center"/>
            <w:hideMark/>
          </w:tcPr>
          <w:p w14:paraId="01780B69" w14:textId="77777777" w:rsidR="00B9311E" w:rsidRPr="00BD77D8" w:rsidRDefault="00B9311E" w:rsidP="00B9311E">
            <w:pPr>
              <w:spacing w:after="0" w:line="240" w:lineRule="auto"/>
              <w:jc w:val="center"/>
              <w:rPr>
                <w:b/>
                <w:bCs/>
                <w:sz w:val="18"/>
                <w:szCs w:val="18"/>
              </w:rPr>
            </w:pPr>
            <w:r w:rsidRPr="00BD77D8">
              <w:rPr>
                <w:b/>
                <w:bCs/>
                <w:sz w:val="18"/>
                <w:szCs w:val="18"/>
              </w:rPr>
              <w:t xml:space="preserve"> Note </w:t>
            </w:r>
          </w:p>
        </w:tc>
        <w:tc>
          <w:tcPr>
            <w:tcW w:w="1395" w:type="dxa"/>
            <w:tcBorders>
              <w:top w:val="nil"/>
              <w:left w:val="nil"/>
              <w:bottom w:val="single" w:sz="4" w:space="0" w:color="auto"/>
              <w:right w:val="nil"/>
            </w:tcBorders>
            <w:shd w:val="clear" w:color="auto" w:fill="auto"/>
            <w:vAlign w:val="center"/>
            <w:hideMark/>
          </w:tcPr>
          <w:p w14:paraId="755A6075"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c>
          <w:tcPr>
            <w:tcW w:w="873" w:type="dxa"/>
            <w:tcBorders>
              <w:top w:val="nil"/>
              <w:left w:val="nil"/>
              <w:bottom w:val="single" w:sz="4" w:space="0" w:color="auto"/>
              <w:right w:val="nil"/>
            </w:tcBorders>
            <w:shd w:val="clear" w:color="auto" w:fill="auto"/>
            <w:vAlign w:val="center"/>
            <w:hideMark/>
          </w:tcPr>
          <w:p w14:paraId="273353E1" w14:textId="77777777" w:rsidR="00B9311E" w:rsidRPr="00BD77D8" w:rsidRDefault="00B9311E" w:rsidP="00B9311E">
            <w:pPr>
              <w:spacing w:after="0" w:line="240" w:lineRule="auto"/>
              <w:jc w:val="right"/>
              <w:rPr>
                <w:b/>
                <w:bCs/>
                <w:sz w:val="18"/>
                <w:szCs w:val="18"/>
              </w:rPr>
            </w:pPr>
            <w:r w:rsidRPr="00BD77D8">
              <w:rPr>
                <w:b/>
                <w:bCs/>
                <w:sz w:val="18"/>
                <w:szCs w:val="18"/>
              </w:rPr>
              <w:t xml:space="preserve"> $'000 </w:t>
            </w:r>
          </w:p>
        </w:tc>
      </w:tr>
      <w:tr w:rsidR="00BD77D8" w:rsidRPr="00BD77D8" w14:paraId="093533C8" w14:textId="77777777" w:rsidTr="003057FB">
        <w:trPr>
          <w:trHeight w:val="273"/>
        </w:trPr>
        <w:tc>
          <w:tcPr>
            <w:tcW w:w="0" w:type="auto"/>
            <w:tcBorders>
              <w:top w:val="nil"/>
              <w:left w:val="nil"/>
              <w:bottom w:val="nil"/>
              <w:right w:val="nil"/>
            </w:tcBorders>
            <w:shd w:val="clear" w:color="auto" w:fill="auto"/>
            <w:vAlign w:val="center"/>
            <w:hideMark/>
          </w:tcPr>
          <w:p w14:paraId="7AD0F256" w14:textId="77777777" w:rsidR="00B9311E" w:rsidRPr="00BD77D8" w:rsidRDefault="00B9311E" w:rsidP="00B9311E">
            <w:pPr>
              <w:spacing w:after="0" w:line="240" w:lineRule="auto"/>
              <w:rPr>
                <w:b/>
                <w:bCs/>
                <w:sz w:val="18"/>
                <w:szCs w:val="18"/>
              </w:rPr>
            </w:pPr>
            <w:r w:rsidRPr="00BD77D8">
              <w:rPr>
                <w:b/>
                <w:bCs/>
                <w:sz w:val="18"/>
                <w:szCs w:val="18"/>
              </w:rPr>
              <w:t xml:space="preserve"> Financial Assets </w:t>
            </w:r>
          </w:p>
        </w:tc>
        <w:tc>
          <w:tcPr>
            <w:tcW w:w="1410" w:type="dxa"/>
            <w:tcBorders>
              <w:top w:val="nil"/>
              <w:left w:val="nil"/>
              <w:bottom w:val="nil"/>
              <w:right w:val="nil"/>
            </w:tcBorders>
            <w:shd w:val="clear" w:color="auto" w:fill="auto"/>
            <w:vAlign w:val="center"/>
            <w:hideMark/>
          </w:tcPr>
          <w:p w14:paraId="3CEDB3F8" w14:textId="77777777" w:rsidR="00B9311E" w:rsidRPr="00BD77D8" w:rsidRDefault="00B9311E" w:rsidP="00B9311E">
            <w:pPr>
              <w:spacing w:after="0" w:line="240" w:lineRule="auto"/>
              <w:rPr>
                <w:b/>
                <w:bCs/>
                <w:sz w:val="18"/>
                <w:szCs w:val="18"/>
              </w:rPr>
            </w:pPr>
          </w:p>
        </w:tc>
        <w:tc>
          <w:tcPr>
            <w:tcW w:w="1395" w:type="dxa"/>
            <w:tcBorders>
              <w:top w:val="nil"/>
              <w:left w:val="nil"/>
              <w:bottom w:val="nil"/>
              <w:right w:val="nil"/>
            </w:tcBorders>
            <w:shd w:val="clear" w:color="auto" w:fill="auto"/>
            <w:vAlign w:val="bottom"/>
            <w:hideMark/>
          </w:tcPr>
          <w:p w14:paraId="061E0C23"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873" w:type="dxa"/>
            <w:tcBorders>
              <w:top w:val="nil"/>
              <w:left w:val="nil"/>
              <w:bottom w:val="nil"/>
              <w:right w:val="nil"/>
            </w:tcBorders>
            <w:shd w:val="clear" w:color="auto" w:fill="auto"/>
            <w:vAlign w:val="bottom"/>
            <w:hideMark/>
          </w:tcPr>
          <w:p w14:paraId="49C4426D"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0F41A2C9" w14:textId="77777777" w:rsidTr="003057FB">
        <w:trPr>
          <w:trHeight w:val="273"/>
        </w:trPr>
        <w:tc>
          <w:tcPr>
            <w:tcW w:w="0" w:type="auto"/>
            <w:tcBorders>
              <w:top w:val="nil"/>
              <w:left w:val="nil"/>
              <w:bottom w:val="nil"/>
              <w:right w:val="nil"/>
            </w:tcBorders>
            <w:shd w:val="clear" w:color="auto" w:fill="auto"/>
            <w:vAlign w:val="center"/>
            <w:hideMark/>
          </w:tcPr>
          <w:p w14:paraId="59102D83" w14:textId="77777777" w:rsidR="00B9311E" w:rsidRPr="00BD77D8" w:rsidRDefault="00B9311E" w:rsidP="00B9311E">
            <w:pPr>
              <w:spacing w:after="0" w:line="240" w:lineRule="auto"/>
              <w:rPr>
                <w:sz w:val="18"/>
                <w:szCs w:val="18"/>
              </w:rPr>
            </w:pPr>
            <w:r w:rsidRPr="00BD77D8">
              <w:rPr>
                <w:sz w:val="18"/>
                <w:szCs w:val="18"/>
              </w:rPr>
              <w:t xml:space="preserve"> Cash and cash equivalents </w:t>
            </w:r>
          </w:p>
        </w:tc>
        <w:tc>
          <w:tcPr>
            <w:tcW w:w="1410" w:type="dxa"/>
            <w:tcBorders>
              <w:top w:val="nil"/>
              <w:left w:val="nil"/>
              <w:bottom w:val="nil"/>
              <w:right w:val="nil"/>
            </w:tcBorders>
            <w:shd w:val="clear" w:color="auto" w:fill="auto"/>
            <w:vAlign w:val="center"/>
            <w:hideMark/>
          </w:tcPr>
          <w:p w14:paraId="5CAEDAB9" w14:textId="77777777" w:rsidR="00B9311E" w:rsidRPr="00BD77D8" w:rsidRDefault="00B9311E" w:rsidP="00B9311E">
            <w:pPr>
              <w:spacing w:after="0" w:line="240" w:lineRule="auto"/>
              <w:rPr>
                <w:b/>
                <w:bCs/>
                <w:sz w:val="18"/>
                <w:szCs w:val="18"/>
              </w:rPr>
            </w:pPr>
          </w:p>
        </w:tc>
        <w:tc>
          <w:tcPr>
            <w:tcW w:w="1395" w:type="dxa"/>
            <w:tcBorders>
              <w:top w:val="nil"/>
              <w:left w:val="nil"/>
              <w:bottom w:val="nil"/>
              <w:right w:val="nil"/>
            </w:tcBorders>
            <w:shd w:val="clear" w:color="auto" w:fill="auto"/>
            <w:vAlign w:val="bottom"/>
            <w:hideMark/>
          </w:tcPr>
          <w:p w14:paraId="3B09C6C5" w14:textId="77777777" w:rsidR="00B9311E" w:rsidRPr="00BD77D8" w:rsidRDefault="00B9311E" w:rsidP="00B9311E">
            <w:pPr>
              <w:spacing w:after="0" w:line="240" w:lineRule="auto"/>
              <w:jc w:val="right"/>
              <w:rPr>
                <w:sz w:val="18"/>
                <w:szCs w:val="18"/>
              </w:rPr>
            </w:pPr>
            <w:r w:rsidRPr="00BD77D8">
              <w:rPr>
                <w:sz w:val="18"/>
                <w:szCs w:val="18"/>
              </w:rPr>
              <w:t xml:space="preserve">     54,365 </w:t>
            </w:r>
          </w:p>
        </w:tc>
        <w:tc>
          <w:tcPr>
            <w:tcW w:w="873" w:type="dxa"/>
            <w:tcBorders>
              <w:top w:val="nil"/>
              <w:left w:val="nil"/>
              <w:bottom w:val="nil"/>
              <w:right w:val="nil"/>
            </w:tcBorders>
            <w:shd w:val="clear" w:color="auto" w:fill="auto"/>
            <w:vAlign w:val="bottom"/>
            <w:hideMark/>
          </w:tcPr>
          <w:p w14:paraId="011B4C10" w14:textId="77777777" w:rsidR="00B9311E" w:rsidRPr="00BD77D8" w:rsidRDefault="00B9311E" w:rsidP="00B9311E">
            <w:pPr>
              <w:spacing w:after="0" w:line="240" w:lineRule="auto"/>
              <w:jc w:val="right"/>
              <w:rPr>
                <w:sz w:val="18"/>
                <w:szCs w:val="18"/>
              </w:rPr>
            </w:pPr>
            <w:r w:rsidRPr="00BD77D8">
              <w:rPr>
                <w:sz w:val="18"/>
                <w:szCs w:val="18"/>
              </w:rPr>
              <w:t xml:space="preserve"> 44,315 </w:t>
            </w:r>
          </w:p>
        </w:tc>
      </w:tr>
      <w:tr w:rsidR="00BD77D8" w:rsidRPr="00BD77D8" w14:paraId="691376CC" w14:textId="77777777" w:rsidTr="003057FB">
        <w:trPr>
          <w:trHeight w:val="273"/>
        </w:trPr>
        <w:tc>
          <w:tcPr>
            <w:tcW w:w="0" w:type="auto"/>
            <w:tcBorders>
              <w:top w:val="nil"/>
              <w:left w:val="nil"/>
              <w:bottom w:val="nil"/>
              <w:right w:val="nil"/>
            </w:tcBorders>
            <w:shd w:val="clear" w:color="auto" w:fill="auto"/>
            <w:vAlign w:val="center"/>
            <w:hideMark/>
          </w:tcPr>
          <w:p w14:paraId="640EA97F" w14:textId="77777777" w:rsidR="00B9311E" w:rsidRPr="00BD77D8" w:rsidRDefault="00B9311E" w:rsidP="00B9311E">
            <w:pPr>
              <w:spacing w:after="0" w:line="240" w:lineRule="auto"/>
              <w:rPr>
                <w:sz w:val="18"/>
                <w:szCs w:val="18"/>
              </w:rPr>
            </w:pPr>
            <w:r w:rsidRPr="00BD77D8">
              <w:rPr>
                <w:sz w:val="18"/>
                <w:szCs w:val="18"/>
              </w:rPr>
              <w:t xml:space="preserve"> Financial assets at amortised cost: </w:t>
            </w:r>
          </w:p>
        </w:tc>
        <w:tc>
          <w:tcPr>
            <w:tcW w:w="1410" w:type="dxa"/>
            <w:tcBorders>
              <w:top w:val="nil"/>
              <w:left w:val="nil"/>
              <w:bottom w:val="nil"/>
              <w:right w:val="nil"/>
            </w:tcBorders>
            <w:shd w:val="clear" w:color="auto" w:fill="auto"/>
            <w:vAlign w:val="center"/>
            <w:hideMark/>
          </w:tcPr>
          <w:p w14:paraId="2189667C" w14:textId="77777777" w:rsidR="00B9311E" w:rsidRPr="00BD77D8" w:rsidRDefault="00B9311E" w:rsidP="00B9311E">
            <w:pPr>
              <w:spacing w:after="0" w:line="240" w:lineRule="auto"/>
              <w:rPr>
                <w:b/>
                <w:bCs/>
                <w:sz w:val="18"/>
                <w:szCs w:val="18"/>
              </w:rPr>
            </w:pPr>
          </w:p>
        </w:tc>
        <w:tc>
          <w:tcPr>
            <w:tcW w:w="1395" w:type="dxa"/>
            <w:tcBorders>
              <w:top w:val="nil"/>
              <w:left w:val="nil"/>
              <w:bottom w:val="nil"/>
              <w:right w:val="nil"/>
            </w:tcBorders>
            <w:shd w:val="clear" w:color="auto" w:fill="auto"/>
            <w:vAlign w:val="bottom"/>
            <w:hideMark/>
          </w:tcPr>
          <w:p w14:paraId="2F2D7013"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873" w:type="dxa"/>
            <w:tcBorders>
              <w:top w:val="nil"/>
              <w:left w:val="nil"/>
              <w:bottom w:val="nil"/>
              <w:right w:val="nil"/>
            </w:tcBorders>
            <w:shd w:val="clear" w:color="auto" w:fill="auto"/>
            <w:vAlign w:val="bottom"/>
            <w:hideMark/>
          </w:tcPr>
          <w:p w14:paraId="7D31583F"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787EA5E9" w14:textId="77777777" w:rsidTr="003057FB">
        <w:trPr>
          <w:trHeight w:val="273"/>
        </w:trPr>
        <w:tc>
          <w:tcPr>
            <w:tcW w:w="0" w:type="auto"/>
            <w:tcBorders>
              <w:top w:val="nil"/>
              <w:left w:val="nil"/>
              <w:bottom w:val="nil"/>
              <w:right w:val="nil"/>
            </w:tcBorders>
            <w:shd w:val="clear" w:color="auto" w:fill="auto"/>
            <w:vAlign w:val="center"/>
            <w:hideMark/>
          </w:tcPr>
          <w:p w14:paraId="2AC17183" w14:textId="77777777" w:rsidR="00B9311E" w:rsidRPr="00BD77D8" w:rsidRDefault="00B9311E" w:rsidP="00B9311E">
            <w:pPr>
              <w:spacing w:after="0" w:line="240" w:lineRule="auto"/>
              <w:rPr>
                <w:sz w:val="18"/>
                <w:szCs w:val="18"/>
              </w:rPr>
            </w:pPr>
            <w:r w:rsidRPr="00BD77D8">
              <w:rPr>
                <w:sz w:val="18"/>
                <w:szCs w:val="18"/>
              </w:rPr>
              <w:t xml:space="preserve"> Current Receivables </w:t>
            </w:r>
          </w:p>
        </w:tc>
        <w:tc>
          <w:tcPr>
            <w:tcW w:w="1410" w:type="dxa"/>
            <w:tcBorders>
              <w:top w:val="nil"/>
              <w:left w:val="nil"/>
              <w:bottom w:val="nil"/>
              <w:right w:val="nil"/>
            </w:tcBorders>
            <w:shd w:val="clear" w:color="auto" w:fill="auto"/>
            <w:vAlign w:val="center"/>
            <w:hideMark/>
          </w:tcPr>
          <w:p w14:paraId="5A2C7CAA" w14:textId="77777777" w:rsidR="00B9311E" w:rsidRPr="00BD77D8" w:rsidRDefault="00B9311E" w:rsidP="00B9311E">
            <w:pPr>
              <w:spacing w:after="0" w:line="240" w:lineRule="auto"/>
              <w:jc w:val="center"/>
              <w:rPr>
                <w:b/>
                <w:bCs/>
                <w:sz w:val="18"/>
                <w:szCs w:val="18"/>
              </w:rPr>
            </w:pPr>
            <w:r w:rsidRPr="00BD77D8">
              <w:rPr>
                <w:b/>
                <w:bCs/>
                <w:sz w:val="18"/>
                <w:szCs w:val="18"/>
              </w:rPr>
              <w:t xml:space="preserve"> G1-5 </w:t>
            </w:r>
          </w:p>
        </w:tc>
        <w:tc>
          <w:tcPr>
            <w:tcW w:w="1395" w:type="dxa"/>
            <w:tcBorders>
              <w:top w:val="nil"/>
              <w:left w:val="nil"/>
              <w:bottom w:val="nil"/>
              <w:right w:val="nil"/>
            </w:tcBorders>
            <w:shd w:val="clear" w:color="auto" w:fill="auto"/>
            <w:vAlign w:val="bottom"/>
            <w:hideMark/>
          </w:tcPr>
          <w:p w14:paraId="77B769EF" w14:textId="77777777" w:rsidR="00B9311E" w:rsidRPr="00BD77D8" w:rsidRDefault="00B9311E" w:rsidP="00B9311E">
            <w:pPr>
              <w:spacing w:after="0" w:line="240" w:lineRule="auto"/>
              <w:jc w:val="right"/>
              <w:rPr>
                <w:sz w:val="18"/>
                <w:szCs w:val="18"/>
              </w:rPr>
            </w:pPr>
            <w:r w:rsidRPr="00BD77D8">
              <w:rPr>
                <w:sz w:val="18"/>
                <w:szCs w:val="18"/>
              </w:rPr>
              <w:t xml:space="preserve">        1,771 </w:t>
            </w:r>
          </w:p>
        </w:tc>
        <w:tc>
          <w:tcPr>
            <w:tcW w:w="873" w:type="dxa"/>
            <w:tcBorders>
              <w:top w:val="nil"/>
              <w:left w:val="nil"/>
              <w:bottom w:val="nil"/>
              <w:right w:val="nil"/>
            </w:tcBorders>
            <w:shd w:val="clear" w:color="auto" w:fill="auto"/>
            <w:vAlign w:val="bottom"/>
            <w:hideMark/>
          </w:tcPr>
          <w:p w14:paraId="5267F068" w14:textId="77777777" w:rsidR="00B9311E" w:rsidRPr="00BD77D8" w:rsidRDefault="00B9311E" w:rsidP="00B9311E">
            <w:pPr>
              <w:spacing w:after="0" w:line="240" w:lineRule="auto"/>
              <w:jc w:val="right"/>
              <w:rPr>
                <w:sz w:val="18"/>
                <w:szCs w:val="18"/>
              </w:rPr>
            </w:pPr>
            <w:r w:rsidRPr="00BD77D8">
              <w:rPr>
                <w:sz w:val="18"/>
                <w:szCs w:val="18"/>
              </w:rPr>
              <w:t xml:space="preserve">    1,959 </w:t>
            </w:r>
          </w:p>
        </w:tc>
      </w:tr>
      <w:tr w:rsidR="00BD77D8" w:rsidRPr="00BD77D8" w14:paraId="0D0713C1" w14:textId="77777777" w:rsidTr="003057FB">
        <w:trPr>
          <w:trHeight w:val="273"/>
        </w:trPr>
        <w:tc>
          <w:tcPr>
            <w:tcW w:w="0" w:type="auto"/>
            <w:tcBorders>
              <w:top w:val="nil"/>
              <w:left w:val="nil"/>
              <w:bottom w:val="nil"/>
              <w:right w:val="nil"/>
            </w:tcBorders>
            <w:shd w:val="clear" w:color="auto" w:fill="auto"/>
            <w:vAlign w:val="center"/>
            <w:hideMark/>
          </w:tcPr>
          <w:p w14:paraId="2DAFDD92" w14:textId="77777777" w:rsidR="00B9311E" w:rsidRPr="00BD77D8" w:rsidRDefault="00B9311E" w:rsidP="00B9311E">
            <w:pPr>
              <w:spacing w:after="0" w:line="240" w:lineRule="auto"/>
              <w:rPr>
                <w:b/>
                <w:bCs/>
                <w:sz w:val="18"/>
                <w:szCs w:val="18"/>
              </w:rPr>
            </w:pPr>
            <w:r w:rsidRPr="00BD77D8">
              <w:rPr>
                <w:b/>
                <w:bCs/>
                <w:sz w:val="18"/>
                <w:szCs w:val="18"/>
              </w:rPr>
              <w:t xml:space="preserve"> Total financial assets </w:t>
            </w:r>
          </w:p>
        </w:tc>
        <w:tc>
          <w:tcPr>
            <w:tcW w:w="1410" w:type="dxa"/>
            <w:tcBorders>
              <w:top w:val="nil"/>
              <w:left w:val="nil"/>
              <w:bottom w:val="nil"/>
              <w:right w:val="nil"/>
            </w:tcBorders>
            <w:shd w:val="clear" w:color="auto" w:fill="auto"/>
            <w:vAlign w:val="center"/>
            <w:hideMark/>
          </w:tcPr>
          <w:p w14:paraId="4ED402AE" w14:textId="77777777" w:rsidR="00B9311E" w:rsidRPr="00BD77D8" w:rsidRDefault="00B9311E" w:rsidP="00B9311E">
            <w:pPr>
              <w:spacing w:after="0" w:line="240" w:lineRule="auto"/>
              <w:rPr>
                <w:b/>
                <w:bCs/>
                <w:sz w:val="18"/>
                <w:szCs w:val="18"/>
              </w:rPr>
            </w:pPr>
          </w:p>
        </w:tc>
        <w:tc>
          <w:tcPr>
            <w:tcW w:w="1395" w:type="dxa"/>
            <w:tcBorders>
              <w:top w:val="single" w:sz="4" w:space="0" w:color="auto"/>
              <w:left w:val="nil"/>
              <w:bottom w:val="single" w:sz="4" w:space="0" w:color="auto"/>
              <w:right w:val="nil"/>
            </w:tcBorders>
            <w:shd w:val="clear" w:color="auto" w:fill="auto"/>
            <w:vAlign w:val="bottom"/>
            <w:hideMark/>
          </w:tcPr>
          <w:p w14:paraId="3677A27B" w14:textId="77777777" w:rsidR="00B9311E" w:rsidRPr="00BD77D8" w:rsidRDefault="00B9311E" w:rsidP="00B9311E">
            <w:pPr>
              <w:spacing w:after="0" w:line="240" w:lineRule="auto"/>
              <w:jc w:val="right"/>
              <w:rPr>
                <w:b/>
                <w:bCs/>
                <w:sz w:val="18"/>
                <w:szCs w:val="18"/>
              </w:rPr>
            </w:pPr>
            <w:r w:rsidRPr="00BD77D8">
              <w:rPr>
                <w:b/>
                <w:bCs/>
                <w:sz w:val="18"/>
                <w:szCs w:val="18"/>
              </w:rPr>
              <w:t xml:space="preserve">     56,136 </w:t>
            </w:r>
          </w:p>
        </w:tc>
        <w:tc>
          <w:tcPr>
            <w:tcW w:w="873" w:type="dxa"/>
            <w:tcBorders>
              <w:top w:val="single" w:sz="4" w:space="0" w:color="auto"/>
              <w:left w:val="nil"/>
              <w:bottom w:val="single" w:sz="4" w:space="0" w:color="auto"/>
              <w:right w:val="nil"/>
            </w:tcBorders>
            <w:shd w:val="clear" w:color="auto" w:fill="auto"/>
            <w:vAlign w:val="bottom"/>
            <w:hideMark/>
          </w:tcPr>
          <w:p w14:paraId="26A11749" w14:textId="77777777" w:rsidR="00B9311E" w:rsidRPr="00BD77D8" w:rsidRDefault="00B9311E" w:rsidP="00B9311E">
            <w:pPr>
              <w:spacing w:after="0" w:line="240" w:lineRule="auto"/>
              <w:jc w:val="right"/>
              <w:rPr>
                <w:b/>
                <w:bCs/>
                <w:sz w:val="18"/>
                <w:szCs w:val="18"/>
              </w:rPr>
            </w:pPr>
            <w:r w:rsidRPr="00BD77D8">
              <w:rPr>
                <w:b/>
                <w:bCs/>
                <w:sz w:val="18"/>
                <w:szCs w:val="18"/>
              </w:rPr>
              <w:t xml:space="preserve"> 46,274 </w:t>
            </w:r>
          </w:p>
        </w:tc>
      </w:tr>
      <w:tr w:rsidR="00BD77D8" w:rsidRPr="00BD77D8" w14:paraId="7711B029" w14:textId="77777777" w:rsidTr="003057FB">
        <w:trPr>
          <w:trHeight w:val="273"/>
        </w:trPr>
        <w:tc>
          <w:tcPr>
            <w:tcW w:w="0" w:type="auto"/>
            <w:tcBorders>
              <w:top w:val="nil"/>
              <w:left w:val="nil"/>
              <w:bottom w:val="nil"/>
              <w:right w:val="nil"/>
            </w:tcBorders>
            <w:shd w:val="clear" w:color="auto" w:fill="auto"/>
            <w:vAlign w:val="center"/>
            <w:hideMark/>
          </w:tcPr>
          <w:p w14:paraId="638D8A7C" w14:textId="77777777" w:rsidR="00B9311E" w:rsidRPr="00BD77D8" w:rsidRDefault="00B9311E" w:rsidP="00B9311E">
            <w:pPr>
              <w:spacing w:after="0" w:line="240" w:lineRule="auto"/>
              <w:rPr>
                <w:b/>
                <w:bCs/>
                <w:sz w:val="18"/>
                <w:szCs w:val="18"/>
              </w:rPr>
            </w:pPr>
            <w:r w:rsidRPr="00BD77D8">
              <w:rPr>
                <w:b/>
                <w:bCs/>
                <w:sz w:val="18"/>
                <w:szCs w:val="18"/>
              </w:rPr>
              <w:t xml:space="preserve"> Financial Liabilities </w:t>
            </w:r>
          </w:p>
        </w:tc>
        <w:tc>
          <w:tcPr>
            <w:tcW w:w="1410" w:type="dxa"/>
            <w:tcBorders>
              <w:top w:val="nil"/>
              <w:left w:val="nil"/>
              <w:bottom w:val="nil"/>
              <w:right w:val="nil"/>
            </w:tcBorders>
            <w:shd w:val="clear" w:color="auto" w:fill="auto"/>
            <w:vAlign w:val="center"/>
            <w:hideMark/>
          </w:tcPr>
          <w:p w14:paraId="480699CD" w14:textId="77777777" w:rsidR="00B9311E" w:rsidRPr="00BD77D8" w:rsidRDefault="00B9311E" w:rsidP="00B9311E">
            <w:pPr>
              <w:spacing w:after="0" w:line="240" w:lineRule="auto"/>
              <w:rPr>
                <w:b/>
                <w:bCs/>
                <w:sz w:val="18"/>
                <w:szCs w:val="18"/>
              </w:rPr>
            </w:pPr>
          </w:p>
        </w:tc>
        <w:tc>
          <w:tcPr>
            <w:tcW w:w="1395" w:type="dxa"/>
            <w:tcBorders>
              <w:top w:val="nil"/>
              <w:left w:val="nil"/>
              <w:bottom w:val="nil"/>
              <w:right w:val="nil"/>
            </w:tcBorders>
            <w:shd w:val="clear" w:color="auto" w:fill="auto"/>
            <w:vAlign w:val="bottom"/>
            <w:hideMark/>
          </w:tcPr>
          <w:p w14:paraId="404736BF"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873" w:type="dxa"/>
            <w:tcBorders>
              <w:top w:val="nil"/>
              <w:left w:val="nil"/>
              <w:bottom w:val="nil"/>
              <w:right w:val="nil"/>
            </w:tcBorders>
            <w:shd w:val="clear" w:color="auto" w:fill="auto"/>
            <w:vAlign w:val="bottom"/>
            <w:hideMark/>
          </w:tcPr>
          <w:p w14:paraId="070C1F19"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68644792" w14:textId="77777777" w:rsidTr="003057FB">
        <w:trPr>
          <w:trHeight w:val="273"/>
        </w:trPr>
        <w:tc>
          <w:tcPr>
            <w:tcW w:w="0" w:type="auto"/>
            <w:tcBorders>
              <w:top w:val="nil"/>
              <w:left w:val="nil"/>
              <w:bottom w:val="nil"/>
              <w:right w:val="nil"/>
            </w:tcBorders>
            <w:shd w:val="clear" w:color="auto" w:fill="auto"/>
            <w:vAlign w:val="center"/>
            <w:hideMark/>
          </w:tcPr>
          <w:p w14:paraId="7CA009EE" w14:textId="77777777" w:rsidR="00B9311E" w:rsidRPr="00BD77D8" w:rsidRDefault="00B9311E" w:rsidP="00B9311E">
            <w:pPr>
              <w:spacing w:after="0" w:line="240" w:lineRule="auto"/>
              <w:rPr>
                <w:sz w:val="18"/>
                <w:szCs w:val="18"/>
              </w:rPr>
            </w:pPr>
            <w:r w:rsidRPr="00BD77D8">
              <w:rPr>
                <w:sz w:val="18"/>
                <w:szCs w:val="18"/>
              </w:rPr>
              <w:t xml:space="preserve"> Financial liabilities at amortised cost: </w:t>
            </w:r>
          </w:p>
        </w:tc>
        <w:tc>
          <w:tcPr>
            <w:tcW w:w="1410" w:type="dxa"/>
            <w:tcBorders>
              <w:top w:val="nil"/>
              <w:left w:val="nil"/>
              <w:bottom w:val="nil"/>
              <w:right w:val="nil"/>
            </w:tcBorders>
            <w:shd w:val="clear" w:color="auto" w:fill="auto"/>
            <w:vAlign w:val="center"/>
            <w:hideMark/>
          </w:tcPr>
          <w:p w14:paraId="22A9E52D" w14:textId="77777777" w:rsidR="00B9311E" w:rsidRPr="00BD77D8" w:rsidRDefault="00B9311E" w:rsidP="00B9311E">
            <w:pPr>
              <w:spacing w:after="0" w:line="240" w:lineRule="auto"/>
              <w:rPr>
                <w:b/>
                <w:bCs/>
                <w:sz w:val="18"/>
                <w:szCs w:val="18"/>
              </w:rPr>
            </w:pPr>
          </w:p>
        </w:tc>
        <w:tc>
          <w:tcPr>
            <w:tcW w:w="1395" w:type="dxa"/>
            <w:tcBorders>
              <w:top w:val="nil"/>
              <w:left w:val="nil"/>
              <w:bottom w:val="nil"/>
              <w:right w:val="nil"/>
            </w:tcBorders>
            <w:shd w:val="clear" w:color="auto" w:fill="auto"/>
            <w:vAlign w:val="bottom"/>
            <w:hideMark/>
          </w:tcPr>
          <w:p w14:paraId="6AC9B09C" w14:textId="77777777" w:rsidR="00B9311E" w:rsidRPr="00BD77D8" w:rsidRDefault="00B9311E" w:rsidP="00B9311E">
            <w:pPr>
              <w:spacing w:after="0" w:line="240" w:lineRule="auto"/>
              <w:jc w:val="center"/>
              <w:rPr>
                <w:rFonts w:ascii="Times New Roman" w:hAnsi="Times New Roman" w:cs="Times New Roman"/>
                <w:sz w:val="20"/>
                <w:szCs w:val="20"/>
              </w:rPr>
            </w:pPr>
          </w:p>
        </w:tc>
        <w:tc>
          <w:tcPr>
            <w:tcW w:w="873" w:type="dxa"/>
            <w:tcBorders>
              <w:top w:val="nil"/>
              <w:left w:val="nil"/>
              <w:bottom w:val="nil"/>
              <w:right w:val="nil"/>
            </w:tcBorders>
            <w:shd w:val="clear" w:color="auto" w:fill="auto"/>
            <w:vAlign w:val="bottom"/>
            <w:hideMark/>
          </w:tcPr>
          <w:p w14:paraId="56893287" w14:textId="77777777" w:rsidR="00B9311E" w:rsidRPr="00BD77D8" w:rsidRDefault="00B9311E" w:rsidP="00B9311E">
            <w:pPr>
              <w:spacing w:after="0" w:line="240" w:lineRule="auto"/>
              <w:jc w:val="right"/>
              <w:rPr>
                <w:rFonts w:ascii="Times New Roman" w:hAnsi="Times New Roman" w:cs="Times New Roman"/>
                <w:sz w:val="20"/>
                <w:szCs w:val="20"/>
              </w:rPr>
            </w:pPr>
          </w:p>
        </w:tc>
      </w:tr>
      <w:tr w:rsidR="00BD77D8" w:rsidRPr="00BD77D8" w14:paraId="0E4A7562" w14:textId="77777777" w:rsidTr="003057FB">
        <w:trPr>
          <w:trHeight w:val="273"/>
        </w:trPr>
        <w:tc>
          <w:tcPr>
            <w:tcW w:w="0" w:type="auto"/>
            <w:tcBorders>
              <w:top w:val="nil"/>
              <w:left w:val="nil"/>
              <w:bottom w:val="nil"/>
              <w:right w:val="nil"/>
            </w:tcBorders>
            <w:shd w:val="clear" w:color="auto" w:fill="auto"/>
            <w:vAlign w:val="center"/>
            <w:hideMark/>
          </w:tcPr>
          <w:p w14:paraId="6A1AA6C5" w14:textId="77777777" w:rsidR="00B9311E" w:rsidRPr="00BD77D8" w:rsidRDefault="00B9311E" w:rsidP="00B9311E">
            <w:pPr>
              <w:spacing w:after="0" w:line="240" w:lineRule="auto"/>
              <w:rPr>
                <w:sz w:val="18"/>
                <w:szCs w:val="18"/>
              </w:rPr>
            </w:pPr>
            <w:r w:rsidRPr="00BD77D8">
              <w:rPr>
                <w:sz w:val="18"/>
                <w:szCs w:val="18"/>
              </w:rPr>
              <w:t xml:space="preserve"> Payables </w:t>
            </w:r>
          </w:p>
        </w:tc>
        <w:tc>
          <w:tcPr>
            <w:tcW w:w="1410" w:type="dxa"/>
            <w:tcBorders>
              <w:top w:val="nil"/>
              <w:left w:val="nil"/>
              <w:bottom w:val="nil"/>
              <w:right w:val="nil"/>
            </w:tcBorders>
            <w:shd w:val="clear" w:color="auto" w:fill="auto"/>
            <w:vAlign w:val="center"/>
            <w:hideMark/>
          </w:tcPr>
          <w:p w14:paraId="1B7CC1A3" w14:textId="77777777" w:rsidR="00B9311E" w:rsidRPr="00BD77D8" w:rsidRDefault="00B9311E" w:rsidP="00B9311E">
            <w:pPr>
              <w:spacing w:after="0" w:line="240" w:lineRule="auto"/>
              <w:jc w:val="center"/>
              <w:rPr>
                <w:b/>
                <w:bCs/>
                <w:sz w:val="18"/>
                <w:szCs w:val="18"/>
              </w:rPr>
            </w:pPr>
            <w:r w:rsidRPr="00BD77D8">
              <w:rPr>
                <w:b/>
                <w:bCs/>
                <w:sz w:val="18"/>
                <w:szCs w:val="18"/>
              </w:rPr>
              <w:t xml:space="preserve"> G1-6 </w:t>
            </w:r>
          </w:p>
        </w:tc>
        <w:tc>
          <w:tcPr>
            <w:tcW w:w="1395" w:type="dxa"/>
            <w:tcBorders>
              <w:top w:val="nil"/>
              <w:left w:val="nil"/>
              <w:bottom w:val="nil"/>
              <w:right w:val="nil"/>
            </w:tcBorders>
            <w:shd w:val="clear" w:color="auto" w:fill="auto"/>
            <w:vAlign w:val="bottom"/>
            <w:hideMark/>
          </w:tcPr>
          <w:p w14:paraId="1C1D5D8A" w14:textId="77777777" w:rsidR="00B9311E" w:rsidRPr="00BD77D8" w:rsidRDefault="00B9311E" w:rsidP="00B9311E">
            <w:pPr>
              <w:spacing w:after="0" w:line="240" w:lineRule="auto"/>
              <w:jc w:val="right"/>
              <w:rPr>
                <w:sz w:val="18"/>
                <w:szCs w:val="18"/>
              </w:rPr>
            </w:pPr>
            <w:r w:rsidRPr="00BD77D8">
              <w:rPr>
                <w:sz w:val="18"/>
                <w:szCs w:val="18"/>
              </w:rPr>
              <w:t xml:space="preserve">     57,493 </w:t>
            </w:r>
          </w:p>
        </w:tc>
        <w:tc>
          <w:tcPr>
            <w:tcW w:w="873" w:type="dxa"/>
            <w:tcBorders>
              <w:top w:val="nil"/>
              <w:left w:val="nil"/>
              <w:bottom w:val="nil"/>
              <w:right w:val="nil"/>
            </w:tcBorders>
            <w:shd w:val="clear" w:color="auto" w:fill="auto"/>
            <w:vAlign w:val="bottom"/>
            <w:hideMark/>
          </w:tcPr>
          <w:p w14:paraId="2D9A2A03" w14:textId="77777777" w:rsidR="00B9311E" w:rsidRPr="00BD77D8" w:rsidRDefault="00B9311E" w:rsidP="00B9311E">
            <w:pPr>
              <w:spacing w:after="0" w:line="240" w:lineRule="auto"/>
              <w:jc w:val="right"/>
              <w:rPr>
                <w:sz w:val="18"/>
                <w:szCs w:val="18"/>
              </w:rPr>
            </w:pPr>
            <w:r w:rsidRPr="00BD77D8">
              <w:rPr>
                <w:sz w:val="18"/>
                <w:szCs w:val="18"/>
              </w:rPr>
              <w:t xml:space="preserve"> 47,733 </w:t>
            </w:r>
          </w:p>
        </w:tc>
      </w:tr>
      <w:tr w:rsidR="00BD77D8" w:rsidRPr="00BD77D8" w14:paraId="7CE8D030" w14:textId="77777777" w:rsidTr="003057FB">
        <w:trPr>
          <w:trHeight w:val="273"/>
        </w:trPr>
        <w:tc>
          <w:tcPr>
            <w:tcW w:w="0" w:type="auto"/>
            <w:tcBorders>
              <w:top w:val="nil"/>
              <w:left w:val="nil"/>
              <w:bottom w:val="nil"/>
              <w:right w:val="nil"/>
            </w:tcBorders>
            <w:shd w:val="clear" w:color="auto" w:fill="auto"/>
            <w:vAlign w:val="center"/>
            <w:hideMark/>
          </w:tcPr>
          <w:p w14:paraId="5985DE3B" w14:textId="77777777" w:rsidR="00B9311E" w:rsidRPr="00BD77D8" w:rsidRDefault="00B9311E" w:rsidP="00B9311E">
            <w:pPr>
              <w:spacing w:after="0" w:line="240" w:lineRule="auto"/>
              <w:rPr>
                <w:b/>
                <w:bCs/>
                <w:sz w:val="18"/>
                <w:szCs w:val="18"/>
              </w:rPr>
            </w:pPr>
            <w:r w:rsidRPr="00BD77D8">
              <w:rPr>
                <w:b/>
                <w:bCs/>
                <w:sz w:val="18"/>
                <w:szCs w:val="18"/>
              </w:rPr>
              <w:t xml:space="preserve"> Total financial liabilities at amortised cost </w:t>
            </w:r>
          </w:p>
        </w:tc>
        <w:tc>
          <w:tcPr>
            <w:tcW w:w="1410" w:type="dxa"/>
            <w:tcBorders>
              <w:top w:val="nil"/>
              <w:left w:val="nil"/>
              <w:bottom w:val="nil"/>
              <w:right w:val="nil"/>
            </w:tcBorders>
            <w:shd w:val="clear" w:color="auto" w:fill="auto"/>
            <w:vAlign w:val="center"/>
            <w:hideMark/>
          </w:tcPr>
          <w:p w14:paraId="7FAB6F05" w14:textId="77777777" w:rsidR="00B9311E" w:rsidRPr="00BD77D8" w:rsidRDefault="00B9311E" w:rsidP="00B9311E">
            <w:pPr>
              <w:spacing w:after="0" w:line="240" w:lineRule="auto"/>
              <w:rPr>
                <w:b/>
                <w:bCs/>
                <w:sz w:val="18"/>
                <w:szCs w:val="18"/>
              </w:rPr>
            </w:pPr>
          </w:p>
        </w:tc>
        <w:tc>
          <w:tcPr>
            <w:tcW w:w="1395" w:type="dxa"/>
            <w:tcBorders>
              <w:top w:val="single" w:sz="4" w:space="0" w:color="auto"/>
              <w:left w:val="nil"/>
              <w:bottom w:val="single" w:sz="4" w:space="0" w:color="auto"/>
              <w:right w:val="nil"/>
            </w:tcBorders>
            <w:shd w:val="clear" w:color="auto" w:fill="auto"/>
            <w:vAlign w:val="bottom"/>
            <w:hideMark/>
          </w:tcPr>
          <w:p w14:paraId="6ECF211A" w14:textId="77777777" w:rsidR="00B9311E" w:rsidRPr="00BD77D8" w:rsidRDefault="00B9311E" w:rsidP="00B9311E">
            <w:pPr>
              <w:spacing w:after="0" w:line="240" w:lineRule="auto"/>
              <w:jc w:val="right"/>
              <w:rPr>
                <w:b/>
                <w:bCs/>
                <w:sz w:val="18"/>
                <w:szCs w:val="18"/>
              </w:rPr>
            </w:pPr>
            <w:r w:rsidRPr="00BD77D8">
              <w:rPr>
                <w:b/>
                <w:bCs/>
                <w:sz w:val="18"/>
                <w:szCs w:val="18"/>
              </w:rPr>
              <w:t xml:space="preserve">     57,493 </w:t>
            </w:r>
          </w:p>
        </w:tc>
        <w:tc>
          <w:tcPr>
            <w:tcW w:w="873" w:type="dxa"/>
            <w:tcBorders>
              <w:top w:val="single" w:sz="4" w:space="0" w:color="auto"/>
              <w:left w:val="nil"/>
              <w:bottom w:val="single" w:sz="4" w:space="0" w:color="auto"/>
              <w:right w:val="nil"/>
            </w:tcBorders>
            <w:shd w:val="clear" w:color="auto" w:fill="auto"/>
            <w:vAlign w:val="bottom"/>
            <w:hideMark/>
          </w:tcPr>
          <w:p w14:paraId="1B35E041" w14:textId="77777777" w:rsidR="00B9311E" w:rsidRPr="00BD77D8" w:rsidRDefault="00B9311E" w:rsidP="00B9311E">
            <w:pPr>
              <w:spacing w:after="0" w:line="240" w:lineRule="auto"/>
              <w:jc w:val="right"/>
              <w:rPr>
                <w:b/>
                <w:bCs/>
                <w:sz w:val="18"/>
                <w:szCs w:val="18"/>
              </w:rPr>
            </w:pPr>
            <w:r w:rsidRPr="00BD77D8">
              <w:rPr>
                <w:b/>
                <w:bCs/>
                <w:sz w:val="18"/>
                <w:szCs w:val="18"/>
              </w:rPr>
              <w:t xml:space="preserve"> 47,733 </w:t>
            </w:r>
          </w:p>
        </w:tc>
      </w:tr>
    </w:tbl>
    <w:p w14:paraId="42A1B06B" w14:textId="2D241129" w:rsidR="00B9311E" w:rsidRPr="00BD77D8" w:rsidRDefault="00FE0355" w:rsidP="0089639E">
      <w:pPr>
        <w:spacing w:before="1200" w:after="0" w:line="240" w:lineRule="auto"/>
        <w:rPr>
          <w:rFonts w:eastAsia="Arial"/>
          <w:bCs/>
          <w:sz w:val="18"/>
          <w:szCs w:val="18"/>
          <w:lang w:eastAsia="en-US"/>
        </w:rPr>
      </w:pP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r>
      <w:r w:rsidRPr="00BD77D8">
        <w:rPr>
          <w:rFonts w:eastAsia="Arial"/>
          <w:sz w:val="18"/>
          <w:szCs w:val="18"/>
          <w:lang w:eastAsia="en-US"/>
        </w:rPr>
        <w:tab/>
        <w:t>Page 43 of 45</w:t>
      </w:r>
      <w:r w:rsidR="00B9311E" w:rsidRPr="00BD77D8">
        <w:rPr>
          <w:rFonts w:eastAsia="Arial"/>
          <w:sz w:val="18"/>
          <w:szCs w:val="18"/>
          <w:lang w:eastAsia="en-US"/>
        </w:rPr>
        <w:br w:type="page"/>
      </w:r>
    </w:p>
    <w:p w14:paraId="4FF9C4B3" w14:textId="77777777" w:rsidR="00B9311E" w:rsidRPr="00BD77D8" w:rsidRDefault="00B9311E" w:rsidP="00B9311E">
      <w:pPr>
        <w:spacing w:after="0" w:line="205"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3BFBD9F9" w14:textId="77777777" w:rsidR="00B9311E" w:rsidRPr="00BD77D8" w:rsidRDefault="00B9311E" w:rsidP="00B9311E">
      <w:pPr>
        <w:spacing w:after="0" w:line="205" w:lineRule="exact"/>
        <w:textAlignment w:val="baseline"/>
        <w:rPr>
          <w:rFonts w:eastAsia="Arial"/>
          <w:b/>
          <w:bCs/>
          <w:sz w:val="18"/>
          <w:szCs w:val="18"/>
          <w:lang w:eastAsia="en-US"/>
        </w:rPr>
      </w:pPr>
      <w:r w:rsidRPr="00BD77D8">
        <w:rPr>
          <w:rFonts w:eastAsia="Arial"/>
          <w:b/>
          <w:bCs/>
          <w:sz w:val="18"/>
          <w:szCs w:val="18"/>
          <w:lang w:eastAsia="en-US"/>
        </w:rPr>
        <w:t>Notes to the Financial Statements</w:t>
      </w:r>
    </w:p>
    <w:p w14:paraId="47E60238" w14:textId="77777777" w:rsidR="00B9311E" w:rsidRPr="00BD77D8" w:rsidRDefault="00B9311E" w:rsidP="00B9311E">
      <w:pPr>
        <w:spacing w:after="0" w:line="205"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5DEFF33C" w14:textId="77777777" w:rsidR="00B9311E" w:rsidRPr="00BD77D8" w:rsidRDefault="00B9311E" w:rsidP="00B9311E">
      <w:pPr>
        <w:pBdr>
          <w:bottom w:val="single" w:sz="4" w:space="1" w:color="auto"/>
        </w:pBdr>
        <w:spacing w:after="0" w:line="205" w:lineRule="exact"/>
        <w:textAlignment w:val="baseline"/>
        <w:rPr>
          <w:rFonts w:eastAsia="Arial"/>
          <w:b/>
          <w:sz w:val="18"/>
          <w:szCs w:val="18"/>
          <w:lang w:eastAsia="en-US"/>
        </w:rPr>
      </w:pPr>
    </w:p>
    <w:p w14:paraId="6962CFFD" w14:textId="77777777" w:rsidR="00B9311E" w:rsidRPr="00BD77D8" w:rsidRDefault="00B9311E" w:rsidP="00293C43">
      <w:pPr>
        <w:spacing w:before="200" w:line="240" w:lineRule="auto"/>
        <w:rPr>
          <w:rFonts w:eastAsia="PMingLiU"/>
          <w:b/>
          <w:bCs/>
          <w:sz w:val="22"/>
          <w:szCs w:val="28"/>
          <w:lang w:eastAsia="en-US"/>
        </w:rPr>
      </w:pPr>
      <w:r w:rsidRPr="00BD77D8">
        <w:rPr>
          <w:rFonts w:eastAsia="PMingLiU"/>
          <w:b/>
          <w:bCs/>
          <w:sz w:val="22"/>
          <w:szCs w:val="28"/>
          <w:lang w:eastAsia="en-US"/>
        </w:rPr>
        <w:t>G1 Administered (continued)</w:t>
      </w:r>
    </w:p>
    <w:p w14:paraId="2E014FB7" w14:textId="77777777" w:rsidR="00B9311E" w:rsidRPr="00BD77D8" w:rsidRDefault="00B9311E" w:rsidP="007D087A">
      <w:pPr>
        <w:spacing w:after="0"/>
        <w:rPr>
          <w:rFonts w:eastAsia="Arial"/>
          <w:b/>
          <w:bCs/>
          <w:sz w:val="22"/>
          <w:szCs w:val="22"/>
          <w:lang w:eastAsia="en-US"/>
        </w:rPr>
      </w:pPr>
      <w:bookmarkStart w:id="389" w:name="_Toc111494836"/>
      <w:bookmarkStart w:id="390" w:name="_Toc111540722"/>
      <w:bookmarkStart w:id="391" w:name="_Toc111559273"/>
      <w:bookmarkStart w:id="392" w:name="_Toc113196545"/>
      <w:bookmarkStart w:id="393" w:name="_Toc113196893"/>
      <w:bookmarkStart w:id="394" w:name="_Toc113262023"/>
      <w:bookmarkStart w:id="395" w:name="_Toc113349177"/>
      <w:bookmarkStart w:id="396" w:name="_Toc113358102"/>
      <w:r w:rsidRPr="00BD77D8">
        <w:rPr>
          <w:rFonts w:eastAsia="Arial"/>
          <w:b/>
          <w:bCs/>
          <w:sz w:val="22"/>
          <w:szCs w:val="22"/>
          <w:lang w:eastAsia="en-US"/>
        </w:rPr>
        <w:t>G1-10 Administered Budgetary Reporting Disclosures</w:t>
      </w:r>
      <w:bookmarkEnd w:id="389"/>
      <w:bookmarkEnd w:id="390"/>
      <w:bookmarkEnd w:id="391"/>
      <w:bookmarkEnd w:id="392"/>
      <w:bookmarkEnd w:id="393"/>
      <w:bookmarkEnd w:id="394"/>
      <w:bookmarkEnd w:id="395"/>
      <w:bookmarkEnd w:id="396"/>
    </w:p>
    <w:p w14:paraId="035BFCB2" w14:textId="77777777" w:rsidR="00B9311E" w:rsidRPr="00BD77D8" w:rsidRDefault="00B9311E" w:rsidP="00B9311E">
      <w:pPr>
        <w:tabs>
          <w:tab w:val="left" w:pos="504"/>
        </w:tabs>
        <w:spacing w:after="0" w:line="490" w:lineRule="exact"/>
        <w:textAlignment w:val="baseline"/>
        <w:rPr>
          <w:rFonts w:eastAsia="Arial"/>
          <w:b/>
          <w:bCs/>
          <w:i/>
          <w:iCs/>
          <w:sz w:val="20"/>
          <w:szCs w:val="20"/>
          <w:lang w:eastAsia="en-US"/>
        </w:rPr>
      </w:pPr>
      <w:r w:rsidRPr="00BD77D8">
        <w:rPr>
          <w:rFonts w:eastAsia="Arial"/>
          <w:b/>
          <w:bCs/>
          <w:sz w:val="20"/>
          <w:szCs w:val="20"/>
          <w:lang w:eastAsia="en-US"/>
        </w:rPr>
        <w:t>Explanation of Major Variances - Statement of comprehensive income</w:t>
      </w:r>
    </w:p>
    <w:p w14:paraId="7AF9EAA3" w14:textId="77777777" w:rsidR="00B9311E" w:rsidRPr="00BD77D8" w:rsidRDefault="00B9311E" w:rsidP="00B9311E">
      <w:pPr>
        <w:tabs>
          <w:tab w:val="left" w:pos="504"/>
        </w:tabs>
        <w:spacing w:after="0" w:line="490" w:lineRule="exact"/>
        <w:textAlignment w:val="baseline"/>
        <w:rPr>
          <w:rFonts w:eastAsia="Arial"/>
          <w:b/>
          <w:bCs/>
          <w:i/>
          <w:iCs/>
          <w:sz w:val="18"/>
          <w:szCs w:val="18"/>
          <w:lang w:eastAsia="en-US"/>
        </w:rPr>
      </w:pPr>
      <w:r w:rsidRPr="00BD77D8">
        <w:rPr>
          <w:rFonts w:eastAsia="Arial"/>
          <w:b/>
          <w:bCs/>
          <w:i/>
          <w:iCs/>
          <w:sz w:val="18"/>
          <w:szCs w:val="18"/>
          <w:lang w:eastAsia="en-US"/>
        </w:rPr>
        <w:t>Appropriation revenue</w:t>
      </w:r>
    </w:p>
    <w:p w14:paraId="60AB7556" w14:textId="77777777" w:rsidR="00B9311E" w:rsidRPr="00BD77D8" w:rsidRDefault="00B9311E" w:rsidP="00293C43">
      <w:pPr>
        <w:spacing w:line="207" w:lineRule="exact"/>
        <w:textAlignment w:val="baseline"/>
        <w:rPr>
          <w:rFonts w:eastAsia="Arial"/>
          <w:b/>
          <w:bCs/>
          <w:sz w:val="18"/>
          <w:szCs w:val="18"/>
          <w:lang w:eastAsia="en-US"/>
        </w:rPr>
      </w:pPr>
      <w:r w:rsidRPr="00BD77D8">
        <w:rPr>
          <w:rFonts w:eastAsia="Arial"/>
          <w:sz w:val="18"/>
          <w:szCs w:val="18"/>
          <w:lang w:eastAsia="en-US"/>
        </w:rPr>
        <w:t>Administered Appropriation revenue is $31.134M lower than the budget of $2.434B principally due to the timing of concessions payments for electricity rebates for households and small or medium businesses. The variance is influenced by timing of application of rebates to quarterly consumer bills.</w:t>
      </w:r>
    </w:p>
    <w:p w14:paraId="0D4673FE" w14:textId="77777777" w:rsidR="00B9311E" w:rsidRPr="00BD77D8" w:rsidRDefault="00B9311E" w:rsidP="00293C43">
      <w:pPr>
        <w:spacing w:line="205" w:lineRule="exact"/>
        <w:textAlignment w:val="baseline"/>
        <w:rPr>
          <w:rFonts w:eastAsia="Arial"/>
          <w:b/>
          <w:bCs/>
          <w:i/>
          <w:iCs/>
          <w:sz w:val="18"/>
          <w:szCs w:val="18"/>
          <w:lang w:eastAsia="en-US"/>
        </w:rPr>
      </w:pPr>
      <w:r w:rsidRPr="00BD77D8">
        <w:rPr>
          <w:rFonts w:eastAsia="Arial"/>
          <w:b/>
          <w:bCs/>
          <w:i/>
          <w:iCs/>
          <w:sz w:val="18"/>
          <w:szCs w:val="18"/>
          <w:lang w:eastAsia="en-US"/>
        </w:rPr>
        <w:t>Grants and other contributions revenue</w:t>
      </w:r>
    </w:p>
    <w:p w14:paraId="4339689C" w14:textId="77777777" w:rsidR="00B9311E" w:rsidRPr="00BD77D8" w:rsidRDefault="00B9311E" w:rsidP="00293C43">
      <w:pPr>
        <w:spacing w:line="207" w:lineRule="exact"/>
        <w:textAlignment w:val="baseline"/>
        <w:rPr>
          <w:rFonts w:eastAsia="Arial"/>
          <w:b/>
          <w:bCs/>
          <w:sz w:val="18"/>
          <w:szCs w:val="18"/>
          <w:lang w:eastAsia="en-US"/>
        </w:rPr>
      </w:pPr>
      <w:r w:rsidRPr="00BD77D8">
        <w:rPr>
          <w:rFonts w:eastAsia="Arial"/>
          <w:sz w:val="18"/>
          <w:szCs w:val="18"/>
          <w:lang w:eastAsia="en-US"/>
        </w:rPr>
        <w:t>Grants and other contributions are $1.800M higher than budget reflecting the recognition of Commonwealth funding received for the Family Responsibility Commission. The MOU with the Commonwealth formalising this funding arrangement was agreed post the publication of the 2021-22 State Budget.</w:t>
      </w:r>
    </w:p>
    <w:p w14:paraId="19E2ABB6" w14:textId="77777777" w:rsidR="00B9311E" w:rsidRPr="00BD77D8" w:rsidRDefault="00B9311E" w:rsidP="00293C43">
      <w:pPr>
        <w:spacing w:line="205" w:lineRule="exact"/>
        <w:textAlignment w:val="baseline"/>
        <w:rPr>
          <w:rFonts w:eastAsia="Arial"/>
          <w:b/>
          <w:bCs/>
          <w:i/>
          <w:iCs/>
          <w:sz w:val="18"/>
          <w:szCs w:val="18"/>
          <w:lang w:eastAsia="en-US"/>
        </w:rPr>
      </w:pPr>
      <w:r w:rsidRPr="00BD77D8">
        <w:rPr>
          <w:rFonts w:eastAsia="Arial"/>
          <w:b/>
          <w:bCs/>
          <w:i/>
          <w:iCs/>
          <w:sz w:val="18"/>
          <w:szCs w:val="18"/>
          <w:lang w:eastAsia="en-US"/>
        </w:rPr>
        <w:t>Grants and subsidies expenses</w:t>
      </w:r>
    </w:p>
    <w:p w14:paraId="2BDB6298" w14:textId="77777777" w:rsidR="00B9311E" w:rsidRPr="00BD77D8" w:rsidRDefault="00B9311E" w:rsidP="00B9311E">
      <w:pPr>
        <w:spacing w:after="0" w:line="207" w:lineRule="exact"/>
        <w:ind w:right="144"/>
        <w:textAlignment w:val="baseline"/>
        <w:rPr>
          <w:rFonts w:eastAsia="Arial"/>
          <w:b/>
          <w:bCs/>
          <w:sz w:val="18"/>
          <w:szCs w:val="18"/>
          <w:lang w:eastAsia="en-US"/>
        </w:rPr>
      </w:pPr>
      <w:r w:rsidRPr="00BD77D8">
        <w:rPr>
          <w:rFonts w:eastAsia="Arial"/>
          <w:sz w:val="18"/>
          <w:szCs w:val="18"/>
          <w:lang w:eastAsia="en-US"/>
        </w:rPr>
        <w:t xml:space="preserve">Grants and subsidies were $29.311M lower than the budget of $2.434B. The key contributor to the variance </w:t>
      </w:r>
    </w:p>
    <w:p w14:paraId="1A622914" w14:textId="77777777" w:rsidR="00B9311E" w:rsidRPr="00BD77D8" w:rsidRDefault="00B9311E" w:rsidP="00293C43">
      <w:pPr>
        <w:spacing w:line="207" w:lineRule="exact"/>
        <w:ind w:right="144"/>
        <w:textAlignment w:val="baseline"/>
        <w:rPr>
          <w:rFonts w:eastAsia="Arial"/>
          <w:b/>
          <w:bCs/>
          <w:sz w:val="18"/>
          <w:szCs w:val="18"/>
          <w:lang w:eastAsia="en-US"/>
        </w:rPr>
      </w:pPr>
      <w:r w:rsidRPr="00BD77D8">
        <w:rPr>
          <w:rFonts w:eastAsia="Arial"/>
          <w:sz w:val="18"/>
          <w:szCs w:val="18"/>
          <w:lang w:eastAsia="en-US"/>
        </w:rPr>
        <w:t>relates to electricity concessions and rebates for households and small or medium businesses with expenditure outlays influenced by the timing of application for the rebates.</w:t>
      </w:r>
    </w:p>
    <w:p w14:paraId="0BBCB8E5" w14:textId="77777777" w:rsidR="00B9311E" w:rsidRPr="00BD77D8" w:rsidRDefault="00B9311E" w:rsidP="00293C43">
      <w:pPr>
        <w:spacing w:line="240" w:lineRule="auto"/>
        <w:rPr>
          <w:rFonts w:eastAsia="Arial"/>
          <w:b/>
          <w:bCs/>
          <w:sz w:val="20"/>
          <w:szCs w:val="20"/>
          <w:lang w:eastAsia="en-US"/>
        </w:rPr>
      </w:pPr>
      <w:r w:rsidRPr="00BD77D8">
        <w:rPr>
          <w:rFonts w:eastAsia="Arial"/>
          <w:b/>
          <w:bCs/>
          <w:sz w:val="20"/>
          <w:szCs w:val="20"/>
          <w:lang w:eastAsia="en-US"/>
        </w:rPr>
        <w:t xml:space="preserve">Explanation of Major Variances – </w:t>
      </w:r>
      <w:r w:rsidRPr="00BD77D8">
        <w:rPr>
          <w:rFonts w:eastAsia="Arial"/>
          <w:b/>
          <w:bCs/>
          <w:spacing w:val="3"/>
          <w:sz w:val="20"/>
          <w:szCs w:val="20"/>
          <w:lang w:eastAsia="en-US"/>
        </w:rPr>
        <w:t>Statement of financial performance</w:t>
      </w:r>
    </w:p>
    <w:p w14:paraId="4ADFA662" w14:textId="77777777" w:rsidR="00B9311E" w:rsidRPr="00BD77D8" w:rsidRDefault="00B9311E" w:rsidP="00293C43">
      <w:pPr>
        <w:spacing w:line="240" w:lineRule="auto"/>
        <w:rPr>
          <w:rFonts w:eastAsia="Arial"/>
          <w:b/>
          <w:bCs/>
          <w:i/>
          <w:iCs/>
          <w:sz w:val="18"/>
          <w:szCs w:val="18"/>
          <w:lang w:eastAsia="en-US"/>
        </w:rPr>
      </w:pPr>
      <w:r w:rsidRPr="00BD77D8">
        <w:rPr>
          <w:rFonts w:eastAsia="Arial"/>
          <w:b/>
          <w:bCs/>
          <w:i/>
          <w:iCs/>
          <w:sz w:val="18"/>
          <w:szCs w:val="18"/>
          <w:lang w:eastAsia="en-US"/>
        </w:rPr>
        <w:t>Cash</w:t>
      </w:r>
    </w:p>
    <w:p w14:paraId="4EBDD7A4" w14:textId="77777777" w:rsidR="00B9311E" w:rsidRPr="00BD77D8" w:rsidRDefault="00B9311E" w:rsidP="00293C43">
      <w:pPr>
        <w:spacing w:line="240" w:lineRule="auto"/>
        <w:rPr>
          <w:rFonts w:eastAsia="Arial"/>
          <w:b/>
          <w:sz w:val="18"/>
          <w:szCs w:val="18"/>
          <w:lang w:eastAsia="en-US"/>
        </w:rPr>
      </w:pPr>
      <w:r w:rsidRPr="00BD77D8">
        <w:rPr>
          <w:rFonts w:eastAsia="Arial"/>
          <w:sz w:val="18"/>
          <w:szCs w:val="18"/>
          <w:lang w:eastAsia="en-US"/>
        </w:rPr>
        <w:t>The Cash balance is $156.166M lower than the budget of $210.531M reflecting revised timings to the payment of the State’s contribution to the National Disability Insurance Agency (NDIA), transitioning from a monthly in arrears to a quarterly in advance payment schedule which has resulted in lower cash balance than forecast and a commensurate offset of a lower budgeted payables position.</w:t>
      </w:r>
    </w:p>
    <w:p w14:paraId="69C62CD7" w14:textId="77777777" w:rsidR="00B9311E" w:rsidRPr="00BD77D8" w:rsidRDefault="00B9311E" w:rsidP="00293C43">
      <w:pPr>
        <w:spacing w:line="240" w:lineRule="auto"/>
        <w:rPr>
          <w:rFonts w:eastAsia="Arial"/>
          <w:b/>
          <w:bCs/>
          <w:i/>
          <w:iCs/>
          <w:sz w:val="18"/>
          <w:szCs w:val="18"/>
          <w:lang w:eastAsia="en-US"/>
        </w:rPr>
      </w:pPr>
      <w:r w:rsidRPr="00BD77D8">
        <w:rPr>
          <w:rFonts w:eastAsia="Arial"/>
          <w:b/>
          <w:bCs/>
          <w:i/>
          <w:iCs/>
          <w:sz w:val="18"/>
          <w:szCs w:val="18"/>
          <w:lang w:eastAsia="en-US"/>
        </w:rPr>
        <w:t>Receivables</w:t>
      </w:r>
    </w:p>
    <w:p w14:paraId="5ED698C9" w14:textId="77777777" w:rsidR="00B9311E" w:rsidRPr="00BD77D8" w:rsidRDefault="00B9311E" w:rsidP="00293C43">
      <w:pPr>
        <w:spacing w:line="240" w:lineRule="auto"/>
        <w:rPr>
          <w:rFonts w:eastAsia="Arial"/>
          <w:bCs/>
          <w:sz w:val="18"/>
          <w:szCs w:val="18"/>
          <w:lang w:eastAsia="en-US"/>
        </w:rPr>
      </w:pPr>
      <w:bookmarkStart w:id="397" w:name="_Hlk109661212"/>
      <w:r w:rsidRPr="00BD77D8">
        <w:rPr>
          <w:rFonts w:eastAsia="Arial"/>
          <w:sz w:val="18"/>
          <w:szCs w:val="18"/>
          <w:lang w:eastAsia="en-US"/>
        </w:rPr>
        <w:t>Receivables are $22.118M lower than the budget principally reflecting a lower Appropriation receivable position than forecast. The Administrative expenditure is below budget, and the department is in a net Appropriation payable position rather than an Appropriation receivable position</w:t>
      </w:r>
      <w:bookmarkEnd w:id="397"/>
      <w:r w:rsidRPr="00BD77D8">
        <w:rPr>
          <w:rFonts w:eastAsia="Arial"/>
          <w:sz w:val="18"/>
          <w:szCs w:val="18"/>
          <w:lang w:eastAsia="en-US"/>
        </w:rPr>
        <w:t>.</w:t>
      </w:r>
    </w:p>
    <w:p w14:paraId="290FA56C" w14:textId="77777777" w:rsidR="00B9311E" w:rsidRPr="00BD77D8" w:rsidRDefault="00B9311E" w:rsidP="00293C43">
      <w:pPr>
        <w:spacing w:line="240" w:lineRule="auto"/>
        <w:rPr>
          <w:rFonts w:eastAsia="Arial"/>
          <w:b/>
          <w:bCs/>
          <w:i/>
          <w:iCs/>
          <w:sz w:val="18"/>
          <w:szCs w:val="18"/>
          <w:lang w:eastAsia="en-US"/>
        </w:rPr>
      </w:pPr>
      <w:r w:rsidRPr="00BD77D8">
        <w:rPr>
          <w:rFonts w:eastAsia="Arial"/>
          <w:b/>
          <w:bCs/>
          <w:i/>
          <w:iCs/>
          <w:sz w:val="18"/>
          <w:szCs w:val="18"/>
          <w:lang w:eastAsia="en-US"/>
        </w:rPr>
        <w:t>Payables</w:t>
      </w:r>
    </w:p>
    <w:p w14:paraId="249EEF88" w14:textId="77777777" w:rsidR="00B9311E" w:rsidRPr="00BD77D8" w:rsidRDefault="00B9311E" w:rsidP="00B9311E">
      <w:pPr>
        <w:spacing w:after="0" w:line="240" w:lineRule="auto"/>
        <w:rPr>
          <w:rFonts w:eastAsia="Arial"/>
          <w:b/>
          <w:sz w:val="18"/>
          <w:szCs w:val="18"/>
          <w:lang w:eastAsia="en-US"/>
        </w:rPr>
      </w:pPr>
      <w:r w:rsidRPr="00BD77D8">
        <w:rPr>
          <w:rFonts w:eastAsia="Arial"/>
          <w:sz w:val="18"/>
          <w:szCs w:val="18"/>
          <w:lang w:eastAsia="en-US"/>
        </w:rPr>
        <w:t>Payables are $178.280M lower than the budget of $235.773M, principally reflecting revised timings for the payment of the State’s contribution to the NDIA, transitioning from a monthly in arrears to a quarterly in advance payment schedule.</w:t>
      </w:r>
    </w:p>
    <w:p w14:paraId="382C6D1D" w14:textId="0437BC7C" w:rsidR="00E215C7" w:rsidRPr="00BD77D8" w:rsidRDefault="00E215C7" w:rsidP="0089639E">
      <w:pPr>
        <w:spacing w:before="3360" w:after="0" w:line="240" w:lineRule="auto"/>
        <w:rPr>
          <w:rFonts w:eastAsia="PMingLiU"/>
          <w:bCs/>
          <w:sz w:val="18"/>
          <w:szCs w:val="18"/>
          <w:lang w:eastAsia="en-US"/>
        </w:rPr>
      </w:pP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r>
      <w:r w:rsidRPr="00BD77D8">
        <w:rPr>
          <w:rFonts w:eastAsia="PMingLiU"/>
          <w:bCs/>
          <w:sz w:val="18"/>
          <w:szCs w:val="18"/>
          <w:lang w:eastAsia="en-US"/>
        </w:rPr>
        <w:tab/>
        <w:t>Page 44 of 45</w:t>
      </w:r>
    </w:p>
    <w:p w14:paraId="0A530E6B" w14:textId="77777777" w:rsidR="00B9311E" w:rsidRPr="00BD77D8" w:rsidRDefault="00B9311E" w:rsidP="00B9311E">
      <w:pPr>
        <w:tabs>
          <w:tab w:val="left" w:pos="504"/>
        </w:tabs>
        <w:spacing w:after="0" w:line="490" w:lineRule="exact"/>
        <w:textAlignment w:val="baseline"/>
        <w:rPr>
          <w:rFonts w:eastAsia="PMingLiU"/>
          <w:sz w:val="18"/>
          <w:szCs w:val="18"/>
          <w:lang w:eastAsia="en-US"/>
        </w:rPr>
        <w:sectPr w:rsidR="00B9311E" w:rsidRPr="00BD77D8" w:rsidSect="000160CF">
          <w:type w:val="nextColumn"/>
          <w:pgSz w:w="11909" w:h="16838"/>
          <w:pgMar w:top="794" w:right="794" w:bottom="794" w:left="794" w:header="720" w:footer="720" w:gutter="0"/>
          <w:cols w:space="720"/>
        </w:sectPr>
      </w:pPr>
    </w:p>
    <w:p w14:paraId="4C3B9D21" w14:textId="77777777" w:rsidR="00E215C7" w:rsidRPr="00BD77D8" w:rsidRDefault="00E215C7" w:rsidP="00E215C7">
      <w:pPr>
        <w:spacing w:after="0" w:line="205" w:lineRule="exact"/>
        <w:textAlignment w:val="baseline"/>
        <w:rPr>
          <w:rFonts w:eastAsia="Arial"/>
          <w:b/>
          <w:bCs/>
          <w:sz w:val="18"/>
          <w:szCs w:val="18"/>
          <w:lang w:eastAsia="en-US"/>
        </w:rPr>
      </w:pPr>
      <w:r w:rsidRPr="00BD77D8">
        <w:rPr>
          <w:rFonts w:eastAsia="Arial"/>
          <w:b/>
          <w:bCs/>
          <w:sz w:val="18"/>
          <w:szCs w:val="18"/>
          <w:lang w:eastAsia="en-US"/>
        </w:rPr>
        <w:lastRenderedPageBreak/>
        <w:t>Department of Seniors, Disability Services and Aboriginal and Torres Strait Islander Partnerships</w:t>
      </w:r>
    </w:p>
    <w:p w14:paraId="2607DA13" w14:textId="77777777" w:rsidR="00E215C7" w:rsidRPr="00BD77D8" w:rsidRDefault="00E215C7" w:rsidP="00F007C4">
      <w:pPr>
        <w:spacing w:after="0" w:line="240" w:lineRule="auto"/>
        <w:rPr>
          <w:rFonts w:eastAsia="Arial"/>
          <w:b/>
          <w:bCs/>
          <w:sz w:val="18"/>
          <w:szCs w:val="18"/>
          <w:lang w:eastAsia="en-US"/>
        </w:rPr>
      </w:pPr>
      <w:bookmarkStart w:id="398" w:name="_Toc111494837"/>
      <w:bookmarkStart w:id="399" w:name="_Toc111540723"/>
      <w:bookmarkStart w:id="400" w:name="_Toc111559274"/>
      <w:bookmarkStart w:id="401" w:name="_Toc113196546"/>
      <w:bookmarkStart w:id="402" w:name="_Toc113196894"/>
      <w:bookmarkStart w:id="403" w:name="_Toc113262024"/>
      <w:r w:rsidRPr="00BD77D8">
        <w:rPr>
          <w:rFonts w:eastAsia="Arial"/>
          <w:b/>
          <w:bCs/>
          <w:sz w:val="18"/>
          <w:szCs w:val="18"/>
          <w:lang w:eastAsia="en-US"/>
        </w:rPr>
        <w:t>Management Certificate</w:t>
      </w:r>
      <w:bookmarkEnd w:id="398"/>
      <w:bookmarkEnd w:id="399"/>
      <w:bookmarkEnd w:id="400"/>
      <w:bookmarkEnd w:id="401"/>
      <w:bookmarkEnd w:id="402"/>
      <w:bookmarkEnd w:id="403"/>
    </w:p>
    <w:p w14:paraId="1645D1A3" w14:textId="77777777" w:rsidR="00E215C7" w:rsidRPr="00BD77D8" w:rsidRDefault="00E215C7" w:rsidP="00E215C7">
      <w:pPr>
        <w:spacing w:after="0" w:line="205" w:lineRule="exact"/>
        <w:textAlignment w:val="baseline"/>
        <w:rPr>
          <w:rFonts w:eastAsia="Arial"/>
          <w:b/>
          <w:bCs/>
          <w:sz w:val="18"/>
          <w:szCs w:val="18"/>
          <w:lang w:eastAsia="en-US"/>
        </w:rPr>
      </w:pPr>
      <w:r w:rsidRPr="00BD77D8">
        <w:rPr>
          <w:rFonts w:eastAsia="Arial"/>
          <w:b/>
          <w:bCs/>
          <w:sz w:val="18"/>
          <w:szCs w:val="18"/>
          <w:lang w:eastAsia="en-US"/>
        </w:rPr>
        <w:t>For the year ended 30 June 2022</w:t>
      </w:r>
    </w:p>
    <w:p w14:paraId="0F881FAD" w14:textId="77777777" w:rsidR="00E215C7" w:rsidRPr="00BD77D8" w:rsidRDefault="00E215C7" w:rsidP="00E215C7">
      <w:pPr>
        <w:pBdr>
          <w:bottom w:val="single" w:sz="4" w:space="1" w:color="auto"/>
        </w:pBdr>
        <w:spacing w:after="0" w:line="202" w:lineRule="exact"/>
        <w:textAlignment w:val="baseline"/>
        <w:rPr>
          <w:rFonts w:eastAsia="Arial"/>
          <w:bCs/>
          <w:spacing w:val="-1"/>
          <w:sz w:val="18"/>
          <w:szCs w:val="18"/>
          <w:lang w:eastAsia="en-US"/>
        </w:rPr>
      </w:pPr>
    </w:p>
    <w:p w14:paraId="07D53F9C" w14:textId="77777777" w:rsidR="00E215C7" w:rsidRPr="00BD77D8" w:rsidRDefault="00E215C7" w:rsidP="00293C43">
      <w:pPr>
        <w:spacing w:before="200" w:line="206" w:lineRule="exact"/>
        <w:ind w:right="505"/>
        <w:textAlignment w:val="baseline"/>
        <w:rPr>
          <w:rFonts w:eastAsia="Arial"/>
          <w:b/>
          <w:bCs/>
          <w:sz w:val="18"/>
          <w:szCs w:val="18"/>
          <w:lang w:eastAsia="en-US"/>
        </w:rPr>
      </w:pPr>
      <w:r w:rsidRPr="00BD77D8">
        <w:rPr>
          <w:rFonts w:eastAsia="Arial"/>
          <w:b/>
          <w:bCs/>
          <w:sz w:val="18"/>
          <w:szCs w:val="18"/>
          <w:lang w:eastAsia="en-US"/>
        </w:rPr>
        <w:t>CERTIFICATE OF THE DEPARTMENT OF SENIORS, DISABILITY SERVICES AND ABORIGINAL AND TORRES STRAIT ISLANDER PARTNERSHIPS</w:t>
      </w:r>
    </w:p>
    <w:p w14:paraId="69567BA1" w14:textId="0CBC3FF2" w:rsidR="00E215C7" w:rsidRPr="00BD77D8" w:rsidRDefault="00E215C7" w:rsidP="00293C43">
      <w:pPr>
        <w:spacing w:line="206" w:lineRule="exact"/>
        <w:ind w:right="258"/>
        <w:textAlignment w:val="baseline"/>
        <w:rPr>
          <w:rFonts w:eastAsia="Arial"/>
          <w:i/>
          <w:sz w:val="18"/>
          <w:szCs w:val="18"/>
          <w:lang w:eastAsia="en-US"/>
        </w:rPr>
      </w:pPr>
      <w:r w:rsidRPr="00BD77D8">
        <w:rPr>
          <w:rFonts w:eastAsia="Arial"/>
          <w:sz w:val="18"/>
          <w:szCs w:val="18"/>
          <w:lang w:eastAsia="en-US"/>
        </w:rPr>
        <w:t xml:space="preserve">These general-purpose financial statements have been prepared pursuant to s.62(1) of the </w:t>
      </w:r>
      <w:r w:rsidRPr="00BD77D8">
        <w:rPr>
          <w:rFonts w:eastAsia="Arial"/>
          <w:i/>
          <w:sz w:val="18"/>
          <w:szCs w:val="18"/>
          <w:lang w:eastAsia="en-US"/>
        </w:rPr>
        <w:t xml:space="preserve">Financial Accountability Act 2009 </w:t>
      </w:r>
      <w:r w:rsidRPr="00BD77D8">
        <w:rPr>
          <w:rFonts w:eastAsia="Arial"/>
          <w:sz w:val="18"/>
          <w:szCs w:val="18"/>
          <w:lang w:eastAsia="en-US"/>
        </w:rPr>
        <w:t xml:space="preserve">(the Act), section 38 of the </w:t>
      </w:r>
      <w:r w:rsidRPr="00BD77D8">
        <w:rPr>
          <w:rFonts w:eastAsia="Arial"/>
          <w:i/>
          <w:sz w:val="18"/>
          <w:szCs w:val="18"/>
          <w:lang w:eastAsia="en-US"/>
        </w:rPr>
        <w:t xml:space="preserve">Financial and Performance Management Standard 2019 </w:t>
      </w:r>
      <w:r w:rsidRPr="00BD77D8">
        <w:rPr>
          <w:rFonts w:eastAsia="Arial"/>
          <w:sz w:val="18"/>
          <w:szCs w:val="18"/>
          <w:lang w:eastAsia="en-US"/>
        </w:rPr>
        <w:t>and other prescribed requirements. In accordance with s.62(1)(b) of the Act we certify that in our opinion:</w:t>
      </w:r>
    </w:p>
    <w:p w14:paraId="4AF1A3CE" w14:textId="77777777" w:rsidR="00E215C7" w:rsidRPr="00BD77D8" w:rsidRDefault="00E215C7" w:rsidP="003954C5">
      <w:pPr>
        <w:numPr>
          <w:ilvl w:val="0"/>
          <w:numId w:val="76"/>
        </w:numPr>
        <w:spacing w:line="207" w:lineRule="exact"/>
        <w:ind w:right="258"/>
        <w:textAlignment w:val="baseline"/>
        <w:rPr>
          <w:rFonts w:eastAsia="Arial"/>
          <w:b/>
          <w:bCs/>
          <w:sz w:val="18"/>
          <w:szCs w:val="18"/>
          <w:lang w:eastAsia="en-US"/>
        </w:rPr>
      </w:pPr>
      <w:r w:rsidRPr="00BD77D8">
        <w:rPr>
          <w:rFonts w:eastAsia="Arial"/>
          <w:sz w:val="18"/>
          <w:szCs w:val="18"/>
          <w:lang w:eastAsia="en-US"/>
        </w:rPr>
        <w:t>the prescribed requirements for establishing and keeping the accounts have been complied with in all material respects; and</w:t>
      </w:r>
    </w:p>
    <w:p w14:paraId="4F2F6B20" w14:textId="77777777" w:rsidR="00E215C7" w:rsidRPr="00BD77D8" w:rsidRDefault="00E215C7" w:rsidP="003954C5">
      <w:pPr>
        <w:numPr>
          <w:ilvl w:val="0"/>
          <w:numId w:val="76"/>
        </w:numPr>
        <w:spacing w:line="208" w:lineRule="exact"/>
        <w:ind w:right="258"/>
        <w:textAlignment w:val="baseline"/>
        <w:rPr>
          <w:rFonts w:eastAsia="Arial"/>
          <w:b/>
          <w:bCs/>
          <w:sz w:val="18"/>
          <w:szCs w:val="18"/>
          <w:lang w:eastAsia="en-US"/>
        </w:rPr>
      </w:pPr>
      <w:r w:rsidRPr="00BD77D8">
        <w:rPr>
          <w:rFonts w:eastAsia="Arial"/>
          <w:sz w:val="18"/>
          <w:szCs w:val="18"/>
          <w:lang w:eastAsia="en-US"/>
        </w:rPr>
        <w:t>the financial statements have been drawn up to present a true and fair view, in accordance with prescribed accounting standards, of the transactions of the Department of Seniors, Disability Services and Aboriginal and Torres Strait Islander Partnerships for the financial year ended 30 June 2022 and of the financial position of the department at the end of that year.</w:t>
      </w:r>
    </w:p>
    <w:p w14:paraId="13BB09D6" w14:textId="77777777" w:rsidR="00E215C7" w:rsidRPr="00BD77D8" w:rsidRDefault="00E215C7" w:rsidP="0089639E">
      <w:pPr>
        <w:spacing w:after="1200" w:line="208" w:lineRule="exact"/>
        <w:ind w:right="255"/>
        <w:textAlignment w:val="baseline"/>
        <w:rPr>
          <w:rFonts w:eastAsia="Arial"/>
          <w:b/>
          <w:bCs/>
          <w:sz w:val="18"/>
          <w:szCs w:val="18"/>
          <w:lang w:eastAsia="en-US"/>
        </w:rPr>
      </w:pPr>
      <w:r w:rsidRPr="00BD77D8">
        <w:rPr>
          <w:rFonts w:eastAsia="Arial"/>
          <w:sz w:val="18"/>
          <w:szCs w:val="18"/>
          <w:lang w:eastAsia="en-US"/>
        </w:rPr>
        <w:t xml:space="preserve">The Director-General, as the Accountable Officer of the department, acknowledges responsibility under s.7 and s.11 of the </w:t>
      </w:r>
      <w:r w:rsidRPr="00BD77D8">
        <w:rPr>
          <w:rFonts w:eastAsia="Arial"/>
          <w:i/>
          <w:sz w:val="18"/>
          <w:szCs w:val="18"/>
          <w:lang w:eastAsia="en-US"/>
        </w:rPr>
        <w:t xml:space="preserve">Financial and Performance Management Standard 2019 </w:t>
      </w:r>
      <w:r w:rsidRPr="00BD77D8">
        <w:rPr>
          <w:rFonts w:eastAsia="Arial"/>
          <w:sz w:val="18"/>
          <w:szCs w:val="18"/>
          <w:lang w:eastAsia="en-US"/>
        </w:rPr>
        <w:t>for the establishment and maintenance, in all material respects, of an appropriate and effective system of internal controls and risk management processes with respect to financial reporting throughout the reporting period.</w:t>
      </w:r>
    </w:p>
    <w:p w14:paraId="3700E019" w14:textId="2DFBFB35" w:rsidR="003B6EE5" w:rsidRPr="00BD77D8" w:rsidRDefault="003B6EE5" w:rsidP="009C02E1">
      <w:pPr>
        <w:spacing w:after="0" w:line="240" w:lineRule="auto"/>
        <w:rPr>
          <w:rFonts w:eastAsia="Arial" w:cs="Times New Roman"/>
          <w:sz w:val="18"/>
          <w:szCs w:val="22"/>
          <w:lang w:val="en-US" w:eastAsia="en-US"/>
        </w:rPr>
      </w:pPr>
      <w:r w:rsidRPr="00BD77D8">
        <w:rPr>
          <w:rFonts w:eastAsia="Arial" w:cs="Times New Roman"/>
          <w:noProof/>
          <w:sz w:val="18"/>
          <w:szCs w:val="22"/>
          <w:lang w:val="en-US" w:eastAsia="en-US"/>
        </w:rPr>
        <w:drawing>
          <wp:inline distT="0" distB="0" distL="0" distR="0" wp14:anchorId="36E0F3BA" wp14:editId="4F9CE388">
            <wp:extent cx="5574182" cy="2209643"/>
            <wp:effectExtent l="0" t="0" r="7620" b="635"/>
            <wp:docPr id="3" name="Picture 3" descr="Signature of Narinder Singh, Chief Finance Officer, dated 29 August 2022 and Signature of Dr Chris Sarra, Director-General, dated 29 August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e of Narinder Singh, Chief Finance Officer, dated 29 August 2022 and Signature of Dr Chris Sarra, Director-General, dated 29 August 2022"/>
                    <pic:cNvPicPr/>
                  </pic:nvPicPr>
                  <pic:blipFill>
                    <a:blip r:embed="rId26">
                      <a:extLst>
                        <a:ext uri="{28A0092B-C50C-407E-A947-70E740481C1C}">
                          <a14:useLocalDpi xmlns:a14="http://schemas.microsoft.com/office/drawing/2010/main" val="0"/>
                        </a:ext>
                      </a:extLst>
                    </a:blip>
                    <a:stretch>
                      <a:fillRect/>
                    </a:stretch>
                  </pic:blipFill>
                  <pic:spPr>
                    <a:xfrm>
                      <a:off x="0" y="0"/>
                      <a:ext cx="5614341" cy="2225562"/>
                    </a:xfrm>
                    <a:prstGeom prst="rect">
                      <a:avLst/>
                    </a:prstGeom>
                  </pic:spPr>
                </pic:pic>
              </a:graphicData>
            </a:graphic>
          </wp:inline>
        </w:drawing>
      </w:r>
    </w:p>
    <w:p w14:paraId="1B9FEE5F" w14:textId="46EE1E99" w:rsidR="0089639E" w:rsidRPr="00BD77D8" w:rsidRDefault="0089639E">
      <w:pPr>
        <w:spacing w:after="0" w:line="240" w:lineRule="auto"/>
        <w:rPr>
          <w:rFonts w:eastAsia="Arial" w:cs="Times New Roman"/>
          <w:sz w:val="18"/>
          <w:szCs w:val="22"/>
          <w:lang w:val="en-US" w:eastAsia="en-US"/>
        </w:rPr>
      </w:pPr>
      <w:r w:rsidRPr="00BD77D8">
        <w:rPr>
          <w:rFonts w:eastAsia="Arial" w:cs="Times New Roman"/>
          <w:sz w:val="18"/>
          <w:szCs w:val="22"/>
          <w:lang w:val="en-US" w:eastAsia="en-US"/>
        </w:rPr>
        <w:br w:type="page"/>
      </w:r>
    </w:p>
    <w:p w14:paraId="3818C147" w14:textId="77777777" w:rsidR="00E215C7" w:rsidRPr="00BD77D8" w:rsidRDefault="00E215C7" w:rsidP="009C02E1">
      <w:pPr>
        <w:spacing w:after="0" w:line="240" w:lineRule="auto"/>
        <w:rPr>
          <w:rFonts w:eastAsia="Arial" w:cs="Times New Roman"/>
          <w:sz w:val="18"/>
          <w:szCs w:val="22"/>
          <w:lang w:val="en-US" w:eastAsia="en-US"/>
        </w:rPr>
      </w:pPr>
    </w:p>
    <w:p w14:paraId="4C9FFFD6" w14:textId="335ED12D" w:rsidR="00E215C7" w:rsidRPr="00BD77D8" w:rsidRDefault="000A51A3" w:rsidP="000A51A3">
      <w:pPr>
        <w:spacing w:after="0" w:line="240" w:lineRule="auto"/>
        <w:ind w:left="709"/>
        <w:rPr>
          <w:rFonts w:eastAsia="Arial" w:cs="Times New Roman"/>
          <w:sz w:val="18"/>
          <w:szCs w:val="22"/>
          <w:lang w:val="en-US" w:eastAsia="en-US"/>
        </w:rPr>
      </w:pPr>
      <w:r w:rsidRPr="00BD77D8">
        <w:rPr>
          <w:rFonts w:eastAsia="Arial" w:cs="Times New Roman"/>
          <w:noProof/>
          <w:sz w:val="18"/>
          <w:szCs w:val="22"/>
          <w:lang w:val="en-US" w:eastAsia="en-US"/>
        </w:rPr>
        <w:drawing>
          <wp:inline distT="0" distB="0" distL="0" distR="0" wp14:anchorId="578B675D" wp14:editId="6D13D3A3">
            <wp:extent cx="2070201" cy="935990"/>
            <wp:effectExtent l="0" t="0" r="6350" b="0"/>
            <wp:docPr id="21" name="Picture 21" descr="Image for Queensland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age for Queensland Audit Office logo"/>
                    <pic:cNvPicPr/>
                  </pic:nvPicPr>
                  <pic:blipFill>
                    <a:blip r:embed="rId27">
                      <a:extLst>
                        <a:ext uri="{28A0092B-C50C-407E-A947-70E740481C1C}">
                          <a14:useLocalDpi xmlns:a14="http://schemas.microsoft.com/office/drawing/2010/main" val="0"/>
                        </a:ext>
                      </a:extLst>
                    </a:blip>
                    <a:stretch>
                      <a:fillRect/>
                    </a:stretch>
                  </pic:blipFill>
                  <pic:spPr>
                    <a:xfrm>
                      <a:off x="0" y="0"/>
                      <a:ext cx="2079393" cy="940146"/>
                    </a:xfrm>
                    <a:prstGeom prst="rect">
                      <a:avLst/>
                    </a:prstGeom>
                  </pic:spPr>
                </pic:pic>
              </a:graphicData>
            </a:graphic>
          </wp:inline>
        </w:drawing>
      </w:r>
    </w:p>
    <w:p w14:paraId="40E645DE" w14:textId="4E6F78F3" w:rsidR="003B6EE5" w:rsidRPr="00BD77D8" w:rsidRDefault="003B6EE5" w:rsidP="00293C43">
      <w:pPr>
        <w:pStyle w:val="Default"/>
        <w:spacing w:before="360" w:after="200"/>
        <w:ind w:right="680"/>
        <w:jc w:val="center"/>
        <w:rPr>
          <w:color w:val="auto"/>
          <w:sz w:val="22"/>
          <w:szCs w:val="22"/>
        </w:rPr>
      </w:pPr>
      <w:r w:rsidRPr="00BD77D8">
        <w:rPr>
          <w:b/>
          <w:bCs/>
          <w:color w:val="auto"/>
          <w:sz w:val="22"/>
          <w:szCs w:val="22"/>
        </w:rPr>
        <w:t>INDEPENDENT AUDITOR’S REPORT</w:t>
      </w:r>
    </w:p>
    <w:p w14:paraId="5D133422" w14:textId="3D9064C5" w:rsidR="003B6EE5" w:rsidRPr="00BD77D8" w:rsidRDefault="003B6EE5" w:rsidP="003B6EE5">
      <w:pPr>
        <w:pStyle w:val="Default"/>
        <w:spacing w:after="120"/>
        <w:ind w:left="709" w:right="683"/>
        <w:rPr>
          <w:color w:val="auto"/>
          <w:sz w:val="22"/>
          <w:szCs w:val="22"/>
        </w:rPr>
      </w:pPr>
      <w:r w:rsidRPr="00BD77D8">
        <w:rPr>
          <w:color w:val="auto"/>
          <w:sz w:val="22"/>
          <w:szCs w:val="22"/>
        </w:rPr>
        <w:t xml:space="preserve">To the Accountable Officer of the Department of Seniors, Disability Services and Aboriginal and Torres Strait Islander Partnerships </w:t>
      </w:r>
    </w:p>
    <w:p w14:paraId="44C3D810" w14:textId="4D498B6C" w:rsidR="003B6EE5" w:rsidRPr="00BD77D8" w:rsidRDefault="003B6EE5" w:rsidP="003B6EE5">
      <w:pPr>
        <w:pStyle w:val="Default"/>
        <w:spacing w:after="120"/>
        <w:ind w:left="709" w:right="683"/>
        <w:rPr>
          <w:color w:val="auto"/>
          <w:sz w:val="22"/>
          <w:szCs w:val="22"/>
        </w:rPr>
      </w:pPr>
      <w:r w:rsidRPr="00BD77D8">
        <w:rPr>
          <w:b/>
          <w:bCs/>
          <w:color w:val="auto"/>
          <w:sz w:val="22"/>
          <w:szCs w:val="22"/>
        </w:rPr>
        <w:t xml:space="preserve">Report on the audit of the financial report </w:t>
      </w:r>
    </w:p>
    <w:p w14:paraId="2844C43E" w14:textId="7399CF35" w:rsidR="003B6EE5" w:rsidRPr="00BD77D8" w:rsidRDefault="003B6EE5" w:rsidP="003B6EE5">
      <w:pPr>
        <w:pStyle w:val="Default"/>
        <w:spacing w:after="120"/>
        <w:ind w:left="709" w:right="683"/>
        <w:rPr>
          <w:color w:val="auto"/>
          <w:sz w:val="22"/>
          <w:szCs w:val="22"/>
        </w:rPr>
      </w:pPr>
      <w:r w:rsidRPr="00BD77D8">
        <w:rPr>
          <w:b/>
          <w:bCs/>
          <w:color w:val="auto"/>
          <w:sz w:val="22"/>
          <w:szCs w:val="22"/>
        </w:rPr>
        <w:t xml:space="preserve">Opinion </w:t>
      </w:r>
    </w:p>
    <w:p w14:paraId="71293D9C" w14:textId="5135E151" w:rsidR="003B6EE5" w:rsidRPr="00BD77D8" w:rsidRDefault="003B6EE5" w:rsidP="003B6EE5">
      <w:pPr>
        <w:pStyle w:val="Default"/>
        <w:spacing w:after="120"/>
        <w:ind w:left="709" w:right="683"/>
        <w:rPr>
          <w:color w:val="auto"/>
          <w:sz w:val="22"/>
          <w:szCs w:val="22"/>
        </w:rPr>
      </w:pPr>
      <w:r w:rsidRPr="00BD77D8">
        <w:rPr>
          <w:color w:val="auto"/>
          <w:sz w:val="22"/>
          <w:szCs w:val="22"/>
        </w:rPr>
        <w:t xml:space="preserve">I have audited the accompanying financial report of the Department of Seniors, Disability Services and Aboriginal and Torres Strait Islander Partnerships. </w:t>
      </w:r>
    </w:p>
    <w:p w14:paraId="562D87A0" w14:textId="42ABEB89" w:rsidR="003B6EE5" w:rsidRPr="00BD77D8" w:rsidRDefault="003B6EE5" w:rsidP="003B6EE5">
      <w:pPr>
        <w:pStyle w:val="Default"/>
        <w:spacing w:after="120"/>
        <w:ind w:left="709" w:right="683"/>
        <w:rPr>
          <w:color w:val="auto"/>
          <w:sz w:val="22"/>
          <w:szCs w:val="22"/>
        </w:rPr>
      </w:pPr>
      <w:r w:rsidRPr="00BD77D8">
        <w:rPr>
          <w:color w:val="auto"/>
          <w:sz w:val="22"/>
          <w:szCs w:val="22"/>
        </w:rPr>
        <w:t xml:space="preserve">In my opinion, the financial report: </w:t>
      </w:r>
    </w:p>
    <w:p w14:paraId="2BB8EC01" w14:textId="07A8D561" w:rsidR="003B6EE5" w:rsidRPr="00BD77D8" w:rsidRDefault="003B6EE5" w:rsidP="003B6EE5">
      <w:pPr>
        <w:pStyle w:val="Default"/>
        <w:spacing w:after="120"/>
        <w:ind w:left="709" w:right="683"/>
        <w:rPr>
          <w:color w:val="auto"/>
          <w:sz w:val="22"/>
          <w:szCs w:val="22"/>
        </w:rPr>
      </w:pPr>
      <w:r w:rsidRPr="00BD77D8">
        <w:rPr>
          <w:color w:val="auto"/>
          <w:sz w:val="22"/>
          <w:szCs w:val="22"/>
        </w:rPr>
        <w:t xml:space="preserve">a) gives a true and fair view of the department's financial position as at 30 June 2022, and its financial performance and cash flows for the year then ended </w:t>
      </w:r>
    </w:p>
    <w:p w14:paraId="7042A4E6" w14:textId="77777777" w:rsidR="003B6EE5" w:rsidRPr="00BD77D8" w:rsidRDefault="003B6EE5" w:rsidP="003B6EE5">
      <w:pPr>
        <w:pStyle w:val="Default"/>
        <w:spacing w:after="120"/>
        <w:ind w:left="709" w:right="683"/>
        <w:rPr>
          <w:color w:val="auto"/>
          <w:sz w:val="22"/>
          <w:szCs w:val="22"/>
        </w:rPr>
      </w:pPr>
      <w:r w:rsidRPr="00BD77D8">
        <w:rPr>
          <w:color w:val="auto"/>
          <w:sz w:val="22"/>
          <w:szCs w:val="22"/>
        </w:rPr>
        <w:t xml:space="preserve">b) complies with the </w:t>
      </w:r>
      <w:r w:rsidRPr="00BD77D8">
        <w:rPr>
          <w:i/>
          <w:iCs/>
          <w:color w:val="auto"/>
          <w:sz w:val="22"/>
          <w:szCs w:val="22"/>
        </w:rPr>
        <w:t>Financial Accountability Act 2009</w:t>
      </w:r>
      <w:r w:rsidRPr="00BD77D8">
        <w:rPr>
          <w:color w:val="auto"/>
          <w:sz w:val="22"/>
          <w:szCs w:val="22"/>
        </w:rPr>
        <w:t xml:space="preserve">, the Financial and Performance Management Standard 2019 and Australian Accounting Standards. </w:t>
      </w:r>
    </w:p>
    <w:p w14:paraId="366E11C8" w14:textId="77777777" w:rsidR="003B6EE5" w:rsidRPr="00BD77D8" w:rsidRDefault="003B6EE5" w:rsidP="003B6EE5">
      <w:pPr>
        <w:pStyle w:val="Default"/>
        <w:spacing w:after="120"/>
        <w:ind w:left="709" w:right="683"/>
        <w:rPr>
          <w:color w:val="auto"/>
          <w:sz w:val="22"/>
          <w:szCs w:val="22"/>
        </w:rPr>
      </w:pPr>
      <w:r w:rsidRPr="00BD77D8">
        <w:rPr>
          <w:color w:val="auto"/>
          <w:sz w:val="22"/>
          <w:szCs w:val="22"/>
        </w:rPr>
        <w:t xml:space="preserve">The financial report comprises the statement of financial position and statement of assets and liabilities by major departmental services as at 30 June 2022, the statement of comprehensive income, statement of changes in equity, statement of cash flows and statement of comprehensive income by major departmental services for the year then ended, notes to the financial statements including summaries of significant accounting policies and other explanatory information, and the management certificate. </w:t>
      </w:r>
    </w:p>
    <w:p w14:paraId="37ACF96D" w14:textId="77777777" w:rsidR="003B6EE5" w:rsidRPr="00BD77D8" w:rsidRDefault="003B6EE5" w:rsidP="003B6EE5">
      <w:pPr>
        <w:pStyle w:val="Default"/>
        <w:spacing w:after="120"/>
        <w:ind w:left="709" w:right="683"/>
        <w:rPr>
          <w:color w:val="auto"/>
          <w:sz w:val="22"/>
          <w:szCs w:val="22"/>
        </w:rPr>
      </w:pPr>
      <w:r w:rsidRPr="00BD77D8">
        <w:rPr>
          <w:b/>
          <w:bCs/>
          <w:color w:val="auto"/>
          <w:sz w:val="22"/>
          <w:szCs w:val="22"/>
        </w:rPr>
        <w:t xml:space="preserve">Basis for opinion </w:t>
      </w:r>
    </w:p>
    <w:p w14:paraId="01E9A74A" w14:textId="77777777" w:rsidR="003B6EE5" w:rsidRPr="00BD77D8" w:rsidRDefault="003B6EE5" w:rsidP="003B6EE5">
      <w:pPr>
        <w:pStyle w:val="Default"/>
        <w:spacing w:after="120"/>
        <w:ind w:left="709" w:right="683"/>
        <w:rPr>
          <w:color w:val="auto"/>
          <w:sz w:val="22"/>
          <w:szCs w:val="22"/>
        </w:rPr>
      </w:pPr>
      <w:r w:rsidRPr="00BD77D8">
        <w:rPr>
          <w:color w:val="auto"/>
          <w:sz w:val="22"/>
          <w:szCs w:val="22"/>
        </w:rPr>
        <w:t xml:space="preserve">I conducted my audit in accordance with the </w:t>
      </w:r>
      <w:r w:rsidRPr="00BD77D8">
        <w:rPr>
          <w:i/>
          <w:iCs/>
          <w:color w:val="auto"/>
          <w:sz w:val="22"/>
          <w:szCs w:val="22"/>
        </w:rPr>
        <w:t>Auditor-General Auditing Standards</w:t>
      </w:r>
      <w:r w:rsidRPr="00BD77D8">
        <w:rPr>
          <w:color w:val="auto"/>
          <w:sz w:val="22"/>
          <w:szCs w:val="22"/>
        </w:rPr>
        <w:t xml:space="preserve">, which incorporate the Australian Auditing Standards. My responsibilities under those standards are further described in the </w:t>
      </w:r>
      <w:r w:rsidRPr="00BD77D8">
        <w:rPr>
          <w:i/>
          <w:iCs/>
          <w:color w:val="auto"/>
          <w:sz w:val="22"/>
          <w:szCs w:val="22"/>
        </w:rPr>
        <w:t xml:space="preserve">Auditor’s Responsibilities for the Audit of the Financial Report </w:t>
      </w:r>
      <w:r w:rsidRPr="00BD77D8">
        <w:rPr>
          <w:color w:val="auto"/>
          <w:sz w:val="22"/>
          <w:szCs w:val="22"/>
        </w:rPr>
        <w:t xml:space="preserve">section of my report. </w:t>
      </w:r>
    </w:p>
    <w:p w14:paraId="7BC36971" w14:textId="77777777" w:rsidR="003B6EE5" w:rsidRPr="00BD77D8" w:rsidRDefault="003B6EE5" w:rsidP="003B6EE5">
      <w:pPr>
        <w:pStyle w:val="Default"/>
        <w:spacing w:after="120"/>
        <w:ind w:left="709" w:right="683"/>
        <w:rPr>
          <w:color w:val="auto"/>
          <w:sz w:val="22"/>
          <w:szCs w:val="22"/>
        </w:rPr>
      </w:pPr>
      <w:r w:rsidRPr="00BD77D8">
        <w:rPr>
          <w:color w:val="auto"/>
          <w:sz w:val="22"/>
          <w:szCs w:val="22"/>
        </w:rPr>
        <w:t xml:space="preserve">I am independent of the department in accordance with the ethical requirements of the Accounting Professional and Ethical Standards Board’s APES 110 </w:t>
      </w:r>
      <w:r w:rsidRPr="00BD77D8">
        <w:rPr>
          <w:i/>
          <w:iCs/>
          <w:color w:val="auto"/>
          <w:sz w:val="22"/>
          <w:szCs w:val="22"/>
        </w:rPr>
        <w:t xml:space="preserve">Code of Ethics for Professional Accountants </w:t>
      </w:r>
      <w:r w:rsidRPr="00BD77D8">
        <w:rPr>
          <w:color w:val="auto"/>
          <w:sz w:val="22"/>
          <w:szCs w:val="22"/>
        </w:rPr>
        <w:t xml:space="preserve">(the Code) that are relevant to my audit of the financial report in Australia. I have also fulfilled my other ethical responsibilities in accordance with the Code and the </w:t>
      </w:r>
      <w:r w:rsidRPr="00BD77D8">
        <w:rPr>
          <w:i/>
          <w:iCs/>
          <w:color w:val="auto"/>
          <w:sz w:val="22"/>
          <w:szCs w:val="22"/>
        </w:rPr>
        <w:t>Auditor-General Auditing Standards</w:t>
      </w:r>
      <w:r w:rsidRPr="00BD77D8">
        <w:rPr>
          <w:color w:val="auto"/>
          <w:sz w:val="22"/>
          <w:szCs w:val="22"/>
        </w:rPr>
        <w:t xml:space="preserve">. </w:t>
      </w:r>
    </w:p>
    <w:p w14:paraId="12B110A9" w14:textId="77777777" w:rsidR="003B6EE5" w:rsidRPr="00BD77D8" w:rsidRDefault="003B6EE5" w:rsidP="003B6EE5">
      <w:pPr>
        <w:pStyle w:val="Default"/>
        <w:spacing w:after="120"/>
        <w:ind w:left="709" w:right="683"/>
        <w:rPr>
          <w:color w:val="auto"/>
          <w:sz w:val="22"/>
          <w:szCs w:val="22"/>
        </w:rPr>
      </w:pPr>
      <w:r w:rsidRPr="00BD77D8">
        <w:rPr>
          <w:color w:val="auto"/>
          <w:sz w:val="22"/>
          <w:szCs w:val="22"/>
        </w:rPr>
        <w:t xml:space="preserve">I believe that the audit evidence I have obtained is sufficient and appropriate to provide a basis for my opinion. </w:t>
      </w:r>
    </w:p>
    <w:p w14:paraId="2DD8F07F" w14:textId="77777777" w:rsidR="003B6EE5" w:rsidRPr="00BD77D8" w:rsidRDefault="003B6EE5" w:rsidP="003B6EE5">
      <w:pPr>
        <w:pStyle w:val="Default"/>
        <w:spacing w:after="120"/>
        <w:ind w:left="709" w:right="683"/>
        <w:rPr>
          <w:color w:val="auto"/>
          <w:sz w:val="22"/>
          <w:szCs w:val="22"/>
        </w:rPr>
      </w:pPr>
      <w:r w:rsidRPr="00BD77D8">
        <w:rPr>
          <w:b/>
          <w:bCs/>
          <w:color w:val="auto"/>
          <w:sz w:val="22"/>
          <w:szCs w:val="22"/>
        </w:rPr>
        <w:t xml:space="preserve">Key audit matters </w:t>
      </w:r>
    </w:p>
    <w:p w14:paraId="2E746EB7" w14:textId="77777777" w:rsidR="003B6EE5" w:rsidRPr="00BD77D8" w:rsidRDefault="003B6EE5" w:rsidP="0089639E">
      <w:pPr>
        <w:spacing w:after="1080" w:line="240" w:lineRule="auto"/>
        <w:ind w:left="709" w:right="680"/>
        <w:rPr>
          <w:sz w:val="22"/>
          <w:szCs w:val="22"/>
        </w:rPr>
      </w:pPr>
      <w:r w:rsidRPr="00BD77D8">
        <w:rPr>
          <w:sz w:val="22"/>
          <w:szCs w:val="22"/>
        </w:rPr>
        <w:t>Key audit matters are those matters that, in my professional judgement, were of most significance in my audit of the financial report of the current period. I addressed these matters in the context of my audit of the financial report as a whole, and in forming my opinion thereon, and I do not provide a separate opinion on these matters.</w:t>
      </w:r>
    </w:p>
    <w:p w14:paraId="6CECA077" w14:textId="77777777" w:rsidR="00552F15" w:rsidRPr="00BD77D8" w:rsidRDefault="00552F15" w:rsidP="00552F15">
      <w:pPr>
        <w:spacing w:after="120" w:line="240" w:lineRule="auto"/>
        <w:ind w:right="683"/>
        <w:rPr>
          <w:b/>
          <w:bCs/>
          <w:i/>
          <w:iCs/>
          <w:sz w:val="22"/>
          <w:szCs w:val="22"/>
        </w:rPr>
      </w:pPr>
      <w:r w:rsidRPr="00BD77D8">
        <w:rPr>
          <w:rFonts w:eastAsia="Arial" w:cs="Times New Roman"/>
          <w:noProof/>
          <w:sz w:val="18"/>
          <w:szCs w:val="22"/>
          <w:lang w:val="en-US" w:eastAsia="en-US"/>
        </w:rPr>
        <w:lastRenderedPageBreak/>
        <w:drawing>
          <wp:inline distT="0" distB="0" distL="0" distR="0" wp14:anchorId="5F632170" wp14:editId="50964665">
            <wp:extent cx="2003531" cy="921715"/>
            <wp:effectExtent l="0" t="0" r="0" b="0"/>
            <wp:docPr id="20" name="Picture 20" descr="Queensland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ueensland Audit Office logo"/>
                    <pic:cNvPicPr/>
                  </pic:nvPicPr>
                  <pic:blipFill>
                    <a:blip r:embed="rId27">
                      <a:extLst>
                        <a:ext uri="{28A0092B-C50C-407E-A947-70E740481C1C}">
                          <a14:useLocalDpi xmlns:a14="http://schemas.microsoft.com/office/drawing/2010/main" val="0"/>
                        </a:ext>
                      </a:extLst>
                    </a:blip>
                    <a:stretch>
                      <a:fillRect/>
                    </a:stretch>
                  </pic:blipFill>
                  <pic:spPr>
                    <a:xfrm>
                      <a:off x="0" y="0"/>
                      <a:ext cx="2011579" cy="925417"/>
                    </a:xfrm>
                    <a:prstGeom prst="rect">
                      <a:avLst/>
                    </a:prstGeom>
                  </pic:spPr>
                </pic:pic>
              </a:graphicData>
            </a:graphic>
          </wp:inline>
        </w:drawing>
      </w:r>
    </w:p>
    <w:p w14:paraId="31619EDE" w14:textId="7A5A1536" w:rsidR="007F263C" w:rsidRPr="00BD77D8" w:rsidRDefault="007F263C" w:rsidP="004A171D">
      <w:pPr>
        <w:spacing w:after="80" w:line="240" w:lineRule="auto"/>
        <w:ind w:right="680"/>
        <w:rPr>
          <w:rFonts w:eastAsia="Arial" w:cs="Times New Roman"/>
          <w:lang w:val="en-US" w:eastAsia="en-US"/>
        </w:rPr>
      </w:pPr>
      <w:r w:rsidRPr="00BD77D8">
        <w:rPr>
          <w:b/>
          <w:bCs/>
          <w:i/>
          <w:iCs/>
        </w:rPr>
        <w:t>Valuation of specialised buildings ($137.334 million)</w:t>
      </w:r>
    </w:p>
    <w:p w14:paraId="1BDDBAF5" w14:textId="77777777" w:rsidR="007F263C" w:rsidRPr="00BD77D8" w:rsidRDefault="007F263C" w:rsidP="004A171D">
      <w:pPr>
        <w:spacing w:after="80" w:line="240" w:lineRule="auto"/>
        <w:ind w:right="680"/>
        <w:rPr>
          <w:i/>
          <w:iCs/>
        </w:rPr>
      </w:pPr>
      <w:r w:rsidRPr="00BD77D8">
        <w:rPr>
          <w:i/>
          <w:iCs/>
        </w:rPr>
        <w:t>Refer to notes C4-4 and C4-7 in the financial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7"/>
      </w:tblGrid>
      <w:tr w:rsidR="00BD77D8" w:rsidRPr="00BD77D8" w14:paraId="6988B8DD" w14:textId="77777777" w:rsidTr="00466C49">
        <w:tc>
          <w:tcPr>
            <w:tcW w:w="5227" w:type="dxa"/>
            <w:tcBorders>
              <w:bottom w:val="single" w:sz="4" w:space="0" w:color="auto"/>
            </w:tcBorders>
            <w:shd w:val="clear" w:color="auto" w:fill="F2F2F2" w:themeFill="background1" w:themeFillShade="F2"/>
          </w:tcPr>
          <w:p w14:paraId="6C91CBD2" w14:textId="683111DF" w:rsidR="00466C49" w:rsidRPr="00BD77D8" w:rsidRDefault="00466C49" w:rsidP="00466C49">
            <w:pPr>
              <w:spacing w:after="120" w:line="240" w:lineRule="auto"/>
              <w:ind w:right="683"/>
              <w:jc w:val="center"/>
              <w:rPr>
                <w:rFonts w:ascii="Arial" w:eastAsia="Arial" w:hAnsi="Arial"/>
                <w:b/>
                <w:bCs/>
                <w:sz w:val="20"/>
                <w:szCs w:val="20"/>
                <w:lang w:val="en-US" w:eastAsia="en-US"/>
              </w:rPr>
            </w:pPr>
            <w:r w:rsidRPr="00BD77D8">
              <w:rPr>
                <w:rFonts w:ascii="Arial" w:eastAsia="Arial" w:hAnsi="Arial"/>
                <w:b/>
                <w:bCs/>
                <w:sz w:val="20"/>
                <w:szCs w:val="20"/>
                <w:lang w:val="en-US" w:eastAsia="en-US"/>
              </w:rPr>
              <w:t>Key audit matter</w:t>
            </w:r>
          </w:p>
        </w:tc>
        <w:tc>
          <w:tcPr>
            <w:tcW w:w="5227" w:type="dxa"/>
            <w:tcBorders>
              <w:bottom w:val="single" w:sz="4" w:space="0" w:color="auto"/>
            </w:tcBorders>
            <w:shd w:val="clear" w:color="auto" w:fill="F2F2F2" w:themeFill="background1" w:themeFillShade="F2"/>
          </w:tcPr>
          <w:p w14:paraId="30453180" w14:textId="7D3C8AC7" w:rsidR="00466C49" w:rsidRPr="00BD77D8" w:rsidRDefault="00466C49" w:rsidP="00466C49">
            <w:pPr>
              <w:spacing w:after="120" w:line="240" w:lineRule="auto"/>
              <w:ind w:right="683"/>
              <w:jc w:val="center"/>
              <w:rPr>
                <w:rFonts w:ascii="Arial" w:eastAsia="Arial" w:hAnsi="Arial"/>
                <w:b/>
                <w:bCs/>
                <w:sz w:val="20"/>
                <w:szCs w:val="20"/>
                <w:lang w:val="en-US" w:eastAsia="en-US"/>
              </w:rPr>
            </w:pPr>
            <w:r w:rsidRPr="00BD77D8">
              <w:rPr>
                <w:rFonts w:ascii="Arial" w:eastAsia="Arial" w:hAnsi="Arial"/>
                <w:b/>
                <w:bCs/>
                <w:sz w:val="20"/>
                <w:szCs w:val="20"/>
                <w:lang w:val="en-US" w:eastAsia="en-US"/>
              </w:rPr>
              <w:t>How my audit addressed the key audit matter</w:t>
            </w:r>
          </w:p>
        </w:tc>
      </w:tr>
      <w:tr w:rsidR="00BD77D8" w:rsidRPr="00BD77D8" w14:paraId="51F3513F" w14:textId="77777777" w:rsidTr="00466C49">
        <w:tc>
          <w:tcPr>
            <w:tcW w:w="5227" w:type="dxa"/>
            <w:tcBorders>
              <w:top w:val="single" w:sz="4" w:space="0" w:color="auto"/>
              <w:bottom w:val="single" w:sz="4" w:space="0" w:color="auto"/>
            </w:tcBorders>
          </w:tcPr>
          <w:p w14:paraId="12D4FBA2" w14:textId="77777777" w:rsidR="00466C49" w:rsidRPr="00BD77D8" w:rsidRDefault="00466C49" w:rsidP="00466C49">
            <w:pPr>
              <w:spacing w:after="120" w:line="240" w:lineRule="auto"/>
              <w:ind w:right="437"/>
              <w:rPr>
                <w:rFonts w:ascii="Arial" w:eastAsia="Arial" w:hAnsi="Arial"/>
                <w:sz w:val="20"/>
                <w:szCs w:val="20"/>
                <w:lang w:val="en-US" w:eastAsia="en-US"/>
              </w:rPr>
            </w:pPr>
            <w:r w:rsidRPr="00BD77D8">
              <w:rPr>
                <w:rFonts w:ascii="Arial" w:eastAsia="Arial" w:hAnsi="Arial"/>
                <w:sz w:val="20"/>
                <w:szCs w:val="20"/>
                <w:lang w:val="en-US" w:eastAsia="en-US"/>
              </w:rPr>
              <w:t xml:space="preserve">The Department of Seniors, Disability Services and Aboriginal and Torres Strait Islander Partnerships (DSDSATSIP) </w:t>
            </w:r>
            <w:proofErr w:type="spellStart"/>
            <w:r w:rsidRPr="00BD77D8">
              <w:rPr>
                <w:rFonts w:ascii="Arial" w:eastAsia="Arial" w:hAnsi="Arial"/>
                <w:sz w:val="20"/>
                <w:szCs w:val="20"/>
                <w:lang w:val="en-US" w:eastAsia="en-US"/>
              </w:rPr>
              <w:t>specialised</w:t>
            </w:r>
            <w:proofErr w:type="spellEnd"/>
            <w:r w:rsidRPr="00BD77D8">
              <w:rPr>
                <w:rFonts w:ascii="Arial" w:eastAsia="Arial" w:hAnsi="Arial"/>
                <w:sz w:val="20"/>
                <w:szCs w:val="20"/>
                <w:lang w:val="en-US" w:eastAsia="en-US"/>
              </w:rPr>
              <w:t xml:space="preserve"> building assets were valued at balance date using the current replacement cost method that comprises:</w:t>
            </w:r>
          </w:p>
          <w:p w14:paraId="0FC63339" w14:textId="44B60205" w:rsidR="00466C49" w:rsidRPr="00BD77D8" w:rsidRDefault="00466C49" w:rsidP="003954C5">
            <w:pPr>
              <w:pStyle w:val="ListParagraph"/>
              <w:numPr>
                <w:ilvl w:val="0"/>
                <w:numId w:val="78"/>
              </w:numPr>
              <w:spacing w:after="120" w:line="240" w:lineRule="auto"/>
              <w:ind w:right="437"/>
              <w:rPr>
                <w:rFonts w:ascii="Arial" w:eastAsia="Arial" w:hAnsi="Arial"/>
                <w:sz w:val="20"/>
                <w:szCs w:val="20"/>
                <w:lang w:val="en-US" w:eastAsia="en-US"/>
              </w:rPr>
            </w:pPr>
            <w:r w:rsidRPr="00BD77D8">
              <w:rPr>
                <w:rFonts w:ascii="Arial" w:eastAsia="Arial" w:hAnsi="Arial"/>
                <w:sz w:val="20"/>
                <w:szCs w:val="20"/>
                <w:lang w:val="en-US" w:eastAsia="en-US"/>
              </w:rPr>
              <w:t>Gross replacement cost, less</w:t>
            </w:r>
          </w:p>
          <w:p w14:paraId="41A7BC1E" w14:textId="3D69CA9E" w:rsidR="00466C49" w:rsidRPr="00BD77D8" w:rsidRDefault="00466C49" w:rsidP="003954C5">
            <w:pPr>
              <w:pStyle w:val="ListParagraph"/>
              <w:numPr>
                <w:ilvl w:val="0"/>
                <w:numId w:val="78"/>
              </w:numPr>
              <w:spacing w:after="120" w:line="240" w:lineRule="auto"/>
              <w:ind w:right="437"/>
              <w:rPr>
                <w:rFonts w:ascii="Arial" w:eastAsia="Arial" w:hAnsi="Arial"/>
                <w:sz w:val="20"/>
                <w:szCs w:val="20"/>
                <w:lang w:val="en-US" w:eastAsia="en-US"/>
              </w:rPr>
            </w:pPr>
            <w:r w:rsidRPr="00BD77D8">
              <w:rPr>
                <w:rFonts w:ascii="Arial" w:eastAsia="Arial" w:hAnsi="Arial"/>
                <w:sz w:val="20"/>
                <w:szCs w:val="20"/>
                <w:lang w:val="en-US" w:eastAsia="en-US"/>
              </w:rPr>
              <w:t>Accumulated depreciation.</w:t>
            </w:r>
          </w:p>
          <w:p w14:paraId="5AE89D65" w14:textId="77777777" w:rsidR="00466C49" w:rsidRPr="00BD77D8" w:rsidRDefault="00466C49" w:rsidP="00466C49">
            <w:pPr>
              <w:spacing w:after="120" w:line="240" w:lineRule="auto"/>
              <w:ind w:right="437"/>
              <w:rPr>
                <w:rFonts w:ascii="Arial" w:eastAsia="Arial" w:hAnsi="Arial"/>
                <w:sz w:val="20"/>
                <w:szCs w:val="20"/>
                <w:lang w:val="en-US" w:eastAsia="en-US"/>
              </w:rPr>
            </w:pPr>
            <w:proofErr w:type="spellStart"/>
            <w:r w:rsidRPr="00BD77D8">
              <w:rPr>
                <w:rFonts w:ascii="Arial" w:eastAsia="Arial" w:hAnsi="Arial"/>
                <w:sz w:val="20"/>
                <w:szCs w:val="20"/>
                <w:lang w:val="en-US" w:eastAsia="en-US"/>
              </w:rPr>
              <w:t>Specialised</w:t>
            </w:r>
            <w:proofErr w:type="spellEnd"/>
            <w:r w:rsidRPr="00BD77D8">
              <w:rPr>
                <w:rFonts w:ascii="Arial" w:eastAsia="Arial" w:hAnsi="Arial"/>
                <w:sz w:val="20"/>
                <w:szCs w:val="20"/>
                <w:lang w:val="en-US" w:eastAsia="en-US"/>
              </w:rPr>
              <w:t xml:space="preserve"> buildings represented 94 per cent of the total building assets as at balance date.</w:t>
            </w:r>
          </w:p>
          <w:p w14:paraId="28EB0502" w14:textId="77777777" w:rsidR="00466C49" w:rsidRPr="00BD77D8" w:rsidRDefault="00466C49" w:rsidP="00466C49">
            <w:pPr>
              <w:spacing w:after="120" w:line="240" w:lineRule="auto"/>
              <w:ind w:right="437"/>
              <w:rPr>
                <w:rFonts w:ascii="Arial" w:eastAsia="Arial" w:hAnsi="Arial"/>
                <w:sz w:val="20"/>
                <w:szCs w:val="20"/>
                <w:lang w:val="en-US" w:eastAsia="en-US"/>
              </w:rPr>
            </w:pPr>
            <w:r w:rsidRPr="00BD77D8">
              <w:rPr>
                <w:rFonts w:ascii="Arial" w:eastAsia="Arial" w:hAnsi="Arial"/>
                <w:sz w:val="20"/>
                <w:szCs w:val="20"/>
                <w:lang w:val="en-US" w:eastAsia="en-US"/>
              </w:rPr>
              <w:t xml:space="preserve">The department performs comprehensive revaluations of </w:t>
            </w:r>
            <w:proofErr w:type="gramStart"/>
            <w:r w:rsidRPr="00BD77D8">
              <w:rPr>
                <w:rFonts w:ascii="Arial" w:eastAsia="Arial" w:hAnsi="Arial"/>
                <w:sz w:val="20"/>
                <w:szCs w:val="20"/>
                <w:lang w:val="en-US" w:eastAsia="en-US"/>
              </w:rPr>
              <w:t>all of</w:t>
            </w:r>
            <w:proofErr w:type="gramEnd"/>
            <w:r w:rsidRPr="00BD77D8">
              <w:rPr>
                <w:rFonts w:ascii="Arial" w:eastAsia="Arial" w:hAnsi="Arial"/>
                <w:sz w:val="20"/>
                <w:szCs w:val="20"/>
                <w:lang w:val="en-US" w:eastAsia="en-US"/>
              </w:rPr>
              <w:t xml:space="preserve"> its buildings at least every five years, with desktop valuations conducted in the intervening period.</w:t>
            </w:r>
          </w:p>
          <w:p w14:paraId="5B2BE4FB" w14:textId="77777777" w:rsidR="00466C49" w:rsidRPr="00BD77D8" w:rsidRDefault="00466C49" w:rsidP="00466C49">
            <w:pPr>
              <w:spacing w:after="120" w:line="240" w:lineRule="auto"/>
              <w:ind w:right="437"/>
              <w:rPr>
                <w:rFonts w:ascii="Arial" w:eastAsia="Arial" w:hAnsi="Arial"/>
                <w:sz w:val="20"/>
                <w:szCs w:val="20"/>
                <w:lang w:val="en-US" w:eastAsia="en-US"/>
              </w:rPr>
            </w:pPr>
            <w:r w:rsidRPr="00BD77D8">
              <w:rPr>
                <w:rFonts w:ascii="Arial" w:eastAsia="Arial" w:hAnsi="Arial"/>
                <w:sz w:val="20"/>
                <w:szCs w:val="20"/>
                <w:lang w:val="en-US" w:eastAsia="en-US"/>
              </w:rPr>
              <w:t>In making these judgements, the department engaged an external valuation expert to perform a comprehensive revaluation of Aboriginal and Torres Strait Islander Partnerships Service Area land and buildings and perform a desktop revaluation of Disability Services and Seniors Services Service Areas land and buildings in 2021-22.</w:t>
            </w:r>
          </w:p>
          <w:p w14:paraId="3DFC676C" w14:textId="77777777" w:rsidR="00466C49" w:rsidRPr="00BD77D8" w:rsidRDefault="00466C49" w:rsidP="00466C49">
            <w:pPr>
              <w:spacing w:after="120" w:line="240" w:lineRule="auto"/>
              <w:ind w:right="437"/>
              <w:rPr>
                <w:rFonts w:ascii="Arial" w:eastAsia="Arial" w:hAnsi="Arial"/>
                <w:sz w:val="20"/>
                <w:szCs w:val="20"/>
                <w:lang w:val="en-US" w:eastAsia="en-US"/>
              </w:rPr>
            </w:pPr>
            <w:r w:rsidRPr="00BD77D8">
              <w:rPr>
                <w:rFonts w:ascii="Arial" w:eastAsia="Arial" w:hAnsi="Arial"/>
                <w:sz w:val="20"/>
                <w:szCs w:val="20"/>
                <w:lang w:val="en-US" w:eastAsia="en-US"/>
              </w:rPr>
              <w:t>The Department derived the gross replacement cost of its buildings at balance date using unit prices that required significant judgements for:</w:t>
            </w:r>
          </w:p>
          <w:p w14:paraId="171865D7" w14:textId="265AD8EB" w:rsidR="00466C49" w:rsidRPr="00BD77D8" w:rsidRDefault="00466C49" w:rsidP="003954C5">
            <w:pPr>
              <w:pStyle w:val="ListParagraph"/>
              <w:numPr>
                <w:ilvl w:val="0"/>
                <w:numId w:val="78"/>
              </w:numPr>
              <w:spacing w:after="120" w:line="240" w:lineRule="auto"/>
              <w:ind w:right="437"/>
              <w:rPr>
                <w:rFonts w:ascii="Arial" w:eastAsia="Arial" w:hAnsi="Arial"/>
                <w:sz w:val="20"/>
                <w:szCs w:val="20"/>
                <w:lang w:val="en-US" w:eastAsia="en-US"/>
              </w:rPr>
            </w:pPr>
            <w:r w:rsidRPr="00BD77D8">
              <w:rPr>
                <w:rFonts w:ascii="Arial" w:eastAsia="Arial" w:hAnsi="Arial"/>
                <w:sz w:val="20"/>
                <w:szCs w:val="20"/>
                <w:lang w:val="en-US" w:eastAsia="en-US"/>
              </w:rPr>
              <w:t>identifying the components of buildings with separately identifiable replacement costs (known as unit rate categories)</w:t>
            </w:r>
          </w:p>
          <w:p w14:paraId="1E07A726" w14:textId="14E449E1" w:rsidR="00466C49" w:rsidRPr="00BD77D8" w:rsidRDefault="00466C49" w:rsidP="003954C5">
            <w:pPr>
              <w:pStyle w:val="ListParagraph"/>
              <w:numPr>
                <w:ilvl w:val="0"/>
                <w:numId w:val="78"/>
              </w:numPr>
              <w:spacing w:after="120" w:line="240" w:lineRule="auto"/>
              <w:ind w:right="437"/>
              <w:rPr>
                <w:rFonts w:ascii="Arial" w:eastAsia="Arial" w:hAnsi="Arial"/>
                <w:sz w:val="20"/>
                <w:szCs w:val="20"/>
                <w:lang w:val="en-US" w:eastAsia="en-US"/>
              </w:rPr>
            </w:pPr>
            <w:r w:rsidRPr="00BD77D8">
              <w:rPr>
                <w:rFonts w:ascii="Arial" w:eastAsia="Arial" w:hAnsi="Arial"/>
                <w:sz w:val="20"/>
                <w:szCs w:val="20"/>
                <w:lang w:val="en-US" w:eastAsia="en-US"/>
              </w:rPr>
              <w:t>developing a unit rate for each of these components, including:</w:t>
            </w:r>
          </w:p>
          <w:p w14:paraId="26A41F91" w14:textId="10B0192A" w:rsidR="00466C49" w:rsidRPr="00BD77D8" w:rsidRDefault="00466C49" w:rsidP="003954C5">
            <w:pPr>
              <w:pStyle w:val="ListParagraph"/>
              <w:numPr>
                <w:ilvl w:val="1"/>
                <w:numId w:val="78"/>
              </w:numPr>
              <w:spacing w:after="120" w:line="240" w:lineRule="auto"/>
              <w:ind w:left="463" w:right="437" w:hanging="141"/>
              <w:rPr>
                <w:rFonts w:ascii="Arial" w:eastAsia="Arial" w:hAnsi="Arial"/>
                <w:sz w:val="20"/>
                <w:szCs w:val="20"/>
                <w:lang w:val="en-US" w:eastAsia="en-US"/>
              </w:rPr>
            </w:pPr>
            <w:r w:rsidRPr="00BD77D8">
              <w:rPr>
                <w:rFonts w:ascii="Arial" w:eastAsia="Arial" w:hAnsi="Arial"/>
                <w:sz w:val="20"/>
                <w:szCs w:val="20"/>
                <w:lang w:val="en-US" w:eastAsia="en-US"/>
              </w:rPr>
              <w:t>estimating the current cost for a modern substitute (including locality factors and oncosts), expressed as a rate per unit (</w:t>
            </w:r>
            <w:proofErr w:type="gramStart"/>
            <w:r w:rsidRPr="00BD77D8">
              <w:rPr>
                <w:rFonts w:ascii="Arial" w:eastAsia="Arial" w:hAnsi="Arial"/>
                <w:sz w:val="20"/>
                <w:szCs w:val="20"/>
                <w:lang w:val="en-US" w:eastAsia="en-US"/>
              </w:rPr>
              <w:t>e.g.</w:t>
            </w:r>
            <w:proofErr w:type="gramEnd"/>
            <w:r w:rsidRPr="00BD77D8">
              <w:rPr>
                <w:rFonts w:ascii="Arial" w:eastAsia="Arial" w:hAnsi="Arial"/>
                <w:sz w:val="20"/>
                <w:szCs w:val="20"/>
                <w:lang w:val="en-US" w:eastAsia="en-US"/>
              </w:rPr>
              <w:t xml:space="preserve"> $/square </w:t>
            </w:r>
            <w:proofErr w:type="spellStart"/>
            <w:r w:rsidRPr="00BD77D8">
              <w:rPr>
                <w:rFonts w:ascii="Arial" w:eastAsia="Arial" w:hAnsi="Arial"/>
                <w:sz w:val="20"/>
                <w:szCs w:val="20"/>
                <w:lang w:val="en-US" w:eastAsia="en-US"/>
              </w:rPr>
              <w:t>metre</w:t>
            </w:r>
            <w:proofErr w:type="spellEnd"/>
            <w:r w:rsidRPr="00BD77D8">
              <w:rPr>
                <w:rFonts w:ascii="Arial" w:eastAsia="Arial" w:hAnsi="Arial"/>
                <w:sz w:val="20"/>
                <w:szCs w:val="20"/>
                <w:lang w:val="en-US" w:eastAsia="en-US"/>
              </w:rPr>
              <w:t>)</w:t>
            </w:r>
          </w:p>
          <w:p w14:paraId="015BD173" w14:textId="1DD2DCEE" w:rsidR="00466C49" w:rsidRPr="00BD77D8" w:rsidRDefault="00466C49" w:rsidP="003954C5">
            <w:pPr>
              <w:pStyle w:val="ListParagraph"/>
              <w:numPr>
                <w:ilvl w:val="1"/>
                <w:numId w:val="78"/>
              </w:numPr>
              <w:spacing w:after="120" w:line="240" w:lineRule="auto"/>
              <w:ind w:left="463" w:right="437" w:hanging="141"/>
              <w:rPr>
                <w:rFonts w:ascii="Arial" w:eastAsia="Arial" w:hAnsi="Arial"/>
                <w:sz w:val="20"/>
                <w:szCs w:val="20"/>
                <w:lang w:val="en-US" w:eastAsia="en-US"/>
              </w:rPr>
            </w:pPr>
            <w:r w:rsidRPr="00BD77D8">
              <w:rPr>
                <w:rFonts w:ascii="Arial" w:eastAsia="Arial" w:hAnsi="Arial"/>
                <w:sz w:val="20"/>
                <w:szCs w:val="20"/>
                <w:lang w:val="en-US" w:eastAsia="en-US"/>
              </w:rPr>
              <w:t>identifying whether the existing building contains obsolescence or less utility compared to the modern substitute, and if so, estimating the adjustment to the unit rate required to reflect this difference</w:t>
            </w:r>
          </w:p>
          <w:p w14:paraId="3A7EDF1A" w14:textId="3B29769C" w:rsidR="00466C49" w:rsidRPr="00BD77D8" w:rsidRDefault="00466C49" w:rsidP="003954C5">
            <w:pPr>
              <w:pStyle w:val="ListParagraph"/>
              <w:numPr>
                <w:ilvl w:val="0"/>
                <w:numId w:val="78"/>
              </w:numPr>
              <w:spacing w:after="120" w:line="240" w:lineRule="auto"/>
              <w:ind w:right="437"/>
              <w:rPr>
                <w:rFonts w:ascii="Arial" w:eastAsia="Arial" w:hAnsi="Arial"/>
                <w:sz w:val="20"/>
                <w:szCs w:val="20"/>
                <w:lang w:val="en-US" w:eastAsia="en-US"/>
              </w:rPr>
            </w:pPr>
            <w:r w:rsidRPr="00BD77D8">
              <w:rPr>
                <w:rFonts w:ascii="Arial" w:eastAsia="Arial" w:hAnsi="Arial"/>
                <w:sz w:val="20"/>
                <w:szCs w:val="20"/>
                <w:lang w:val="en-US" w:eastAsia="en-US"/>
              </w:rPr>
              <w:t>indexing unit rates for subsequent increases in input costs.</w:t>
            </w:r>
          </w:p>
          <w:p w14:paraId="3041B660" w14:textId="77777777" w:rsidR="00466C49" w:rsidRPr="00BD77D8" w:rsidRDefault="00466C49" w:rsidP="00466C49">
            <w:pPr>
              <w:spacing w:after="120" w:line="240" w:lineRule="auto"/>
              <w:ind w:right="437"/>
              <w:rPr>
                <w:rFonts w:ascii="Arial" w:eastAsia="Arial" w:hAnsi="Arial"/>
                <w:sz w:val="20"/>
                <w:szCs w:val="20"/>
                <w:lang w:val="en-US" w:eastAsia="en-US"/>
              </w:rPr>
            </w:pPr>
            <w:r w:rsidRPr="00BD77D8">
              <w:rPr>
                <w:rFonts w:ascii="Arial" w:eastAsia="Arial" w:hAnsi="Arial"/>
                <w:sz w:val="20"/>
                <w:szCs w:val="20"/>
                <w:lang w:val="en-US" w:eastAsia="en-US"/>
              </w:rPr>
              <w:t>The measurement of accumulated depreciation involved significant judgements for forecasting the remaining useful lives of asset components.</w:t>
            </w:r>
          </w:p>
          <w:p w14:paraId="3D28ED6C" w14:textId="1A903DAF" w:rsidR="00466C49" w:rsidRPr="00BD77D8" w:rsidRDefault="00466C49" w:rsidP="004A171D">
            <w:pPr>
              <w:spacing w:after="120" w:line="240" w:lineRule="auto"/>
              <w:ind w:right="437"/>
              <w:rPr>
                <w:rFonts w:ascii="Arial" w:eastAsia="Arial" w:hAnsi="Arial"/>
                <w:sz w:val="20"/>
                <w:szCs w:val="20"/>
                <w:lang w:val="en-US" w:eastAsia="en-US"/>
              </w:rPr>
            </w:pPr>
            <w:r w:rsidRPr="00BD77D8">
              <w:rPr>
                <w:rFonts w:ascii="Arial" w:eastAsia="Arial" w:hAnsi="Arial"/>
                <w:sz w:val="20"/>
                <w:szCs w:val="20"/>
                <w:lang w:val="en-US" w:eastAsia="en-US"/>
              </w:rPr>
              <w:t>The significant judgements required for gross replacement cost and useful lives are also significant for calculating annual depreciation expense.</w:t>
            </w:r>
          </w:p>
        </w:tc>
        <w:tc>
          <w:tcPr>
            <w:tcW w:w="5227" w:type="dxa"/>
            <w:tcBorders>
              <w:top w:val="single" w:sz="4" w:space="0" w:color="auto"/>
              <w:bottom w:val="single" w:sz="4" w:space="0" w:color="auto"/>
            </w:tcBorders>
          </w:tcPr>
          <w:p w14:paraId="008841D9" w14:textId="77777777" w:rsidR="00466C49" w:rsidRPr="00BD77D8" w:rsidRDefault="00466C49" w:rsidP="00466C49">
            <w:pPr>
              <w:spacing w:after="120" w:line="240" w:lineRule="auto"/>
              <w:ind w:right="683"/>
              <w:rPr>
                <w:rFonts w:ascii="Arial" w:eastAsia="Arial" w:hAnsi="Arial"/>
                <w:sz w:val="20"/>
                <w:szCs w:val="20"/>
                <w:lang w:val="en-US" w:eastAsia="en-US"/>
              </w:rPr>
            </w:pPr>
            <w:r w:rsidRPr="00BD77D8">
              <w:rPr>
                <w:rFonts w:ascii="Arial" w:eastAsia="Arial" w:hAnsi="Arial"/>
                <w:sz w:val="20"/>
                <w:szCs w:val="20"/>
                <w:lang w:val="en-US" w:eastAsia="en-US"/>
              </w:rPr>
              <w:t>My procedures included, but were not limited to:</w:t>
            </w:r>
          </w:p>
          <w:p w14:paraId="0652D5FC" w14:textId="0BC8572F" w:rsidR="00466C49" w:rsidRPr="00BD77D8" w:rsidRDefault="00466C49" w:rsidP="003954C5">
            <w:pPr>
              <w:pStyle w:val="ListParagraph"/>
              <w:numPr>
                <w:ilvl w:val="0"/>
                <w:numId w:val="78"/>
              </w:numPr>
              <w:spacing w:after="120" w:line="240" w:lineRule="auto"/>
              <w:ind w:right="683"/>
              <w:rPr>
                <w:rFonts w:ascii="Arial" w:eastAsia="Arial" w:hAnsi="Arial"/>
                <w:sz w:val="20"/>
                <w:szCs w:val="20"/>
                <w:lang w:val="en-US" w:eastAsia="en-US"/>
              </w:rPr>
            </w:pPr>
            <w:r w:rsidRPr="00BD77D8">
              <w:rPr>
                <w:rFonts w:ascii="Arial" w:eastAsia="Arial" w:hAnsi="Arial"/>
                <w:sz w:val="20"/>
                <w:szCs w:val="20"/>
                <w:lang w:val="en-US" w:eastAsia="en-US"/>
              </w:rPr>
              <w:t>Assessing the competence, capability, and objectivity of the valuation specialist.</w:t>
            </w:r>
          </w:p>
          <w:p w14:paraId="32E7E836" w14:textId="4B8FCCE2" w:rsidR="00466C49" w:rsidRPr="00BD77D8" w:rsidRDefault="00466C49" w:rsidP="003954C5">
            <w:pPr>
              <w:pStyle w:val="ListParagraph"/>
              <w:numPr>
                <w:ilvl w:val="0"/>
                <w:numId w:val="78"/>
              </w:numPr>
              <w:spacing w:after="120" w:line="240" w:lineRule="auto"/>
              <w:ind w:right="683"/>
              <w:rPr>
                <w:rFonts w:ascii="Arial" w:eastAsia="Arial" w:hAnsi="Arial"/>
                <w:sz w:val="20"/>
                <w:szCs w:val="20"/>
                <w:lang w:val="en-US" w:eastAsia="en-US"/>
              </w:rPr>
            </w:pPr>
            <w:r w:rsidRPr="00BD77D8">
              <w:rPr>
                <w:rFonts w:ascii="Arial" w:eastAsia="Arial" w:hAnsi="Arial"/>
                <w:sz w:val="20"/>
                <w:szCs w:val="20"/>
                <w:lang w:val="en-US" w:eastAsia="en-US"/>
              </w:rPr>
              <w:t>Assessing the adequacy of management’s review of the valuation process.</w:t>
            </w:r>
          </w:p>
          <w:p w14:paraId="05C41F6B" w14:textId="0033F827" w:rsidR="00466C49" w:rsidRPr="00BD77D8" w:rsidRDefault="00466C49" w:rsidP="003954C5">
            <w:pPr>
              <w:pStyle w:val="ListParagraph"/>
              <w:numPr>
                <w:ilvl w:val="0"/>
                <w:numId w:val="78"/>
              </w:numPr>
              <w:spacing w:after="120" w:line="240" w:lineRule="auto"/>
              <w:ind w:right="683"/>
              <w:rPr>
                <w:rFonts w:ascii="Arial" w:eastAsia="Arial" w:hAnsi="Arial"/>
                <w:sz w:val="20"/>
                <w:szCs w:val="20"/>
                <w:lang w:val="en-US" w:eastAsia="en-US"/>
              </w:rPr>
            </w:pPr>
            <w:r w:rsidRPr="00BD77D8">
              <w:rPr>
                <w:rFonts w:ascii="Arial" w:eastAsia="Arial" w:hAnsi="Arial"/>
                <w:sz w:val="20"/>
                <w:szCs w:val="20"/>
                <w:lang w:val="en-US" w:eastAsia="en-US"/>
              </w:rPr>
              <w:t>Obtaining an understanding of the methodology used and assessing its design, integrity and appropriateness using common industry practices.</w:t>
            </w:r>
          </w:p>
          <w:p w14:paraId="4FF5FE1C" w14:textId="5A3D41E0" w:rsidR="00466C49" w:rsidRPr="00BD77D8" w:rsidRDefault="00466C49" w:rsidP="003954C5">
            <w:pPr>
              <w:pStyle w:val="ListParagraph"/>
              <w:numPr>
                <w:ilvl w:val="0"/>
                <w:numId w:val="78"/>
              </w:numPr>
              <w:spacing w:after="120" w:line="240" w:lineRule="auto"/>
              <w:ind w:right="683"/>
              <w:rPr>
                <w:rFonts w:ascii="Arial" w:eastAsia="Arial" w:hAnsi="Arial"/>
                <w:sz w:val="20"/>
                <w:szCs w:val="20"/>
                <w:lang w:val="en-US" w:eastAsia="en-US"/>
              </w:rPr>
            </w:pPr>
            <w:r w:rsidRPr="00BD77D8">
              <w:rPr>
                <w:rFonts w:ascii="Arial" w:eastAsia="Arial" w:hAnsi="Arial"/>
                <w:sz w:val="20"/>
                <w:szCs w:val="20"/>
                <w:lang w:val="en-US" w:eastAsia="en-US"/>
              </w:rPr>
              <w:t>Assessing the appropriateness of the building components used for measuring gross replacement cost with reference to the department’s asset management plans and common industry practices.</w:t>
            </w:r>
          </w:p>
          <w:p w14:paraId="2B225D24" w14:textId="7438138A" w:rsidR="00466C49" w:rsidRPr="00BD77D8" w:rsidRDefault="00466C49" w:rsidP="003954C5">
            <w:pPr>
              <w:pStyle w:val="ListParagraph"/>
              <w:numPr>
                <w:ilvl w:val="0"/>
                <w:numId w:val="78"/>
              </w:numPr>
              <w:spacing w:after="120" w:line="240" w:lineRule="auto"/>
              <w:ind w:right="683"/>
              <w:rPr>
                <w:rFonts w:ascii="Arial" w:eastAsia="Arial" w:hAnsi="Arial"/>
                <w:sz w:val="20"/>
                <w:szCs w:val="20"/>
                <w:lang w:val="en-US" w:eastAsia="en-US"/>
              </w:rPr>
            </w:pPr>
            <w:r w:rsidRPr="00BD77D8">
              <w:rPr>
                <w:rFonts w:ascii="Arial" w:eastAsia="Arial" w:hAnsi="Arial"/>
                <w:sz w:val="20"/>
                <w:szCs w:val="20"/>
                <w:lang w:val="en-US" w:eastAsia="en-US"/>
              </w:rPr>
              <w:t>On a sample basis, evaluating the relevance, completeness and accuracy of source data used to derive the unit rates for the:</w:t>
            </w:r>
          </w:p>
          <w:p w14:paraId="605BEB85" w14:textId="77777777" w:rsidR="00466C49" w:rsidRPr="00BD77D8" w:rsidRDefault="00466C49" w:rsidP="00466C49">
            <w:pPr>
              <w:spacing w:after="120" w:line="240" w:lineRule="auto"/>
              <w:ind w:left="478" w:right="683"/>
              <w:rPr>
                <w:rFonts w:ascii="Arial" w:eastAsia="Arial" w:hAnsi="Arial"/>
                <w:sz w:val="20"/>
                <w:szCs w:val="20"/>
                <w:lang w:val="en-US" w:eastAsia="en-US"/>
              </w:rPr>
            </w:pPr>
            <w:r w:rsidRPr="00BD77D8">
              <w:rPr>
                <w:rFonts w:ascii="Arial" w:eastAsia="Arial" w:hAnsi="Arial"/>
                <w:sz w:val="20"/>
                <w:szCs w:val="20"/>
                <w:lang w:val="en-US" w:eastAsia="en-US"/>
              </w:rPr>
              <w:t>- modern substitute</w:t>
            </w:r>
          </w:p>
          <w:p w14:paraId="4167250F" w14:textId="77777777" w:rsidR="00466C49" w:rsidRPr="00BD77D8" w:rsidRDefault="00466C49" w:rsidP="00466C49">
            <w:pPr>
              <w:spacing w:after="120" w:line="240" w:lineRule="auto"/>
              <w:ind w:left="478" w:right="683"/>
              <w:rPr>
                <w:rFonts w:ascii="Arial" w:eastAsia="Arial" w:hAnsi="Arial"/>
                <w:sz w:val="20"/>
                <w:szCs w:val="20"/>
                <w:lang w:val="en-US" w:eastAsia="en-US"/>
              </w:rPr>
            </w:pPr>
            <w:r w:rsidRPr="00BD77D8">
              <w:rPr>
                <w:rFonts w:ascii="Arial" w:eastAsia="Arial" w:hAnsi="Arial"/>
                <w:sz w:val="20"/>
                <w:szCs w:val="20"/>
                <w:lang w:val="en-US" w:eastAsia="en-US"/>
              </w:rPr>
              <w:t>- adjustment for excess quality or obsolescence.</w:t>
            </w:r>
          </w:p>
          <w:p w14:paraId="2D057ED3" w14:textId="61C574DF" w:rsidR="00466C49" w:rsidRPr="00BD77D8" w:rsidRDefault="00466C49" w:rsidP="003954C5">
            <w:pPr>
              <w:pStyle w:val="ListParagraph"/>
              <w:numPr>
                <w:ilvl w:val="0"/>
                <w:numId w:val="78"/>
              </w:numPr>
              <w:spacing w:after="120" w:line="240" w:lineRule="auto"/>
              <w:ind w:right="683"/>
              <w:rPr>
                <w:rFonts w:ascii="Arial" w:eastAsia="Arial" w:hAnsi="Arial"/>
                <w:sz w:val="20"/>
                <w:szCs w:val="20"/>
                <w:lang w:val="en-US" w:eastAsia="en-US"/>
              </w:rPr>
            </w:pPr>
            <w:r w:rsidRPr="00BD77D8">
              <w:rPr>
                <w:rFonts w:ascii="Arial" w:eastAsia="Arial" w:hAnsi="Arial"/>
                <w:sz w:val="20"/>
                <w:szCs w:val="20"/>
                <w:lang w:val="en-US" w:eastAsia="en-US"/>
              </w:rPr>
              <w:t>Evaluating the reasonableness of the indices used against other publicly available information about movements in values for replacement costs of similar assets.</w:t>
            </w:r>
          </w:p>
          <w:p w14:paraId="46DF3E57" w14:textId="5B9BC155" w:rsidR="00466C49" w:rsidRPr="00BD77D8" w:rsidRDefault="00466C49" w:rsidP="003954C5">
            <w:pPr>
              <w:pStyle w:val="ListParagraph"/>
              <w:numPr>
                <w:ilvl w:val="0"/>
                <w:numId w:val="78"/>
              </w:numPr>
              <w:spacing w:after="120" w:line="240" w:lineRule="auto"/>
              <w:ind w:right="683"/>
              <w:rPr>
                <w:rFonts w:ascii="Arial" w:eastAsia="Arial" w:hAnsi="Arial"/>
                <w:sz w:val="20"/>
                <w:szCs w:val="20"/>
                <w:lang w:val="en-US" w:eastAsia="en-US"/>
              </w:rPr>
            </w:pPr>
            <w:r w:rsidRPr="00BD77D8">
              <w:rPr>
                <w:rFonts w:ascii="Arial" w:eastAsia="Arial" w:hAnsi="Arial"/>
                <w:sz w:val="20"/>
                <w:szCs w:val="20"/>
                <w:lang w:val="en-US" w:eastAsia="en-US"/>
              </w:rPr>
              <w:t>Evaluating useful life estimates for reasonableness by reviewing management’s annual assessment of useful lives.</w:t>
            </w:r>
          </w:p>
          <w:p w14:paraId="66291ABA" w14:textId="22E49DE8" w:rsidR="00466C49" w:rsidRPr="00BD77D8" w:rsidRDefault="00466C49" w:rsidP="003954C5">
            <w:pPr>
              <w:pStyle w:val="ListParagraph"/>
              <w:numPr>
                <w:ilvl w:val="0"/>
                <w:numId w:val="78"/>
              </w:numPr>
              <w:spacing w:after="120" w:line="240" w:lineRule="auto"/>
              <w:ind w:right="683"/>
              <w:rPr>
                <w:rFonts w:eastAsia="Arial"/>
                <w:sz w:val="20"/>
                <w:szCs w:val="20"/>
                <w:lang w:val="en-US" w:eastAsia="en-US"/>
              </w:rPr>
            </w:pPr>
            <w:r w:rsidRPr="00BD77D8">
              <w:rPr>
                <w:rFonts w:ascii="Arial" w:eastAsia="Arial" w:hAnsi="Arial"/>
                <w:sz w:val="20"/>
                <w:szCs w:val="20"/>
                <w:lang w:val="en-US" w:eastAsia="en-US"/>
              </w:rPr>
              <w:t>Performing reasonableness tests to confirm depreciation is calculated in accordance with the department’s accounting policies and industry standards.</w:t>
            </w:r>
          </w:p>
        </w:tc>
      </w:tr>
    </w:tbl>
    <w:p w14:paraId="5ECD2B0F" w14:textId="1680E6B5" w:rsidR="00466C49" w:rsidRPr="00BD77D8" w:rsidRDefault="00466C49" w:rsidP="00466C49">
      <w:pPr>
        <w:spacing w:after="120" w:line="240" w:lineRule="auto"/>
        <w:ind w:right="683"/>
        <w:rPr>
          <w:rFonts w:eastAsia="Arial" w:cs="Times New Roman"/>
          <w:sz w:val="18"/>
          <w:szCs w:val="22"/>
          <w:lang w:val="en-US" w:eastAsia="en-US"/>
        </w:rPr>
        <w:sectPr w:rsidR="00466C49" w:rsidRPr="00BD77D8" w:rsidSect="00C02ECF">
          <w:footerReference w:type="default" r:id="rId28"/>
          <w:pgSz w:w="11904" w:h="16824"/>
          <w:pgMar w:top="720" w:right="720" w:bottom="720" w:left="720" w:header="720" w:footer="720" w:gutter="0"/>
          <w:cols w:space="720"/>
          <w:docGrid w:linePitch="286"/>
        </w:sectPr>
      </w:pPr>
    </w:p>
    <w:p w14:paraId="0D881998" w14:textId="77777777" w:rsidR="00753CB5" w:rsidRPr="00BD77D8" w:rsidRDefault="00753CB5" w:rsidP="00753CB5">
      <w:pPr>
        <w:pStyle w:val="Default"/>
        <w:tabs>
          <w:tab w:val="left" w:pos="9923"/>
        </w:tabs>
        <w:spacing w:after="120"/>
        <w:ind w:left="426" w:right="264"/>
        <w:rPr>
          <w:b/>
          <w:bCs/>
          <w:color w:val="auto"/>
          <w:sz w:val="22"/>
          <w:szCs w:val="22"/>
        </w:rPr>
      </w:pPr>
    </w:p>
    <w:p w14:paraId="50EEEFF3" w14:textId="2A9AC172" w:rsidR="00753CB5" w:rsidRPr="00BD77D8" w:rsidRDefault="00552F15" w:rsidP="00552F15">
      <w:pPr>
        <w:pStyle w:val="Default"/>
        <w:tabs>
          <w:tab w:val="left" w:pos="9923"/>
        </w:tabs>
        <w:spacing w:after="120"/>
        <w:ind w:left="426" w:right="264"/>
        <w:rPr>
          <w:b/>
          <w:bCs/>
          <w:color w:val="auto"/>
          <w:sz w:val="22"/>
          <w:szCs w:val="22"/>
        </w:rPr>
      </w:pPr>
      <w:r w:rsidRPr="00BD77D8">
        <w:rPr>
          <w:b/>
          <w:bCs/>
          <w:noProof/>
          <w:color w:val="auto"/>
          <w:sz w:val="22"/>
          <w:szCs w:val="22"/>
        </w:rPr>
        <w:drawing>
          <wp:inline distT="0" distB="0" distL="0" distR="0" wp14:anchorId="68470799" wp14:editId="6BB7B970">
            <wp:extent cx="1989734" cy="1045845"/>
            <wp:effectExtent l="0" t="0" r="0" b="1905"/>
            <wp:docPr id="19" name="Picture 19" descr="Queensland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Queensland Audit Office logo"/>
                    <pic:cNvPicPr/>
                  </pic:nvPicPr>
                  <pic:blipFill>
                    <a:blip r:embed="rId27">
                      <a:extLst>
                        <a:ext uri="{28A0092B-C50C-407E-A947-70E740481C1C}">
                          <a14:useLocalDpi xmlns:a14="http://schemas.microsoft.com/office/drawing/2010/main" val="0"/>
                        </a:ext>
                      </a:extLst>
                    </a:blip>
                    <a:stretch>
                      <a:fillRect/>
                    </a:stretch>
                  </pic:blipFill>
                  <pic:spPr>
                    <a:xfrm>
                      <a:off x="0" y="0"/>
                      <a:ext cx="2015343" cy="1059305"/>
                    </a:xfrm>
                    <a:prstGeom prst="rect">
                      <a:avLst/>
                    </a:prstGeom>
                  </pic:spPr>
                </pic:pic>
              </a:graphicData>
            </a:graphic>
          </wp:inline>
        </w:drawing>
      </w:r>
    </w:p>
    <w:p w14:paraId="15751075" w14:textId="4283AF75" w:rsidR="00466C49" w:rsidRPr="00BD77D8" w:rsidRDefault="00466C49" w:rsidP="00753CB5">
      <w:pPr>
        <w:pStyle w:val="Default"/>
        <w:tabs>
          <w:tab w:val="left" w:pos="9923"/>
        </w:tabs>
        <w:spacing w:after="120"/>
        <w:ind w:left="426" w:right="264"/>
        <w:rPr>
          <w:color w:val="auto"/>
          <w:sz w:val="22"/>
          <w:szCs w:val="22"/>
        </w:rPr>
      </w:pPr>
      <w:r w:rsidRPr="00BD77D8">
        <w:rPr>
          <w:b/>
          <w:bCs/>
          <w:color w:val="auto"/>
          <w:sz w:val="22"/>
          <w:szCs w:val="22"/>
        </w:rPr>
        <w:t xml:space="preserve">Responsibilities of the department for the financial report </w:t>
      </w:r>
    </w:p>
    <w:p w14:paraId="47050ED4" w14:textId="2BF08977" w:rsidR="00466C49" w:rsidRPr="00BD77D8" w:rsidRDefault="00466C49" w:rsidP="00753CB5">
      <w:pPr>
        <w:pStyle w:val="Default"/>
        <w:tabs>
          <w:tab w:val="left" w:pos="9923"/>
        </w:tabs>
        <w:spacing w:after="120"/>
        <w:ind w:left="426" w:right="547"/>
        <w:rPr>
          <w:color w:val="auto"/>
          <w:sz w:val="22"/>
          <w:szCs w:val="22"/>
        </w:rPr>
      </w:pPr>
      <w:r w:rsidRPr="00BD77D8">
        <w:rPr>
          <w:color w:val="auto"/>
          <w:sz w:val="22"/>
          <w:szCs w:val="22"/>
        </w:rPr>
        <w:t xml:space="preserve">The Accountable Officer is responsible for the preparation of the financial report that gives a true and fair view in accordance with the </w:t>
      </w:r>
      <w:r w:rsidRPr="00BD77D8">
        <w:rPr>
          <w:i/>
          <w:iCs/>
          <w:color w:val="auto"/>
          <w:sz w:val="22"/>
          <w:szCs w:val="22"/>
        </w:rPr>
        <w:t>Financial Accountability Act 2009</w:t>
      </w:r>
      <w:r w:rsidRPr="00BD77D8">
        <w:rPr>
          <w:color w:val="auto"/>
          <w:sz w:val="22"/>
          <w:szCs w:val="22"/>
        </w:rPr>
        <w:t xml:space="preserve">, the Financial and Performance Management Standard 2019 and Australian Accounting Standards, and for such internal control as the Accountable Officer determines is necessary to enable the preparation of the financial report that is free from material misstatement, whether due to fraud or error. </w:t>
      </w:r>
    </w:p>
    <w:p w14:paraId="2816A8F1" w14:textId="77777777" w:rsidR="00466C49" w:rsidRPr="00BD77D8" w:rsidRDefault="00466C49" w:rsidP="00753CB5">
      <w:pPr>
        <w:pStyle w:val="Default"/>
        <w:tabs>
          <w:tab w:val="left" w:pos="9923"/>
        </w:tabs>
        <w:spacing w:after="120"/>
        <w:ind w:left="426" w:right="264"/>
        <w:rPr>
          <w:color w:val="auto"/>
          <w:sz w:val="22"/>
          <w:szCs w:val="22"/>
        </w:rPr>
      </w:pPr>
      <w:r w:rsidRPr="00BD77D8">
        <w:rPr>
          <w:color w:val="auto"/>
          <w:sz w:val="22"/>
          <w:szCs w:val="22"/>
        </w:rPr>
        <w:t xml:space="preserve">The Accountable Officer is also responsible for assessing the department's ability to continue as a going concern, disclosing, as applicable, matters relating to going concern and using the going concern basis of accounting unless it is intended to abolish the department or to otherwise cease operations. </w:t>
      </w:r>
    </w:p>
    <w:p w14:paraId="085BFBCC" w14:textId="77777777" w:rsidR="00466C49" w:rsidRPr="00BD77D8" w:rsidRDefault="00466C49" w:rsidP="00753CB5">
      <w:pPr>
        <w:pStyle w:val="Default"/>
        <w:tabs>
          <w:tab w:val="left" w:pos="9923"/>
        </w:tabs>
        <w:spacing w:after="120"/>
        <w:ind w:left="426" w:right="264"/>
        <w:rPr>
          <w:color w:val="auto"/>
          <w:sz w:val="22"/>
          <w:szCs w:val="22"/>
        </w:rPr>
      </w:pPr>
      <w:r w:rsidRPr="00BD77D8">
        <w:rPr>
          <w:b/>
          <w:bCs/>
          <w:color w:val="auto"/>
          <w:sz w:val="22"/>
          <w:szCs w:val="22"/>
        </w:rPr>
        <w:t xml:space="preserve">Auditor’s responsibilities for the audit of the financial report </w:t>
      </w:r>
    </w:p>
    <w:p w14:paraId="4BD77735" w14:textId="77777777" w:rsidR="00466C49" w:rsidRPr="00BD77D8" w:rsidRDefault="00466C49" w:rsidP="00753CB5">
      <w:pPr>
        <w:pStyle w:val="Default"/>
        <w:tabs>
          <w:tab w:val="left" w:pos="9923"/>
        </w:tabs>
        <w:spacing w:after="120"/>
        <w:ind w:left="426" w:right="264"/>
        <w:rPr>
          <w:color w:val="auto"/>
          <w:sz w:val="22"/>
          <w:szCs w:val="22"/>
        </w:rPr>
      </w:pPr>
      <w:r w:rsidRPr="00BD77D8">
        <w:rPr>
          <w:color w:val="auto"/>
          <w:sz w:val="22"/>
          <w:szCs w:val="22"/>
        </w:rPr>
        <w:t xml:space="preserve">My objectives are to obtain reasonable assurance about whether the financial report as a whole is free from material misstatement, whether due to fraud or error, and to issue an auditor’s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aggregate, they could reasonably be expected to influence the economic decisions of users taken on the basis of this financial report. </w:t>
      </w:r>
    </w:p>
    <w:p w14:paraId="24050BA4" w14:textId="77777777" w:rsidR="00466C49" w:rsidRPr="00BD77D8" w:rsidRDefault="00466C49" w:rsidP="00753CB5">
      <w:pPr>
        <w:pStyle w:val="Default"/>
        <w:tabs>
          <w:tab w:val="left" w:pos="9923"/>
        </w:tabs>
        <w:spacing w:after="120"/>
        <w:ind w:left="426" w:right="264"/>
        <w:rPr>
          <w:color w:val="auto"/>
          <w:sz w:val="22"/>
          <w:szCs w:val="22"/>
        </w:rPr>
      </w:pPr>
      <w:r w:rsidRPr="00BD77D8">
        <w:rPr>
          <w:color w:val="auto"/>
          <w:sz w:val="22"/>
          <w:szCs w:val="22"/>
        </w:rPr>
        <w:t xml:space="preserve">As part of an audit in accordance with the Australian Auditing Standards, I exercise professional judgement and maintain professional scepticism throughout the audit. I also: </w:t>
      </w:r>
    </w:p>
    <w:p w14:paraId="709C4ED1" w14:textId="7B188DD1" w:rsidR="00466C49" w:rsidRPr="00BD77D8" w:rsidRDefault="00466C49" w:rsidP="003954C5">
      <w:pPr>
        <w:pStyle w:val="Default"/>
        <w:numPr>
          <w:ilvl w:val="0"/>
          <w:numId w:val="78"/>
        </w:numPr>
        <w:tabs>
          <w:tab w:val="left" w:pos="9923"/>
        </w:tabs>
        <w:spacing w:after="120"/>
        <w:ind w:left="709" w:right="264" w:hanging="283"/>
        <w:rPr>
          <w:color w:val="auto"/>
          <w:sz w:val="22"/>
          <w:szCs w:val="22"/>
        </w:rPr>
      </w:pPr>
      <w:r w:rsidRPr="00BD77D8">
        <w:rPr>
          <w:color w:val="auto"/>
          <w:sz w:val="22"/>
          <w:szCs w:val="22"/>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3788A9A1" w14:textId="7805735F" w:rsidR="00466C49" w:rsidRPr="00BD77D8" w:rsidRDefault="00466C49" w:rsidP="003954C5">
      <w:pPr>
        <w:pStyle w:val="Default"/>
        <w:numPr>
          <w:ilvl w:val="0"/>
          <w:numId w:val="78"/>
        </w:numPr>
        <w:tabs>
          <w:tab w:val="left" w:pos="9923"/>
        </w:tabs>
        <w:spacing w:after="120"/>
        <w:ind w:left="709" w:right="264" w:hanging="283"/>
        <w:rPr>
          <w:color w:val="auto"/>
          <w:sz w:val="22"/>
          <w:szCs w:val="22"/>
        </w:rPr>
      </w:pPr>
      <w:r w:rsidRPr="00BD77D8">
        <w:rPr>
          <w:color w:val="auto"/>
          <w:sz w:val="22"/>
          <w:szCs w:val="22"/>
        </w:rPr>
        <w:t xml:space="preserve">Obtain an understanding of internal control relevant to the audit in order to design audit procedures that are appropriate in the circumstances. This is not done for the purpose of expressing an opinion on the effectiveness of the department's internal controls, but allows me to express an opinion on compliance with prescribed requirements. </w:t>
      </w:r>
    </w:p>
    <w:p w14:paraId="10E04927" w14:textId="04280BCF" w:rsidR="00466C49" w:rsidRPr="00BD77D8" w:rsidRDefault="00466C49" w:rsidP="003954C5">
      <w:pPr>
        <w:pStyle w:val="Default"/>
        <w:numPr>
          <w:ilvl w:val="0"/>
          <w:numId w:val="78"/>
        </w:numPr>
        <w:tabs>
          <w:tab w:val="left" w:pos="9923"/>
        </w:tabs>
        <w:spacing w:after="120"/>
        <w:ind w:left="709" w:right="264" w:hanging="283"/>
        <w:rPr>
          <w:color w:val="auto"/>
          <w:sz w:val="22"/>
          <w:szCs w:val="22"/>
        </w:rPr>
      </w:pPr>
      <w:r w:rsidRPr="00BD77D8">
        <w:rPr>
          <w:color w:val="auto"/>
          <w:sz w:val="22"/>
          <w:szCs w:val="22"/>
        </w:rPr>
        <w:t xml:space="preserve">Evaluate the appropriateness of accounting policies used and the reasonableness of accounting estimates and related disclosures made by the department. </w:t>
      </w:r>
    </w:p>
    <w:p w14:paraId="07631179" w14:textId="26340BF3" w:rsidR="00466C49" w:rsidRPr="00BD77D8" w:rsidRDefault="00466C49" w:rsidP="003954C5">
      <w:pPr>
        <w:pStyle w:val="Default"/>
        <w:numPr>
          <w:ilvl w:val="0"/>
          <w:numId w:val="78"/>
        </w:numPr>
        <w:tabs>
          <w:tab w:val="left" w:pos="9923"/>
        </w:tabs>
        <w:spacing w:after="120"/>
        <w:ind w:left="709" w:right="264" w:hanging="283"/>
        <w:rPr>
          <w:color w:val="auto"/>
          <w:sz w:val="22"/>
          <w:szCs w:val="22"/>
        </w:rPr>
      </w:pPr>
      <w:r w:rsidRPr="00BD77D8">
        <w:rPr>
          <w:color w:val="auto"/>
          <w:sz w:val="22"/>
          <w:szCs w:val="22"/>
        </w:rPr>
        <w:t xml:space="preserve">Conclude on the appropriateness of the department's use of the going concern basis of accounting and, based on the audit evidence obtained, whether a material uncertainty exists related to events or conditions that may cast significant doubt on the department's ability to continue as a going concern. If I conclude that a material uncertainty exists, I am required to draw attention in my auditor’s report to the related disclosures in the financial report or, if such disclosures are inadequate, to modify my opinion. I base my conclusions on the audit evidence obtained up to the date of my auditor’s report. However, future events or conditions may cause the department to cease to continue as a going concern. </w:t>
      </w:r>
    </w:p>
    <w:p w14:paraId="35BB27B2" w14:textId="67EE96E7" w:rsidR="00753CB5" w:rsidRPr="00BD77D8" w:rsidRDefault="00753CB5" w:rsidP="00753CB5">
      <w:pPr>
        <w:pStyle w:val="Default"/>
        <w:tabs>
          <w:tab w:val="left" w:pos="9923"/>
        </w:tabs>
        <w:spacing w:after="120"/>
        <w:ind w:right="264"/>
        <w:rPr>
          <w:color w:val="auto"/>
          <w:sz w:val="22"/>
          <w:szCs w:val="22"/>
        </w:rPr>
      </w:pPr>
    </w:p>
    <w:p w14:paraId="47200172" w14:textId="31E450FA" w:rsidR="00753CB5" w:rsidRPr="00BD77D8" w:rsidRDefault="00753CB5" w:rsidP="00753CB5">
      <w:pPr>
        <w:pStyle w:val="Default"/>
        <w:tabs>
          <w:tab w:val="left" w:pos="9923"/>
        </w:tabs>
        <w:spacing w:after="120"/>
        <w:ind w:right="264"/>
        <w:rPr>
          <w:color w:val="auto"/>
          <w:sz w:val="22"/>
          <w:szCs w:val="22"/>
        </w:rPr>
      </w:pPr>
    </w:p>
    <w:p w14:paraId="1F034324" w14:textId="5B337805" w:rsidR="00753CB5" w:rsidRPr="00BD77D8" w:rsidRDefault="00753CB5" w:rsidP="00753CB5">
      <w:pPr>
        <w:pStyle w:val="Default"/>
        <w:tabs>
          <w:tab w:val="left" w:pos="9923"/>
          <w:tab w:val="left" w:pos="10206"/>
        </w:tabs>
        <w:spacing w:after="120"/>
        <w:ind w:right="264"/>
        <w:rPr>
          <w:color w:val="auto"/>
          <w:sz w:val="22"/>
          <w:szCs w:val="22"/>
        </w:rPr>
      </w:pPr>
    </w:p>
    <w:p w14:paraId="60903DA4" w14:textId="534A8CB7" w:rsidR="00753CB5" w:rsidRPr="00BD77D8" w:rsidRDefault="00552F15" w:rsidP="00552F15">
      <w:pPr>
        <w:pStyle w:val="Default"/>
        <w:tabs>
          <w:tab w:val="left" w:pos="9923"/>
          <w:tab w:val="left" w:pos="10206"/>
        </w:tabs>
        <w:spacing w:after="120"/>
        <w:ind w:left="426" w:right="264"/>
        <w:rPr>
          <w:color w:val="auto"/>
          <w:sz w:val="22"/>
          <w:szCs w:val="22"/>
        </w:rPr>
      </w:pPr>
      <w:r w:rsidRPr="00BD77D8">
        <w:rPr>
          <w:noProof/>
          <w:color w:val="auto"/>
          <w:sz w:val="22"/>
          <w:szCs w:val="22"/>
        </w:rPr>
        <w:drawing>
          <wp:inline distT="0" distB="0" distL="0" distR="0" wp14:anchorId="6E053294" wp14:editId="2CDB4677">
            <wp:extent cx="1770278" cy="826135"/>
            <wp:effectExtent l="0" t="0" r="1905" b="0"/>
            <wp:docPr id="18" name="Picture 18" descr="Queensland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Queensland Audit Office logo"/>
                    <pic:cNvPicPr/>
                  </pic:nvPicPr>
                  <pic:blipFill>
                    <a:blip r:embed="rId27">
                      <a:extLst>
                        <a:ext uri="{28A0092B-C50C-407E-A947-70E740481C1C}">
                          <a14:useLocalDpi xmlns:a14="http://schemas.microsoft.com/office/drawing/2010/main" val="0"/>
                        </a:ext>
                      </a:extLst>
                    </a:blip>
                    <a:stretch>
                      <a:fillRect/>
                    </a:stretch>
                  </pic:blipFill>
                  <pic:spPr>
                    <a:xfrm>
                      <a:off x="0" y="0"/>
                      <a:ext cx="1802865" cy="841342"/>
                    </a:xfrm>
                    <a:prstGeom prst="rect">
                      <a:avLst/>
                    </a:prstGeom>
                  </pic:spPr>
                </pic:pic>
              </a:graphicData>
            </a:graphic>
          </wp:inline>
        </w:drawing>
      </w:r>
    </w:p>
    <w:p w14:paraId="0BC69697" w14:textId="77777777" w:rsidR="00753CB5" w:rsidRPr="00BD77D8" w:rsidRDefault="00753CB5" w:rsidP="003954C5">
      <w:pPr>
        <w:pStyle w:val="Default"/>
        <w:numPr>
          <w:ilvl w:val="0"/>
          <w:numId w:val="78"/>
        </w:numPr>
        <w:tabs>
          <w:tab w:val="left" w:pos="9923"/>
          <w:tab w:val="left" w:pos="10206"/>
        </w:tabs>
        <w:spacing w:after="120"/>
        <w:ind w:left="709" w:right="264" w:hanging="283"/>
        <w:rPr>
          <w:color w:val="auto"/>
          <w:sz w:val="22"/>
          <w:szCs w:val="22"/>
        </w:rPr>
      </w:pPr>
      <w:r w:rsidRPr="00BD77D8">
        <w:rPr>
          <w:color w:val="auto"/>
          <w:sz w:val="22"/>
          <w:szCs w:val="22"/>
        </w:rPr>
        <w:t xml:space="preserve">Evaluate the overall presentation, structure and content of the financial report, including the disclosures, and whether the financial report represents the underlying transactions and events in a manner that achieves fair presentation. </w:t>
      </w:r>
    </w:p>
    <w:p w14:paraId="5C8BD8EC" w14:textId="77777777" w:rsidR="00753CB5" w:rsidRPr="00BD77D8" w:rsidRDefault="00753CB5" w:rsidP="00753CB5">
      <w:pPr>
        <w:pStyle w:val="Default"/>
        <w:tabs>
          <w:tab w:val="left" w:pos="10206"/>
        </w:tabs>
        <w:spacing w:after="120"/>
        <w:ind w:left="426"/>
        <w:rPr>
          <w:color w:val="auto"/>
          <w:sz w:val="22"/>
          <w:szCs w:val="22"/>
        </w:rPr>
      </w:pPr>
      <w:r w:rsidRPr="00BD77D8">
        <w:rPr>
          <w:color w:val="auto"/>
          <w:sz w:val="22"/>
          <w:szCs w:val="22"/>
        </w:rPr>
        <w:t xml:space="preserve">I communicate with the Accountable Officer regarding, among other matters, the planned scope and timing of the audit and significant audit findings, including any significant deficiencies in internal control that I identify during my audit. </w:t>
      </w:r>
    </w:p>
    <w:p w14:paraId="7C0DCD2B" w14:textId="77777777" w:rsidR="00753CB5" w:rsidRPr="00BD77D8" w:rsidRDefault="00753CB5" w:rsidP="00753CB5">
      <w:pPr>
        <w:pStyle w:val="Default"/>
        <w:tabs>
          <w:tab w:val="left" w:pos="10206"/>
        </w:tabs>
        <w:spacing w:after="120"/>
        <w:ind w:left="426"/>
        <w:rPr>
          <w:color w:val="auto"/>
          <w:sz w:val="22"/>
          <w:szCs w:val="22"/>
        </w:rPr>
      </w:pPr>
      <w:r w:rsidRPr="00BD77D8">
        <w:rPr>
          <w:color w:val="auto"/>
          <w:sz w:val="22"/>
          <w:szCs w:val="22"/>
        </w:rPr>
        <w:t xml:space="preserve">From the matters communicated with the Accountable Officer, I determine those matters that were of most significance in the audit of the financial report of the current period and are therefore the key audit matters. I describe these matters in my auditor’s report unless law or regulation precludes public disclosure about the matter or when, in extremely rare circumstances, I determine that a matter should not be communicated in my report because the adverse consequences of doing so would reasonably be expected to outweigh the public interest benefits of such communication. </w:t>
      </w:r>
    </w:p>
    <w:p w14:paraId="3884D8FE" w14:textId="77777777" w:rsidR="00753CB5" w:rsidRPr="00BD77D8" w:rsidRDefault="00753CB5" w:rsidP="00753CB5">
      <w:pPr>
        <w:pStyle w:val="Default"/>
        <w:tabs>
          <w:tab w:val="left" w:pos="10206"/>
        </w:tabs>
        <w:spacing w:after="120"/>
        <w:ind w:left="426"/>
        <w:rPr>
          <w:color w:val="auto"/>
          <w:sz w:val="23"/>
          <w:szCs w:val="23"/>
        </w:rPr>
      </w:pPr>
      <w:r w:rsidRPr="00BD77D8">
        <w:rPr>
          <w:b/>
          <w:bCs/>
          <w:color w:val="auto"/>
          <w:sz w:val="23"/>
          <w:szCs w:val="23"/>
        </w:rPr>
        <w:t xml:space="preserve">Report on other legal and regulatory requirements </w:t>
      </w:r>
    </w:p>
    <w:p w14:paraId="5B85512D" w14:textId="77777777" w:rsidR="00753CB5" w:rsidRPr="00BD77D8" w:rsidRDefault="00753CB5" w:rsidP="00753CB5">
      <w:pPr>
        <w:pStyle w:val="Default"/>
        <w:tabs>
          <w:tab w:val="left" w:pos="10206"/>
        </w:tabs>
        <w:spacing w:after="120"/>
        <w:ind w:left="426"/>
        <w:rPr>
          <w:color w:val="auto"/>
          <w:sz w:val="23"/>
          <w:szCs w:val="23"/>
        </w:rPr>
      </w:pPr>
      <w:r w:rsidRPr="00BD77D8">
        <w:rPr>
          <w:b/>
          <w:bCs/>
          <w:color w:val="auto"/>
          <w:sz w:val="23"/>
          <w:szCs w:val="23"/>
        </w:rPr>
        <w:t xml:space="preserve">Statement </w:t>
      </w:r>
    </w:p>
    <w:p w14:paraId="24882170" w14:textId="77777777" w:rsidR="00753CB5" w:rsidRPr="00BD77D8" w:rsidRDefault="00753CB5" w:rsidP="00753CB5">
      <w:pPr>
        <w:pStyle w:val="Default"/>
        <w:tabs>
          <w:tab w:val="left" w:pos="10206"/>
        </w:tabs>
        <w:spacing w:after="120"/>
        <w:ind w:left="426"/>
        <w:rPr>
          <w:color w:val="auto"/>
          <w:sz w:val="22"/>
          <w:szCs w:val="22"/>
        </w:rPr>
      </w:pPr>
      <w:r w:rsidRPr="00BD77D8">
        <w:rPr>
          <w:color w:val="auto"/>
          <w:sz w:val="22"/>
          <w:szCs w:val="22"/>
        </w:rPr>
        <w:t xml:space="preserve">In accordance with s.40 of the </w:t>
      </w:r>
      <w:r w:rsidRPr="00BD77D8">
        <w:rPr>
          <w:i/>
          <w:iCs/>
          <w:color w:val="auto"/>
          <w:sz w:val="22"/>
          <w:szCs w:val="22"/>
        </w:rPr>
        <w:t>Auditor-General Act 2009</w:t>
      </w:r>
      <w:r w:rsidRPr="00BD77D8">
        <w:rPr>
          <w:color w:val="auto"/>
          <w:sz w:val="22"/>
          <w:szCs w:val="22"/>
        </w:rPr>
        <w:t xml:space="preserve">, for the year ended 30 June 2022: </w:t>
      </w:r>
    </w:p>
    <w:p w14:paraId="1577835B" w14:textId="77777777" w:rsidR="00753CB5" w:rsidRPr="00BD77D8" w:rsidRDefault="00753CB5" w:rsidP="00753CB5">
      <w:pPr>
        <w:pStyle w:val="Default"/>
        <w:tabs>
          <w:tab w:val="left" w:pos="10206"/>
        </w:tabs>
        <w:spacing w:after="120"/>
        <w:ind w:left="426"/>
        <w:rPr>
          <w:color w:val="auto"/>
          <w:sz w:val="22"/>
          <w:szCs w:val="22"/>
        </w:rPr>
      </w:pPr>
      <w:r w:rsidRPr="00BD77D8">
        <w:rPr>
          <w:color w:val="auto"/>
          <w:sz w:val="22"/>
          <w:szCs w:val="22"/>
        </w:rPr>
        <w:t xml:space="preserve">a) I received all the information and explanations I required. </w:t>
      </w:r>
    </w:p>
    <w:p w14:paraId="24F70058" w14:textId="77777777" w:rsidR="00753CB5" w:rsidRPr="00BD77D8" w:rsidRDefault="00753CB5" w:rsidP="00293C43">
      <w:pPr>
        <w:pStyle w:val="Default"/>
        <w:tabs>
          <w:tab w:val="left" w:pos="10206"/>
        </w:tabs>
        <w:spacing w:after="360"/>
        <w:ind w:left="425"/>
        <w:rPr>
          <w:color w:val="auto"/>
          <w:sz w:val="22"/>
          <w:szCs w:val="22"/>
        </w:rPr>
      </w:pPr>
      <w:r w:rsidRPr="00BD77D8">
        <w:rPr>
          <w:color w:val="auto"/>
          <w:sz w:val="22"/>
          <w:szCs w:val="22"/>
        </w:rPr>
        <w:t xml:space="preserve">b) I consider that, the prescribed requirements in relation to the establishment and keeping of accounts were complied with in all material respects. </w:t>
      </w:r>
    </w:p>
    <w:p w14:paraId="2E540500" w14:textId="77777777" w:rsidR="00753CB5" w:rsidRPr="00BD77D8" w:rsidRDefault="00753CB5" w:rsidP="00753CB5">
      <w:pPr>
        <w:pStyle w:val="Default"/>
        <w:tabs>
          <w:tab w:val="left" w:pos="10206"/>
        </w:tabs>
        <w:spacing w:after="120"/>
        <w:ind w:left="426"/>
        <w:rPr>
          <w:color w:val="auto"/>
          <w:sz w:val="23"/>
          <w:szCs w:val="23"/>
        </w:rPr>
      </w:pPr>
      <w:r w:rsidRPr="00BD77D8">
        <w:rPr>
          <w:b/>
          <w:bCs/>
          <w:color w:val="auto"/>
          <w:sz w:val="23"/>
          <w:szCs w:val="23"/>
        </w:rPr>
        <w:t xml:space="preserve">Prescribed requirements scope </w:t>
      </w:r>
    </w:p>
    <w:p w14:paraId="28175EBC" w14:textId="68508A2B" w:rsidR="00753CB5" w:rsidRPr="00BD77D8" w:rsidRDefault="00753CB5" w:rsidP="00293C43">
      <w:pPr>
        <w:pStyle w:val="Default"/>
        <w:tabs>
          <w:tab w:val="left" w:pos="9923"/>
          <w:tab w:val="left" w:pos="10206"/>
        </w:tabs>
        <w:spacing w:after="360"/>
        <w:ind w:left="425" w:right="266"/>
        <w:rPr>
          <w:color w:val="auto"/>
          <w:sz w:val="22"/>
          <w:szCs w:val="22"/>
        </w:rPr>
      </w:pPr>
      <w:r w:rsidRPr="00BD77D8">
        <w:rPr>
          <w:color w:val="auto"/>
          <w:sz w:val="22"/>
          <w:szCs w:val="22"/>
        </w:rPr>
        <w:t xml:space="preserve">The prescribed requirements for the establishment and keeping of accounts are contained in the </w:t>
      </w:r>
      <w:r w:rsidRPr="00BD77D8">
        <w:rPr>
          <w:i/>
          <w:iCs/>
          <w:color w:val="auto"/>
          <w:sz w:val="22"/>
          <w:szCs w:val="22"/>
        </w:rPr>
        <w:t>Financial Accountability Act 2009</w:t>
      </w:r>
      <w:r w:rsidRPr="00BD77D8">
        <w:rPr>
          <w:color w:val="auto"/>
          <w:sz w:val="22"/>
          <w:szCs w:val="22"/>
        </w:rPr>
        <w:t>, any other Act and the Financial and Performance Management Standard 2019. The applicable requirements include those for keeping financial records that correctly record and explain the department’s transactions and account balances to enable the preparation of a true and fair financial report.</w:t>
      </w:r>
    </w:p>
    <w:p w14:paraId="0A3C3969" w14:textId="5C683436" w:rsidR="007F34D8" w:rsidRPr="00C66948" w:rsidRDefault="001054A6" w:rsidP="00C66948">
      <w:pPr>
        <w:tabs>
          <w:tab w:val="left" w:pos="9923"/>
        </w:tabs>
        <w:spacing w:after="120" w:line="240" w:lineRule="auto"/>
        <w:ind w:left="426"/>
        <w:rPr>
          <w:rFonts w:eastAsia="Calibri"/>
          <w:bCs/>
          <w:iCs/>
          <w:sz w:val="32"/>
          <w:szCs w:val="32"/>
          <w:lang w:eastAsia="en-US"/>
        </w:rPr>
      </w:pPr>
      <w:r w:rsidRPr="00BD77D8">
        <w:rPr>
          <w:rFonts w:eastAsia="Calibri"/>
          <w:bCs/>
          <w:iCs/>
          <w:noProof/>
          <w:sz w:val="32"/>
          <w:szCs w:val="32"/>
          <w:lang w:eastAsia="en-US"/>
        </w:rPr>
        <w:drawing>
          <wp:inline distT="0" distB="0" distL="0" distR="0" wp14:anchorId="77CFB8E3" wp14:editId="0500CAEF">
            <wp:extent cx="6298387" cy="1384300"/>
            <wp:effectExtent l="0" t="0" r="7620" b="6350"/>
            <wp:docPr id="17" name="Picture 17" descr="Signature of Michelle Rejardon as delegate of the Auditor-General dated 31 August 2022, Queensland Audit Office Brisb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ignature of Michelle Rejardon as delegate of the Auditor-General dated 31 August 2022, Queensland Audit Office Brisbane"/>
                    <pic:cNvPicPr/>
                  </pic:nvPicPr>
                  <pic:blipFill>
                    <a:blip r:embed="rId29">
                      <a:extLst>
                        <a:ext uri="{28A0092B-C50C-407E-A947-70E740481C1C}">
                          <a14:useLocalDpi xmlns:a14="http://schemas.microsoft.com/office/drawing/2010/main" val="0"/>
                        </a:ext>
                      </a:extLst>
                    </a:blip>
                    <a:stretch>
                      <a:fillRect/>
                    </a:stretch>
                  </pic:blipFill>
                  <pic:spPr>
                    <a:xfrm>
                      <a:off x="0" y="0"/>
                      <a:ext cx="6299804" cy="1384611"/>
                    </a:xfrm>
                    <a:prstGeom prst="rect">
                      <a:avLst/>
                    </a:prstGeom>
                  </pic:spPr>
                </pic:pic>
              </a:graphicData>
            </a:graphic>
          </wp:inline>
        </w:drawing>
      </w:r>
    </w:p>
    <w:sectPr w:rsidR="007F34D8" w:rsidRPr="00C66948" w:rsidSect="00753CB5">
      <w:footerReference w:type="default" r:id="rId30"/>
      <w:headerReference w:type="first" r:id="rId31"/>
      <w:footerReference w:type="first" r:id="rId32"/>
      <w:pgSz w:w="11910" w:h="16840"/>
      <w:pgMar w:top="720" w:right="995" w:bottom="720" w:left="720" w:header="720" w:footer="720" w:gutter="0"/>
      <w:cols w:space="721"/>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A415" w14:textId="77777777" w:rsidR="0028582B" w:rsidRDefault="0028582B" w:rsidP="00DB66C3">
      <w:r>
        <w:separator/>
      </w:r>
    </w:p>
    <w:p w14:paraId="70189809" w14:textId="77777777" w:rsidR="0028582B" w:rsidRDefault="0028582B" w:rsidP="00DB66C3"/>
    <w:p w14:paraId="7A8D8C60" w14:textId="77777777" w:rsidR="0028582B" w:rsidRDefault="0028582B"/>
    <w:p w14:paraId="234F2980" w14:textId="77777777" w:rsidR="0028582B" w:rsidRDefault="0028582B"/>
  </w:endnote>
  <w:endnote w:type="continuationSeparator" w:id="0">
    <w:p w14:paraId="755696EF" w14:textId="77777777" w:rsidR="0028582B" w:rsidRDefault="0028582B" w:rsidP="00DB66C3">
      <w:r>
        <w:continuationSeparator/>
      </w:r>
    </w:p>
    <w:p w14:paraId="15E9467D" w14:textId="77777777" w:rsidR="0028582B" w:rsidRDefault="0028582B" w:rsidP="00DB66C3"/>
    <w:p w14:paraId="3141E009" w14:textId="77777777" w:rsidR="0028582B" w:rsidRDefault="0028582B"/>
    <w:p w14:paraId="473C7CB4" w14:textId="77777777" w:rsidR="0028582B" w:rsidRDefault="00285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7040407"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LightIta">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066251088"/>
      <w:docPartObj>
        <w:docPartGallery w:val="Page Numbers (Bottom of Page)"/>
        <w:docPartUnique/>
      </w:docPartObj>
    </w:sdtPr>
    <w:sdtEndPr>
      <w:rPr>
        <w:noProof/>
      </w:rPr>
    </w:sdtEndPr>
    <w:sdtContent>
      <w:p w14:paraId="6D21A394" w14:textId="4FF76065" w:rsidR="00B9311E" w:rsidRDefault="00B9311E">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0D73F0FC" w14:textId="77777777" w:rsidR="00B9311E" w:rsidRDefault="00B93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963767639"/>
      <w:docPartObj>
        <w:docPartGallery w:val="Page Numbers (Bottom of Page)"/>
        <w:docPartUnique/>
      </w:docPartObj>
    </w:sdtPr>
    <w:sdtEndPr>
      <w:rPr>
        <w:noProof/>
      </w:rPr>
    </w:sdtEndPr>
    <w:sdtContent>
      <w:p w14:paraId="01EA8D8A" w14:textId="46E6BBA0" w:rsidR="00C66948" w:rsidRDefault="00C66948">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3B1DD113" w14:textId="77777777" w:rsidR="00C66948" w:rsidRDefault="00C66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81654137"/>
      <w:docPartObj>
        <w:docPartGallery w:val="Page Numbers (Bottom of Page)"/>
        <w:docPartUnique/>
      </w:docPartObj>
    </w:sdtPr>
    <w:sdtEndPr>
      <w:rPr>
        <w:noProof/>
      </w:rPr>
    </w:sdtEndPr>
    <w:sdtContent>
      <w:p w14:paraId="64D8018F" w14:textId="733C6284" w:rsidR="005D1832" w:rsidRDefault="005D1832">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07D82EB4" w14:textId="77777777" w:rsidR="005D1832" w:rsidRDefault="005D18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622837009"/>
      <w:docPartObj>
        <w:docPartGallery w:val="Page Numbers (Bottom of Page)"/>
        <w:docPartUnique/>
      </w:docPartObj>
    </w:sdtPr>
    <w:sdtEndPr>
      <w:rPr>
        <w:noProof/>
      </w:rPr>
    </w:sdtEndPr>
    <w:sdtContent>
      <w:p w14:paraId="37FB957D" w14:textId="2C67B408" w:rsidR="00BF0604" w:rsidRDefault="00BF0604">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481CB41B" w14:textId="77777777" w:rsidR="00D5080C" w:rsidRDefault="00D5080C"/>
  <w:p w14:paraId="71169770" w14:textId="77777777" w:rsidR="00F059D5" w:rsidRDefault="00F059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A473" w14:textId="29FC06B0" w:rsidR="00D5080C" w:rsidRDefault="00D5080C" w:rsidP="00FC716F">
    <w:r>
      <w:rPr>
        <w:noProof/>
      </w:rPr>
      <w:drawing>
        <wp:anchor distT="0" distB="0" distL="114300" distR="114300" simplePos="0" relativeHeight="251657728" behindDoc="0" locked="0" layoutInCell="1" allowOverlap="0" wp14:anchorId="2D4EABFF" wp14:editId="3EDFE70D">
          <wp:simplePos x="0" y="0"/>
          <wp:positionH relativeFrom="column">
            <wp:posOffset>163195</wp:posOffset>
          </wp:positionH>
          <wp:positionV relativeFrom="paragraph">
            <wp:posOffset>-3524250</wp:posOffset>
          </wp:positionV>
          <wp:extent cx="6673850" cy="454660"/>
          <wp:effectExtent l="0" t="0" r="0" b="0"/>
          <wp:wrapNone/>
          <wp:docPr id="16"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A2BC" w14:textId="77777777" w:rsidR="0028582B" w:rsidRDefault="0028582B" w:rsidP="00DB66C3">
      <w:r>
        <w:separator/>
      </w:r>
    </w:p>
    <w:p w14:paraId="3CF6DBCA" w14:textId="77777777" w:rsidR="0028582B" w:rsidRDefault="0028582B" w:rsidP="00DB66C3"/>
    <w:p w14:paraId="655AB7E3" w14:textId="77777777" w:rsidR="0028582B" w:rsidRDefault="0028582B"/>
    <w:p w14:paraId="644D61B2" w14:textId="77777777" w:rsidR="0028582B" w:rsidRDefault="0028582B"/>
  </w:footnote>
  <w:footnote w:type="continuationSeparator" w:id="0">
    <w:p w14:paraId="177E94E0" w14:textId="77777777" w:rsidR="0028582B" w:rsidRDefault="0028582B" w:rsidP="00DB66C3">
      <w:r>
        <w:continuationSeparator/>
      </w:r>
    </w:p>
    <w:p w14:paraId="6E2200D5" w14:textId="77777777" w:rsidR="0028582B" w:rsidRDefault="0028582B" w:rsidP="00DB66C3"/>
    <w:p w14:paraId="2986D2B5" w14:textId="77777777" w:rsidR="0028582B" w:rsidRDefault="0028582B"/>
    <w:p w14:paraId="344E2FD0" w14:textId="77777777" w:rsidR="0028582B" w:rsidRDefault="00285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E547" w14:textId="544820CE" w:rsidR="00D5080C" w:rsidRDefault="00D5080C" w:rsidP="00FC716F">
    <w:r>
      <w:rPr>
        <w:noProof/>
      </w:rPr>
      <w:drawing>
        <wp:anchor distT="0" distB="0" distL="114300" distR="114300" simplePos="0" relativeHeight="251659776" behindDoc="1" locked="0" layoutInCell="1" allowOverlap="1" wp14:anchorId="742AF69C" wp14:editId="062CC75B">
          <wp:simplePos x="0" y="0"/>
          <wp:positionH relativeFrom="column">
            <wp:posOffset>-718185</wp:posOffset>
          </wp:positionH>
          <wp:positionV relativeFrom="paragraph">
            <wp:posOffset>-474345</wp:posOffset>
          </wp:positionV>
          <wp:extent cx="7570470" cy="1071308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71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14:anchorId="53E4B5CB" wp14:editId="7EE8AA73">
          <wp:simplePos x="0" y="0"/>
          <wp:positionH relativeFrom="column">
            <wp:posOffset>882650</wp:posOffset>
          </wp:positionH>
          <wp:positionV relativeFrom="paragraph">
            <wp:posOffset>6762750</wp:posOffset>
          </wp:positionV>
          <wp:extent cx="6673850" cy="45466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165306"/>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FFFFFF89"/>
    <w:multiLevelType w:val="singleLevel"/>
    <w:tmpl w:val="1BBEBC34"/>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000C15CB"/>
    <w:multiLevelType w:val="hybridMultilevel"/>
    <w:tmpl w:val="A746AFFE"/>
    <w:lvl w:ilvl="0" w:tplc="1424E5E8">
      <w:start w:val="1"/>
      <w:numFmt w:val="bullet"/>
      <w:lvlText w:val=""/>
      <w:lvlJc w:val="left"/>
      <w:pPr>
        <w:ind w:left="720" w:hanging="360"/>
      </w:pPr>
      <w:rPr>
        <w:rFonts w:ascii="Symbol" w:hAnsi="Symbol" w:hint="default"/>
      </w:rPr>
    </w:lvl>
    <w:lvl w:ilvl="1" w:tplc="7068A090">
      <w:start w:val="1"/>
      <w:numFmt w:val="bullet"/>
      <w:lvlText w:val="o"/>
      <w:lvlJc w:val="left"/>
      <w:pPr>
        <w:ind w:left="1440" w:hanging="360"/>
      </w:pPr>
      <w:rPr>
        <w:rFonts w:ascii="Courier New" w:hAnsi="Courier New" w:hint="default"/>
      </w:rPr>
    </w:lvl>
    <w:lvl w:ilvl="2" w:tplc="238AD70C">
      <w:start w:val="1"/>
      <w:numFmt w:val="bullet"/>
      <w:lvlText w:val=""/>
      <w:lvlJc w:val="left"/>
      <w:pPr>
        <w:ind w:left="2160" w:hanging="360"/>
      </w:pPr>
      <w:rPr>
        <w:rFonts w:ascii="Wingdings" w:hAnsi="Wingdings" w:hint="default"/>
      </w:rPr>
    </w:lvl>
    <w:lvl w:ilvl="3" w:tplc="89FAA7BE">
      <w:start w:val="1"/>
      <w:numFmt w:val="bullet"/>
      <w:lvlText w:val=""/>
      <w:lvlJc w:val="left"/>
      <w:pPr>
        <w:ind w:left="2880" w:hanging="360"/>
      </w:pPr>
      <w:rPr>
        <w:rFonts w:ascii="Symbol" w:hAnsi="Symbol" w:hint="default"/>
      </w:rPr>
    </w:lvl>
    <w:lvl w:ilvl="4" w:tplc="8FFC6136">
      <w:start w:val="1"/>
      <w:numFmt w:val="bullet"/>
      <w:lvlText w:val="o"/>
      <w:lvlJc w:val="left"/>
      <w:pPr>
        <w:ind w:left="3600" w:hanging="360"/>
      </w:pPr>
      <w:rPr>
        <w:rFonts w:ascii="Courier New" w:hAnsi="Courier New" w:hint="default"/>
      </w:rPr>
    </w:lvl>
    <w:lvl w:ilvl="5" w:tplc="DF6823DA">
      <w:start w:val="1"/>
      <w:numFmt w:val="bullet"/>
      <w:lvlText w:val=""/>
      <w:lvlJc w:val="left"/>
      <w:pPr>
        <w:ind w:left="4320" w:hanging="360"/>
      </w:pPr>
      <w:rPr>
        <w:rFonts w:ascii="Wingdings" w:hAnsi="Wingdings" w:hint="default"/>
      </w:rPr>
    </w:lvl>
    <w:lvl w:ilvl="6" w:tplc="D4AEB350">
      <w:start w:val="1"/>
      <w:numFmt w:val="bullet"/>
      <w:lvlText w:val=""/>
      <w:lvlJc w:val="left"/>
      <w:pPr>
        <w:ind w:left="5040" w:hanging="360"/>
      </w:pPr>
      <w:rPr>
        <w:rFonts w:ascii="Symbol" w:hAnsi="Symbol" w:hint="default"/>
      </w:rPr>
    </w:lvl>
    <w:lvl w:ilvl="7" w:tplc="B4F0FB3C">
      <w:start w:val="1"/>
      <w:numFmt w:val="bullet"/>
      <w:lvlText w:val="o"/>
      <w:lvlJc w:val="left"/>
      <w:pPr>
        <w:ind w:left="5760" w:hanging="360"/>
      </w:pPr>
      <w:rPr>
        <w:rFonts w:ascii="Courier New" w:hAnsi="Courier New" w:hint="default"/>
      </w:rPr>
    </w:lvl>
    <w:lvl w:ilvl="8" w:tplc="D3227AFA">
      <w:start w:val="1"/>
      <w:numFmt w:val="bullet"/>
      <w:lvlText w:val=""/>
      <w:lvlJc w:val="left"/>
      <w:pPr>
        <w:ind w:left="6480" w:hanging="360"/>
      </w:pPr>
      <w:rPr>
        <w:rFonts w:ascii="Wingdings" w:hAnsi="Wingdings" w:hint="default"/>
      </w:rPr>
    </w:lvl>
  </w:abstractNum>
  <w:abstractNum w:abstractNumId="3" w15:restartNumberingAfterBreak="0">
    <w:nsid w:val="00E87976"/>
    <w:multiLevelType w:val="hybridMultilevel"/>
    <w:tmpl w:val="F4424F28"/>
    <w:lvl w:ilvl="0" w:tplc="787E1D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5" w15:restartNumberingAfterBreak="0">
    <w:nsid w:val="04542B2E"/>
    <w:multiLevelType w:val="hybridMultilevel"/>
    <w:tmpl w:val="9C329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3A4848"/>
    <w:multiLevelType w:val="hybridMultilevel"/>
    <w:tmpl w:val="4B628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45D6B"/>
    <w:multiLevelType w:val="hybridMultilevel"/>
    <w:tmpl w:val="3C841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FD5AF4"/>
    <w:multiLevelType w:val="hybridMultilevel"/>
    <w:tmpl w:val="36FA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3C0C85"/>
    <w:multiLevelType w:val="hybridMultilevel"/>
    <w:tmpl w:val="0012221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34E59B1"/>
    <w:multiLevelType w:val="hybridMultilevel"/>
    <w:tmpl w:val="B54821F6"/>
    <w:lvl w:ilvl="0" w:tplc="A76C8E4E">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49257E5"/>
    <w:multiLevelType w:val="hybridMultilevel"/>
    <w:tmpl w:val="D88E6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1C4E1A"/>
    <w:multiLevelType w:val="hybridMultilevel"/>
    <w:tmpl w:val="EADE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136654"/>
    <w:multiLevelType w:val="hybridMultilevel"/>
    <w:tmpl w:val="D382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3A30D2"/>
    <w:multiLevelType w:val="hybridMultilevel"/>
    <w:tmpl w:val="44FAB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A87F80"/>
    <w:multiLevelType w:val="hybridMultilevel"/>
    <w:tmpl w:val="3E8CEF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1487693"/>
    <w:multiLevelType w:val="hybridMultilevel"/>
    <w:tmpl w:val="54BE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FC722C"/>
    <w:multiLevelType w:val="hybridMultilevel"/>
    <w:tmpl w:val="A01CF4DA"/>
    <w:lvl w:ilvl="0" w:tplc="FFFFFFFF">
      <w:start w:val="1"/>
      <w:numFmt w:val="bullet"/>
      <w:lvlText w:val=""/>
      <w:lvlJc w:val="left"/>
      <w:pPr>
        <w:ind w:left="720" w:hanging="360"/>
      </w:pPr>
      <w:rPr>
        <w:rFonts w:ascii="Symbol" w:hAnsi="Symbol" w:hint="default"/>
      </w:rPr>
    </w:lvl>
    <w:lvl w:ilvl="1" w:tplc="356E1ADE">
      <w:start w:val="1"/>
      <w:numFmt w:val="bullet"/>
      <w:lvlText w:val=""/>
      <w:lvlJc w:val="left"/>
      <w:pPr>
        <w:ind w:left="1440" w:hanging="360"/>
      </w:pPr>
      <w:rPr>
        <w:rFonts w:ascii="Wingdings" w:hAnsi="Wingdings" w:hint="default"/>
        <w:sz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4A28D1"/>
    <w:multiLevelType w:val="hybridMultilevel"/>
    <w:tmpl w:val="00724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426B0"/>
    <w:multiLevelType w:val="hybridMultilevel"/>
    <w:tmpl w:val="D576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E5B7E"/>
    <w:multiLevelType w:val="multilevel"/>
    <w:tmpl w:val="67721454"/>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77348D"/>
    <w:multiLevelType w:val="hybridMultilevel"/>
    <w:tmpl w:val="65DAE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D5541C"/>
    <w:multiLevelType w:val="hybridMultilevel"/>
    <w:tmpl w:val="FC0CED78"/>
    <w:lvl w:ilvl="0" w:tplc="827092E4">
      <w:start w:val="1"/>
      <w:numFmt w:val="bullet"/>
      <w:lvlText w:val=""/>
      <w:lvlJc w:val="left"/>
      <w:pPr>
        <w:ind w:left="780" w:hanging="360"/>
      </w:pPr>
      <w:rPr>
        <w:rFonts w:ascii="Symbol" w:hAnsi="Symbol" w:hint="default"/>
        <w:color w:val="000000" w:themeColor="text1"/>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2F6C7F55"/>
    <w:multiLevelType w:val="hybridMultilevel"/>
    <w:tmpl w:val="56881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D05207"/>
    <w:multiLevelType w:val="hybridMultilevel"/>
    <w:tmpl w:val="58203236"/>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25" w15:restartNumberingAfterBreak="0">
    <w:nsid w:val="31E31346"/>
    <w:multiLevelType w:val="hybridMultilevel"/>
    <w:tmpl w:val="9D821220"/>
    <w:lvl w:ilvl="0" w:tplc="0C090001">
      <w:start w:val="1"/>
      <w:numFmt w:val="bullet"/>
      <w:lvlText w:val=""/>
      <w:lvlJc w:val="left"/>
      <w:pPr>
        <w:ind w:left="360" w:hanging="360"/>
      </w:pPr>
      <w:rPr>
        <w:rFonts w:ascii="Symbol" w:hAnsi="Symbol" w:hint="default"/>
      </w:rPr>
    </w:lvl>
    <w:lvl w:ilvl="1" w:tplc="DA9C13CC">
      <w:numFmt w:val="bullet"/>
      <w:lvlText w:val="-"/>
      <w:lvlJc w:val="left"/>
      <w:pPr>
        <w:ind w:left="1080" w:hanging="360"/>
      </w:pPr>
      <w:rPr>
        <w:rFonts w:ascii="Arial" w:eastAsia="Arial"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2C8593B"/>
    <w:multiLevelType w:val="hybridMultilevel"/>
    <w:tmpl w:val="F5881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0FA90D"/>
    <w:multiLevelType w:val="hybridMultilevel"/>
    <w:tmpl w:val="8DB254B0"/>
    <w:lvl w:ilvl="0" w:tplc="6130EA60">
      <w:start w:val="1"/>
      <w:numFmt w:val="bullet"/>
      <w:lvlText w:val="·"/>
      <w:lvlJc w:val="left"/>
      <w:pPr>
        <w:ind w:left="720" w:hanging="360"/>
      </w:pPr>
      <w:rPr>
        <w:rFonts w:ascii="Symbol" w:hAnsi="Symbol" w:hint="default"/>
      </w:rPr>
    </w:lvl>
    <w:lvl w:ilvl="1" w:tplc="10282F30">
      <w:start w:val="1"/>
      <w:numFmt w:val="bullet"/>
      <w:lvlText w:val="o"/>
      <w:lvlJc w:val="left"/>
      <w:pPr>
        <w:ind w:left="1440" w:hanging="360"/>
      </w:pPr>
      <w:rPr>
        <w:rFonts w:ascii="Courier New" w:hAnsi="Courier New" w:hint="default"/>
      </w:rPr>
    </w:lvl>
    <w:lvl w:ilvl="2" w:tplc="939A2826">
      <w:start w:val="1"/>
      <w:numFmt w:val="bullet"/>
      <w:lvlText w:val=""/>
      <w:lvlJc w:val="left"/>
      <w:pPr>
        <w:ind w:left="2160" w:hanging="360"/>
      </w:pPr>
      <w:rPr>
        <w:rFonts w:ascii="Wingdings" w:hAnsi="Wingdings" w:hint="default"/>
      </w:rPr>
    </w:lvl>
    <w:lvl w:ilvl="3" w:tplc="9B4A15D4">
      <w:start w:val="1"/>
      <w:numFmt w:val="bullet"/>
      <w:lvlText w:val=""/>
      <w:lvlJc w:val="left"/>
      <w:pPr>
        <w:ind w:left="2880" w:hanging="360"/>
      </w:pPr>
      <w:rPr>
        <w:rFonts w:ascii="Symbol" w:hAnsi="Symbol" w:hint="default"/>
      </w:rPr>
    </w:lvl>
    <w:lvl w:ilvl="4" w:tplc="D918F998">
      <w:start w:val="1"/>
      <w:numFmt w:val="bullet"/>
      <w:lvlText w:val="o"/>
      <w:lvlJc w:val="left"/>
      <w:pPr>
        <w:ind w:left="3600" w:hanging="360"/>
      </w:pPr>
      <w:rPr>
        <w:rFonts w:ascii="Courier New" w:hAnsi="Courier New" w:hint="default"/>
      </w:rPr>
    </w:lvl>
    <w:lvl w:ilvl="5" w:tplc="DEDA0B2C">
      <w:start w:val="1"/>
      <w:numFmt w:val="bullet"/>
      <w:lvlText w:val=""/>
      <w:lvlJc w:val="left"/>
      <w:pPr>
        <w:ind w:left="4320" w:hanging="360"/>
      </w:pPr>
      <w:rPr>
        <w:rFonts w:ascii="Wingdings" w:hAnsi="Wingdings" w:hint="default"/>
      </w:rPr>
    </w:lvl>
    <w:lvl w:ilvl="6" w:tplc="0FCC6648">
      <w:start w:val="1"/>
      <w:numFmt w:val="bullet"/>
      <w:lvlText w:val=""/>
      <w:lvlJc w:val="left"/>
      <w:pPr>
        <w:ind w:left="5040" w:hanging="360"/>
      </w:pPr>
      <w:rPr>
        <w:rFonts w:ascii="Symbol" w:hAnsi="Symbol" w:hint="default"/>
      </w:rPr>
    </w:lvl>
    <w:lvl w:ilvl="7" w:tplc="642C5368">
      <w:start w:val="1"/>
      <w:numFmt w:val="bullet"/>
      <w:lvlText w:val="o"/>
      <w:lvlJc w:val="left"/>
      <w:pPr>
        <w:ind w:left="5760" w:hanging="360"/>
      </w:pPr>
      <w:rPr>
        <w:rFonts w:ascii="Courier New" w:hAnsi="Courier New" w:hint="default"/>
      </w:rPr>
    </w:lvl>
    <w:lvl w:ilvl="8" w:tplc="517670CA">
      <w:start w:val="1"/>
      <w:numFmt w:val="bullet"/>
      <w:lvlText w:val=""/>
      <w:lvlJc w:val="left"/>
      <w:pPr>
        <w:ind w:left="6480" w:hanging="360"/>
      </w:pPr>
      <w:rPr>
        <w:rFonts w:ascii="Wingdings" w:hAnsi="Wingdings" w:hint="default"/>
      </w:rPr>
    </w:lvl>
  </w:abstractNum>
  <w:abstractNum w:abstractNumId="28" w15:restartNumberingAfterBreak="0">
    <w:nsid w:val="33DD65B4"/>
    <w:multiLevelType w:val="hybridMultilevel"/>
    <w:tmpl w:val="02D0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E552E0"/>
    <w:multiLevelType w:val="hybridMultilevel"/>
    <w:tmpl w:val="64A8E7CA"/>
    <w:lvl w:ilvl="0" w:tplc="0C090001">
      <w:start w:val="1"/>
      <w:numFmt w:val="bullet"/>
      <w:lvlText w:val=""/>
      <w:lvlJc w:val="left"/>
      <w:pPr>
        <w:ind w:left="720" w:hanging="360"/>
      </w:pPr>
      <w:rPr>
        <w:rFonts w:ascii="Symbol" w:hAnsi="Symbol" w:hint="default"/>
      </w:rPr>
    </w:lvl>
    <w:lvl w:ilvl="1" w:tplc="BFE42BB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2F4D0C"/>
    <w:multiLevelType w:val="hybridMultilevel"/>
    <w:tmpl w:val="F3D24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9F7B35"/>
    <w:multiLevelType w:val="hybridMultilevel"/>
    <w:tmpl w:val="F156F2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7E93410"/>
    <w:multiLevelType w:val="hybridMultilevel"/>
    <w:tmpl w:val="41B056B0"/>
    <w:lvl w:ilvl="0" w:tplc="8738EE02">
      <w:start w:val="1"/>
      <w:numFmt w:val="bullet"/>
      <w:lvlText w:val=""/>
      <w:lvlJc w:val="left"/>
      <w:pPr>
        <w:ind w:left="928" w:hanging="360"/>
      </w:pPr>
      <w:rPr>
        <w:rFonts w:ascii="Symbol" w:hAnsi="Symbol" w:hint="default"/>
        <w:color w:val="000000" w:themeColor="text1"/>
        <w:sz w:val="20"/>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3" w15:restartNumberingAfterBreak="0">
    <w:nsid w:val="38066C1F"/>
    <w:multiLevelType w:val="hybridMultilevel"/>
    <w:tmpl w:val="62A0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A6A2927"/>
    <w:multiLevelType w:val="hybridMultilevel"/>
    <w:tmpl w:val="E4FA0D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DDB3BA7"/>
    <w:multiLevelType w:val="hybridMultilevel"/>
    <w:tmpl w:val="808E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7D5ACE"/>
    <w:multiLevelType w:val="multilevel"/>
    <w:tmpl w:val="949A6FBC"/>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937DD0"/>
    <w:multiLevelType w:val="hybridMultilevel"/>
    <w:tmpl w:val="D6CCE07C"/>
    <w:lvl w:ilvl="0" w:tplc="0C09000B">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8" w15:restartNumberingAfterBreak="0">
    <w:nsid w:val="40A95BF5"/>
    <w:multiLevelType w:val="hybridMultilevel"/>
    <w:tmpl w:val="EEDC2FEE"/>
    <w:lvl w:ilvl="0" w:tplc="6A86FF94">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9" w15:restartNumberingAfterBreak="0">
    <w:nsid w:val="4474498D"/>
    <w:multiLevelType w:val="hybridMultilevel"/>
    <w:tmpl w:val="F8AED234"/>
    <w:lvl w:ilvl="0" w:tplc="CAE41798">
      <w:start w:val="1"/>
      <w:numFmt w:val="bullet"/>
      <w:lvlText w:val=""/>
      <w:lvlJc w:val="left"/>
      <w:pPr>
        <w:ind w:left="720" w:hanging="360"/>
      </w:pPr>
      <w:rPr>
        <w:rFonts w:ascii="Symbol" w:hAnsi="Symbol" w:hint="default"/>
      </w:rPr>
    </w:lvl>
    <w:lvl w:ilvl="1" w:tplc="A058F9A0">
      <w:start w:val="1"/>
      <w:numFmt w:val="bullet"/>
      <w:lvlText w:val="o"/>
      <w:lvlJc w:val="left"/>
      <w:pPr>
        <w:ind w:left="1440" w:hanging="360"/>
      </w:pPr>
      <w:rPr>
        <w:rFonts w:ascii="Courier New" w:hAnsi="Courier New" w:hint="default"/>
      </w:rPr>
    </w:lvl>
    <w:lvl w:ilvl="2" w:tplc="09EADAD2">
      <w:start w:val="1"/>
      <w:numFmt w:val="bullet"/>
      <w:lvlText w:val=""/>
      <w:lvlJc w:val="left"/>
      <w:pPr>
        <w:ind w:left="2160" w:hanging="360"/>
      </w:pPr>
      <w:rPr>
        <w:rFonts w:ascii="Wingdings" w:hAnsi="Wingdings" w:hint="default"/>
      </w:rPr>
    </w:lvl>
    <w:lvl w:ilvl="3" w:tplc="3D9608AA">
      <w:start w:val="1"/>
      <w:numFmt w:val="bullet"/>
      <w:lvlText w:val=""/>
      <w:lvlJc w:val="left"/>
      <w:pPr>
        <w:ind w:left="2880" w:hanging="360"/>
      </w:pPr>
      <w:rPr>
        <w:rFonts w:ascii="Symbol" w:hAnsi="Symbol" w:hint="default"/>
      </w:rPr>
    </w:lvl>
    <w:lvl w:ilvl="4" w:tplc="AD7271A6">
      <w:start w:val="1"/>
      <w:numFmt w:val="bullet"/>
      <w:lvlText w:val="o"/>
      <w:lvlJc w:val="left"/>
      <w:pPr>
        <w:ind w:left="3600" w:hanging="360"/>
      </w:pPr>
      <w:rPr>
        <w:rFonts w:ascii="Courier New" w:hAnsi="Courier New" w:hint="default"/>
      </w:rPr>
    </w:lvl>
    <w:lvl w:ilvl="5" w:tplc="4FB8AB10">
      <w:start w:val="1"/>
      <w:numFmt w:val="bullet"/>
      <w:lvlText w:val=""/>
      <w:lvlJc w:val="left"/>
      <w:pPr>
        <w:ind w:left="4320" w:hanging="360"/>
      </w:pPr>
      <w:rPr>
        <w:rFonts w:ascii="Wingdings" w:hAnsi="Wingdings" w:hint="default"/>
      </w:rPr>
    </w:lvl>
    <w:lvl w:ilvl="6" w:tplc="0DF4BA96">
      <w:start w:val="1"/>
      <w:numFmt w:val="bullet"/>
      <w:lvlText w:val=""/>
      <w:lvlJc w:val="left"/>
      <w:pPr>
        <w:ind w:left="5040" w:hanging="360"/>
      </w:pPr>
      <w:rPr>
        <w:rFonts w:ascii="Symbol" w:hAnsi="Symbol" w:hint="default"/>
      </w:rPr>
    </w:lvl>
    <w:lvl w:ilvl="7" w:tplc="80B8AA42">
      <w:start w:val="1"/>
      <w:numFmt w:val="bullet"/>
      <w:lvlText w:val="o"/>
      <w:lvlJc w:val="left"/>
      <w:pPr>
        <w:ind w:left="5760" w:hanging="360"/>
      </w:pPr>
      <w:rPr>
        <w:rFonts w:ascii="Courier New" w:hAnsi="Courier New" w:hint="default"/>
      </w:rPr>
    </w:lvl>
    <w:lvl w:ilvl="8" w:tplc="36E8C442">
      <w:start w:val="1"/>
      <w:numFmt w:val="bullet"/>
      <w:lvlText w:val=""/>
      <w:lvlJc w:val="left"/>
      <w:pPr>
        <w:ind w:left="6480" w:hanging="360"/>
      </w:pPr>
      <w:rPr>
        <w:rFonts w:ascii="Wingdings" w:hAnsi="Wingdings" w:hint="default"/>
      </w:rPr>
    </w:lvl>
  </w:abstractNum>
  <w:abstractNum w:abstractNumId="40" w15:restartNumberingAfterBreak="0">
    <w:nsid w:val="452B50A5"/>
    <w:multiLevelType w:val="hybridMultilevel"/>
    <w:tmpl w:val="2CE6C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42" w15:restartNumberingAfterBreak="0">
    <w:nsid w:val="459367C1"/>
    <w:multiLevelType w:val="hybridMultilevel"/>
    <w:tmpl w:val="414ED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5E46D03"/>
    <w:multiLevelType w:val="hybridMultilevel"/>
    <w:tmpl w:val="B20C2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6AD2F1D"/>
    <w:multiLevelType w:val="hybridMultilevel"/>
    <w:tmpl w:val="3434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7D80014"/>
    <w:multiLevelType w:val="hybridMultilevel"/>
    <w:tmpl w:val="974489FC"/>
    <w:lvl w:ilvl="0" w:tplc="F51028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7EAD749"/>
    <w:multiLevelType w:val="hybridMultilevel"/>
    <w:tmpl w:val="50427590"/>
    <w:lvl w:ilvl="0" w:tplc="9BFC941A">
      <w:start w:val="1"/>
      <w:numFmt w:val="bullet"/>
      <w:lvlText w:val=""/>
      <w:lvlJc w:val="left"/>
      <w:pPr>
        <w:ind w:left="720" w:hanging="360"/>
      </w:pPr>
      <w:rPr>
        <w:rFonts w:ascii="Symbol" w:hAnsi="Symbol" w:hint="default"/>
      </w:rPr>
    </w:lvl>
    <w:lvl w:ilvl="1" w:tplc="33FEF798">
      <w:start w:val="1"/>
      <w:numFmt w:val="bullet"/>
      <w:lvlText w:val="o"/>
      <w:lvlJc w:val="left"/>
      <w:pPr>
        <w:ind w:left="1440" w:hanging="360"/>
      </w:pPr>
      <w:rPr>
        <w:rFonts w:ascii="Courier New" w:hAnsi="Courier New" w:hint="default"/>
      </w:rPr>
    </w:lvl>
    <w:lvl w:ilvl="2" w:tplc="2BC0E69A">
      <w:start w:val="1"/>
      <w:numFmt w:val="bullet"/>
      <w:lvlText w:val=""/>
      <w:lvlJc w:val="left"/>
      <w:pPr>
        <w:ind w:left="2160" w:hanging="360"/>
      </w:pPr>
      <w:rPr>
        <w:rFonts w:ascii="Wingdings" w:hAnsi="Wingdings" w:hint="default"/>
      </w:rPr>
    </w:lvl>
    <w:lvl w:ilvl="3" w:tplc="3456134C">
      <w:start w:val="1"/>
      <w:numFmt w:val="bullet"/>
      <w:lvlText w:val=""/>
      <w:lvlJc w:val="left"/>
      <w:pPr>
        <w:ind w:left="2880" w:hanging="360"/>
      </w:pPr>
      <w:rPr>
        <w:rFonts w:ascii="Symbol" w:hAnsi="Symbol" w:hint="default"/>
      </w:rPr>
    </w:lvl>
    <w:lvl w:ilvl="4" w:tplc="ABD0D4C4">
      <w:start w:val="1"/>
      <w:numFmt w:val="bullet"/>
      <w:lvlText w:val="o"/>
      <w:lvlJc w:val="left"/>
      <w:pPr>
        <w:ind w:left="3600" w:hanging="360"/>
      </w:pPr>
      <w:rPr>
        <w:rFonts w:ascii="Courier New" w:hAnsi="Courier New" w:hint="default"/>
      </w:rPr>
    </w:lvl>
    <w:lvl w:ilvl="5" w:tplc="0EA8BCE6">
      <w:start w:val="1"/>
      <w:numFmt w:val="bullet"/>
      <w:lvlText w:val=""/>
      <w:lvlJc w:val="left"/>
      <w:pPr>
        <w:ind w:left="4320" w:hanging="360"/>
      </w:pPr>
      <w:rPr>
        <w:rFonts w:ascii="Wingdings" w:hAnsi="Wingdings" w:hint="default"/>
      </w:rPr>
    </w:lvl>
    <w:lvl w:ilvl="6" w:tplc="36166A82">
      <w:start w:val="1"/>
      <w:numFmt w:val="bullet"/>
      <w:lvlText w:val=""/>
      <w:lvlJc w:val="left"/>
      <w:pPr>
        <w:ind w:left="5040" w:hanging="360"/>
      </w:pPr>
      <w:rPr>
        <w:rFonts w:ascii="Symbol" w:hAnsi="Symbol" w:hint="default"/>
      </w:rPr>
    </w:lvl>
    <w:lvl w:ilvl="7" w:tplc="7F484D5C">
      <w:start w:val="1"/>
      <w:numFmt w:val="bullet"/>
      <w:lvlText w:val="o"/>
      <w:lvlJc w:val="left"/>
      <w:pPr>
        <w:ind w:left="5760" w:hanging="360"/>
      </w:pPr>
      <w:rPr>
        <w:rFonts w:ascii="Courier New" w:hAnsi="Courier New" w:hint="default"/>
      </w:rPr>
    </w:lvl>
    <w:lvl w:ilvl="8" w:tplc="3EA84114">
      <w:start w:val="1"/>
      <w:numFmt w:val="bullet"/>
      <w:lvlText w:val=""/>
      <w:lvlJc w:val="left"/>
      <w:pPr>
        <w:ind w:left="6480" w:hanging="360"/>
      </w:pPr>
      <w:rPr>
        <w:rFonts w:ascii="Wingdings" w:hAnsi="Wingdings" w:hint="default"/>
      </w:rPr>
    </w:lvl>
  </w:abstractNum>
  <w:abstractNum w:abstractNumId="47" w15:restartNumberingAfterBreak="0">
    <w:nsid w:val="49574193"/>
    <w:multiLevelType w:val="hybridMultilevel"/>
    <w:tmpl w:val="DA72F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B0369AF"/>
    <w:multiLevelType w:val="hybridMultilevel"/>
    <w:tmpl w:val="388C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B2A3F16"/>
    <w:multiLevelType w:val="hybridMultilevel"/>
    <w:tmpl w:val="BBFC2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D853DB8"/>
    <w:multiLevelType w:val="hybridMultilevel"/>
    <w:tmpl w:val="25D269F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1" w15:restartNumberingAfterBreak="0">
    <w:nsid w:val="4F7621DE"/>
    <w:multiLevelType w:val="hybridMultilevel"/>
    <w:tmpl w:val="01E88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FFB249F"/>
    <w:multiLevelType w:val="hybridMultilevel"/>
    <w:tmpl w:val="59D4A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011741C"/>
    <w:multiLevelType w:val="multilevel"/>
    <w:tmpl w:val="2E34E0D8"/>
    <w:lvl w:ilvl="0">
      <w:numFmt w:val="bullet"/>
      <w:lvlText w:val="·"/>
      <w:lvlJc w:val="left"/>
      <w:pPr>
        <w:tabs>
          <w:tab w:val="left" w:pos="72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55" w15:restartNumberingAfterBreak="0">
    <w:nsid w:val="54E64578"/>
    <w:multiLevelType w:val="hybridMultilevel"/>
    <w:tmpl w:val="9418F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5A448F8"/>
    <w:multiLevelType w:val="hybridMultilevel"/>
    <w:tmpl w:val="459CD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71B6B35"/>
    <w:multiLevelType w:val="hybridMultilevel"/>
    <w:tmpl w:val="3ACE6FB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51EE84"/>
    <w:multiLevelType w:val="hybridMultilevel"/>
    <w:tmpl w:val="8CECCF4C"/>
    <w:lvl w:ilvl="0" w:tplc="0E0EA4F2">
      <w:start w:val="1"/>
      <w:numFmt w:val="bullet"/>
      <w:lvlText w:val="·"/>
      <w:lvlJc w:val="left"/>
      <w:pPr>
        <w:ind w:left="720" w:hanging="360"/>
      </w:pPr>
      <w:rPr>
        <w:rFonts w:ascii="Symbol" w:hAnsi="Symbol" w:hint="default"/>
      </w:rPr>
    </w:lvl>
    <w:lvl w:ilvl="1" w:tplc="4400311C">
      <w:start w:val="1"/>
      <w:numFmt w:val="bullet"/>
      <w:lvlText w:val="o"/>
      <w:lvlJc w:val="left"/>
      <w:pPr>
        <w:ind w:left="1440" w:hanging="360"/>
      </w:pPr>
      <w:rPr>
        <w:rFonts w:ascii="Courier New" w:hAnsi="Courier New" w:hint="default"/>
      </w:rPr>
    </w:lvl>
    <w:lvl w:ilvl="2" w:tplc="79620B5C">
      <w:start w:val="1"/>
      <w:numFmt w:val="bullet"/>
      <w:lvlText w:val=""/>
      <w:lvlJc w:val="left"/>
      <w:pPr>
        <w:ind w:left="2160" w:hanging="360"/>
      </w:pPr>
      <w:rPr>
        <w:rFonts w:ascii="Wingdings" w:hAnsi="Wingdings" w:hint="default"/>
      </w:rPr>
    </w:lvl>
    <w:lvl w:ilvl="3" w:tplc="280841F6">
      <w:start w:val="1"/>
      <w:numFmt w:val="bullet"/>
      <w:lvlText w:val=""/>
      <w:lvlJc w:val="left"/>
      <w:pPr>
        <w:ind w:left="2880" w:hanging="360"/>
      </w:pPr>
      <w:rPr>
        <w:rFonts w:ascii="Symbol" w:hAnsi="Symbol" w:hint="default"/>
      </w:rPr>
    </w:lvl>
    <w:lvl w:ilvl="4" w:tplc="DCDA3E86">
      <w:start w:val="1"/>
      <w:numFmt w:val="bullet"/>
      <w:lvlText w:val="o"/>
      <w:lvlJc w:val="left"/>
      <w:pPr>
        <w:ind w:left="3600" w:hanging="360"/>
      </w:pPr>
      <w:rPr>
        <w:rFonts w:ascii="Courier New" w:hAnsi="Courier New" w:hint="default"/>
      </w:rPr>
    </w:lvl>
    <w:lvl w:ilvl="5" w:tplc="F2402196">
      <w:start w:val="1"/>
      <w:numFmt w:val="bullet"/>
      <w:lvlText w:val=""/>
      <w:lvlJc w:val="left"/>
      <w:pPr>
        <w:ind w:left="4320" w:hanging="360"/>
      </w:pPr>
      <w:rPr>
        <w:rFonts w:ascii="Wingdings" w:hAnsi="Wingdings" w:hint="default"/>
      </w:rPr>
    </w:lvl>
    <w:lvl w:ilvl="6" w:tplc="D87A7806">
      <w:start w:val="1"/>
      <w:numFmt w:val="bullet"/>
      <w:lvlText w:val=""/>
      <w:lvlJc w:val="left"/>
      <w:pPr>
        <w:ind w:left="5040" w:hanging="360"/>
      </w:pPr>
      <w:rPr>
        <w:rFonts w:ascii="Symbol" w:hAnsi="Symbol" w:hint="default"/>
      </w:rPr>
    </w:lvl>
    <w:lvl w:ilvl="7" w:tplc="EAAC7002">
      <w:start w:val="1"/>
      <w:numFmt w:val="bullet"/>
      <w:lvlText w:val="o"/>
      <w:lvlJc w:val="left"/>
      <w:pPr>
        <w:ind w:left="5760" w:hanging="360"/>
      </w:pPr>
      <w:rPr>
        <w:rFonts w:ascii="Courier New" w:hAnsi="Courier New" w:hint="default"/>
      </w:rPr>
    </w:lvl>
    <w:lvl w:ilvl="8" w:tplc="8D80D332">
      <w:start w:val="1"/>
      <w:numFmt w:val="bullet"/>
      <w:lvlText w:val=""/>
      <w:lvlJc w:val="left"/>
      <w:pPr>
        <w:ind w:left="6480" w:hanging="360"/>
      </w:pPr>
      <w:rPr>
        <w:rFonts w:ascii="Wingdings" w:hAnsi="Wingdings" w:hint="default"/>
      </w:rPr>
    </w:lvl>
  </w:abstractNum>
  <w:abstractNum w:abstractNumId="59" w15:restartNumberingAfterBreak="0">
    <w:nsid w:val="576E6623"/>
    <w:multiLevelType w:val="hybridMultilevel"/>
    <w:tmpl w:val="33501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61" w15:restartNumberingAfterBreak="0">
    <w:nsid w:val="5A12405F"/>
    <w:multiLevelType w:val="hybridMultilevel"/>
    <w:tmpl w:val="60283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B7D0EA1"/>
    <w:multiLevelType w:val="hybridMultilevel"/>
    <w:tmpl w:val="F6549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C29528C"/>
    <w:multiLevelType w:val="hybridMultilevel"/>
    <w:tmpl w:val="BCE05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EB512F1"/>
    <w:multiLevelType w:val="hybridMultilevel"/>
    <w:tmpl w:val="C3342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EF64EE7"/>
    <w:multiLevelType w:val="hybridMultilevel"/>
    <w:tmpl w:val="678C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01375C7"/>
    <w:multiLevelType w:val="hybridMultilevel"/>
    <w:tmpl w:val="3EE42A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0A1429E"/>
    <w:multiLevelType w:val="hybridMultilevel"/>
    <w:tmpl w:val="DB40D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2C91463"/>
    <w:multiLevelType w:val="hybridMultilevel"/>
    <w:tmpl w:val="4ED84ECC"/>
    <w:lvl w:ilvl="0" w:tplc="98602FBE">
      <w:start w:val="1"/>
      <w:numFmt w:val="bullet"/>
      <w:pStyle w:val="Bullets"/>
      <w:lvlText w:val=""/>
      <w:lvlJc w:val="left"/>
      <w:pPr>
        <w:ind w:left="1495"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2FD496D"/>
    <w:multiLevelType w:val="hybridMultilevel"/>
    <w:tmpl w:val="563CC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5E1241D"/>
    <w:multiLevelType w:val="hybridMultilevel"/>
    <w:tmpl w:val="6DF48F4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69523957"/>
    <w:multiLevelType w:val="hybridMultilevel"/>
    <w:tmpl w:val="FF94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99B3676"/>
    <w:multiLevelType w:val="hybridMultilevel"/>
    <w:tmpl w:val="052A5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9B21A28"/>
    <w:multiLevelType w:val="hybridMultilevel"/>
    <w:tmpl w:val="2DA8F4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6A8E1EED"/>
    <w:multiLevelType w:val="hybridMultilevel"/>
    <w:tmpl w:val="2DE4F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C302C45"/>
    <w:multiLevelType w:val="hybridMultilevel"/>
    <w:tmpl w:val="2DEAE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65730BC"/>
    <w:multiLevelType w:val="multilevel"/>
    <w:tmpl w:val="9ED00FC6"/>
    <w:lvl w:ilvl="0">
      <w:start w:val="1"/>
      <w:numFmt w:val="lowerLetter"/>
      <w:lvlText w:val="(%1)"/>
      <w:lvlJc w:val="left"/>
      <w:pPr>
        <w:tabs>
          <w:tab w:val="left" w:pos="72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95D369B"/>
    <w:multiLevelType w:val="hybridMultilevel"/>
    <w:tmpl w:val="9CD06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A304490"/>
    <w:multiLevelType w:val="hybridMultilevel"/>
    <w:tmpl w:val="FF3E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B1066D9"/>
    <w:multiLevelType w:val="hybridMultilevel"/>
    <w:tmpl w:val="9C48F35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1" w15:restartNumberingAfterBreak="0">
    <w:nsid w:val="7F4A1B73"/>
    <w:multiLevelType w:val="hybridMultilevel"/>
    <w:tmpl w:val="5F363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0"/>
  </w:num>
  <w:num w:numId="4">
    <w:abstractNumId w:val="67"/>
  </w:num>
  <w:num w:numId="5">
    <w:abstractNumId w:val="54"/>
  </w:num>
  <w:num w:numId="6">
    <w:abstractNumId w:val="60"/>
  </w:num>
  <w:num w:numId="7">
    <w:abstractNumId w:val="69"/>
  </w:num>
  <w:num w:numId="8">
    <w:abstractNumId w:val="4"/>
  </w:num>
  <w:num w:numId="9">
    <w:abstractNumId w:val="65"/>
  </w:num>
  <w:num w:numId="10">
    <w:abstractNumId w:val="3"/>
  </w:num>
  <w:num w:numId="11">
    <w:abstractNumId w:val="9"/>
  </w:num>
  <w:num w:numId="12">
    <w:abstractNumId w:val="71"/>
  </w:num>
  <w:num w:numId="13">
    <w:abstractNumId w:val="80"/>
  </w:num>
  <w:num w:numId="14">
    <w:abstractNumId w:val="19"/>
  </w:num>
  <w:num w:numId="15">
    <w:abstractNumId w:val="35"/>
  </w:num>
  <w:num w:numId="16">
    <w:abstractNumId w:val="72"/>
  </w:num>
  <w:num w:numId="17">
    <w:abstractNumId w:val="37"/>
  </w:num>
  <w:num w:numId="18">
    <w:abstractNumId w:val="44"/>
  </w:num>
  <w:num w:numId="19">
    <w:abstractNumId w:val="12"/>
  </w:num>
  <w:num w:numId="20">
    <w:abstractNumId w:val="56"/>
  </w:num>
  <w:num w:numId="21">
    <w:abstractNumId w:val="11"/>
  </w:num>
  <w:num w:numId="22">
    <w:abstractNumId w:val="68"/>
  </w:num>
  <w:num w:numId="23">
    <w:abstractNumId w:val="18"/>
  </w:num>
  <w:num w:numId="24">
    <w:abstractNumId w:val="75"/>
  </w:num>
  <w:num w:numId="25">
    <w:abstractNumId w:val="10"/>
  </w:num>
  <w:num w:numId="26">
    <w:abstractNumId w:val="22"/>
  </w:num>
  <w:num w:numId="27">
    <w:abstractNumId w:val="38"/>
  </w:num>
  <w:num w:numId="28">
    <w:abstractNumId w:val="41"/>
  </w:num>
  <w:num w:numId="29">
    <w:abstractNumId w:val="63"/>
  </w:num>
  <w:num w:numId="30">
    <w:abstractNumId w:val="33"/>
  </w:num>
  <w:num w:numId="31">
    <w:abstractNumId w:val="50"/>
  </w:num>
  <w:num w:numId="32">
    <w:abstractNumId w:val="81"/>
  </w:num>
  <w:num w:numId="33">
    <w:abstractNumId w:val="51"/>
  </w:num>
  <w:num w:numId="34">
    <w:abstractNumId w:val="70"/>
  </w:num>
  <w:num w:numId="35">
    <w:abstractNumId w:val="29"/>
  </w:num>
  <w:num w:numId="36">
    <w:abstractNumId w:val="14"/>
  </w:num>
  <w:num w:numId="37">
    <w:abstractNumId w:val="28"/>
  </w:num>
  <w:num w:numId="38">
    <w:abstractNumId w:val="73"/>
  </w:num>
  <w:num w:numId="39">
    <w:abstractNumId w:val="55"/>
  </w:num>
  <w:num w:numId="40">
    <w:abstractNumId w:val="30"/>
  </w:num>
  <w:num w:numId="41">
    <w:abstractNumId w:val="76"/>
  </w:num>
  <w:num w:numId="42">
    <w:abstractNumId w:val="21"/>
  </w:num>
  <w:num w:numId="43">
    <w:abstractNumId w:val="13"/>
  </w:num>
  <w:num w:numId="44">
    <w:abstractNumId w:val="43"/>
  </w:num>
  <w:num w:numId="45">
    <w:abstractNumId w:val="79"/>
  </w:num>
  <w:num w:numId="46">
    <w:abstractNumId w:val="23"/>
  </w:num>
  <w:num w:numId="47">
    <w:abstractNumId w:val="47"/>
  </w:num>
  <w:num w:numId="48">
    <w:abstractNumId w:val="64"/>
  </w:num>
  <w:num w:numId="49">
    <w:abstractNumId w:val="61"/>
  </w:num>
  <w:num w:numId="50">
    <w:abstractNumId w:val="8"/>
  </w:num>
  <w:num w:numId="51">
    <w:abstractNumId w:val="78"/>
  </w:num>
  <w:num w:numId="52">
    <w:abstractNumId w:val="42"/>
  </w:num>
  <w:num w:numId="53">
    <w:abstractNumId w:val="5"/>
  </w:num>
  <w:num w:numId="54">
    <w:abstractNumId w:val="49"/>
  </w:num>
  <w:num w:numId="55">
    <w:abstractNumId w:val="40"/>
  </w:num>
  <w:num w:numId="56">
    <w:abstractNumId w:val="32"/>
  </w:num>
  <w:num w:numId="57">
    <w:abstractNumId w:val="16"/>
  </w:num>
  <w:num w:numId="58">
    <w:abstractNumId w:val="46"/>
  </w:num>
  <w:num w:numId="59">
    <w:abstractNumId w:val="39"/>
  </w:num>
  <w:num w:numId="60">
    <w:abstractNumId w:val="27"/>
  </w:num>
  <w:num w:numId="61">
    <w:abstractNumId w:val="58"/>
  </w:num>
  <w:num w:numId="62">
    <w:abstractNumId w:val="2"/>
  </w:num>
  <w:num w:numId="63">
    <w:abstractNumId w:val="6"/>
  </w:num>
  <w:num w:numId="64">
    <w:abstractNumId w:val="66"/>
  </w:num>
  <w:num w:numId="65">
    <w:abstractNumId w:val="7"/>
  </w:num>
  <w:num w:numId="66">
    <w:abstractNumId w:val="52"/>
  </w:num>
  <w:num w:numId="67">
    <w:abstractNumId w:val="48"/>
  </w:num>
  <w:num w:numId="68">
    <w:abstractNumId w:val="59"/>
  </w:num>
  <w:num w:numId="69">
    <w:abstractNumId w:val="17"/>
  </w:num>
  <w:num w:numId="70">
    <w:abstractNumId w:val="74"/>
  </w:num>
  <w:num w:numId="71">
    <w:abstractNumId w:val="15"/>
  </w:num>
  <w:num w:numId="72">
    <w:abstractNumId w:val="31"/>
  </w:num>
  <w:num w:numId="73">
    <w:abstractNumId w:val="34"/>
  </w:num>
  <w:num w:numId="74">
    <w:abstractNumId w:val="53"/>
  </w:num>
  <w:num w:numId="75">
    <w:abstractNumId w:val="20"/>
  </w:num>
  <w:num w:numId="76">
    <w:abstractNumId w:val="77"/>
  </w:num>
  <w:num w:numId="77">
    <w:abstractNumId w:val="36"/>
  </w:num>
  <w:num w:numId="78">
    <w:abstractNumId w:val="25"/>
  </w:num>
  <w:num w:numId="79">
    <w:abstractNumId w:val="45"/>
  </w:num>
  <w:num w:numId="80">
    <w:abstractNumId w:val="57"/>
  </w:num>
  <w:num w:numId="81">
    <w:abstractNumId w:val="26"/>
  </w:num>
  <w:num w:numId="82">
    <w:abstractNumId w:val="6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autoFormatOverride/>
  <w:defaultTabStop w:val="284"/>
  <w:drawingGridHorizontalSpacing w:val="181"/>
  <w:drawingGridVerticalSpacing w:val="181"/>
  <w:characterSpacingControl w:val="doNotCompress"/>
  <w:hdrShapeDefaults>
    <o:shapedefaults v:ext="edit" spidmax="2050"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01083"/>
    <w:rsid w:val="000025EE"/>
    <w:rsid w:val="00002E59"/>
    <w:rsid w:val="000030A2"/>
    <w:rsid w:val="00003131"/>
    <w:rsid w:val="00003151"/>
    <w:rsid w:val="00003F36"/>
    <w:rsid w:val="0000441C"/>
    <w:rsid w:val="0000516B"/>
    <w:rsid w:val="0000545B"/>
    <w:rsid w:val="00005808"/>
    <w:rsid w:val="00006164"/>
    <w:rsid w:val="00006711"/>
    <w:rsid w:val="00006FE9"/>
    <w:rsid w:val="0000700B"/>
    <w:rsid w:val="00010122"/>
    <w:rsid w:val="0001058A"/>
    <w:rsid w:val="00010F0F"/>
    <w:rsid w:val="00011507"/>
    <w:rsid w:val="00011AC7"/>
    <w:rsid w:val="00011F69"/>
    <w:rsid w:val="000127B7"/>
    <w:rsid w:val="00012D14"/>
    <w:rsid w:val="000130DE"/>
    <w:rsid w:val="00013B3C"/>
    <w:rsid w:val="0001471E"/>
    <w:rsid w:val="000153F9"/>
    <w:rsid w:val="0001613F"/>
    <w:rsid w:val="0001625A"/>
    <w:rsid w:val="00016525"/>
    <w:rsid w:val="00016A5E"/>
    <w:rsid w:val="00017551"/>
    <w:rsid w:val="0002035C"/>
    <w:rsid w:val="000207F1"/>
    <w:rsid w:val="000208DD"/>
    <w:rsid w:val="00020E37"/>
    <w:rsid w:val="00021AD6"/>
    <w:rsid w:val="00021E1B"/>
    <w:rsid w:val="00022416"/>
    <w:rsid w:val="000227A4"/>
    <w:rsid w:val="00022A7B"/>
    <w:rsid w:val="00022F61"/>
    <w:rsid w:val="000236CF"/>
    <w:rsid w:val="00023F3C"/>
    <w:rsid w:val="000249D3"/>
    <w:rsid w:val="00024B31"/>
    <w:rsid w:val="000259D5"/>
    <w:rsid w:val="00025C55"/>
    <w:rsid w:val="00025D35"/>
    <w:rsid w:val="0002610D"/>
    <w:rsid w:val="0002678D"/>
    <w:rsid w:val="00026D64"/>
    <w:rsid w:val="0002730C"/>
    <w:rsid w:val="00027C11"/>
    <w:rsid w:val="000310B2"/>
    <w:rsid w:val="0003145F"/>
    <w:rsid w:val="000316DA"/>
    <w:rsid w:val="00031C7F"/>
    <w:rsid w:val="00032A18"/>
    <w:rsid w:val="00033203"/>
    <w:rsid w:val="00033424"/>
    <w:rsid w:val="00033510"/>
    <w:rsid w:val="00033B96"/>
    <w:rsid w:val="00033C3A"/>
    <w:rsid w:val="000352FE"/>
    <w:rsid w:val="000356FA"/>
    <w:rsid w:val="0003634A"/>
    <w:rsid w:val="00036544"/>
    <w:rsid w:val="0003734D"/>
    <w:rsid w:val="000376A1"/>
    <w:rsid w:val="00037A5F"/>
    <w:rsid w:val="000400AD"/>
    <w:rsid w:val="00040758"/>
    <w:rsid w:val="00040AD7"/>
    <w:rsid w:val="00040BAA"/>
    <w:rsid w:val="00041101"/>
    <w:rsid w:val="000416F1"/>
    <w:rsid w:val="00041E10"/>
    <w:rsid w:val="000424D7"/>
    <w:rsid w:val="000425C8"/>
    <w:rsid w:val="00042900"/>
    <w:rsid w:val="00042EBD"/>
    <w:rsid w:val="000436F0"/>
    <w:rsid w:val="0004436F"/>
    <w:rsid w:val="0004484D"/>
    <w:rsid w:val="00044BF4"/>
    <w:rsid w:val="00045045"/>
    <w:rsid w:val="000450C2"/>
    <w:rsid w:val="0004515C"/>
    <w:rsid w:val="000453C4"/>
    <w:rsid w:val="00045AC9"/>
    <w:rsid w:val="00045C30"/>
    <w:rsid w:val="000470AA"/>
    <w:rsid w:val="0004738B"/>
    <w:rsid w:val="000473ED"/>
    <w:rsid w:val="00047A44"/>
    <w:rsid w:val="00047DB8"/>
    <w:rsid w:val="00050E39"/>
    <w:rsid w:val="000510B8"/>
    <w:rsid w:val="0005151F"/>
    <w:rsid w:val="00051762"/>
    <w:rsid w:val="0005190D"/>
    <w:rsid w:val="00052087"/>
    <w:rsid w:val="00052201"/>
    <w:rsid w:val="0005284F"/>
    <w:rsid w:val="0005311B"/>
    <w:rsid w:val="000547B5"/>
    <w:rsid w:val="00054D61"/>
    <w:rsid w:val="00055209"/>
    <w:rsid w:val="0005615E"/>
    <w:rsid w:val="00056A2C"/>
    <w:rsid w:val="00056D3A"/>
    <w:rsid w:val="000574F0"/>
    <w:rsid w:val="000577E2"/>
    <w:rsid w:val="00057F7B"/>
    <w:rsid w:val="000601B3"/>
    <w:rsid w:val="00060270"/>
    <w:rsid w:val="0006153C"/>
    <w:rsid w:val="0006158E"/>
    <w:rsid w:val="00061E9F"/>
    <w:rsid w:val="00062AD0"/>
    <w:rsid w:val="00062E30"/>
    <w:rsid w:val="000642E3"/>
    <w:rsid w:val="000643B2"/>
    <w:rsid w:val="00064468"/>
    <w:rsid w:val="00064FB7"/>
    <w:rsid w:val="00065911"/>
    <w:rsid w:val="00065920"/>
    <w:rsid w:val="00065CD7"/>
    <w:rsid w:val="000661B3"/>
    <w:rsid w:val="00066725"/>
    <w:rsid w:val="0006674B"/>
    <w:rsid w:val="000667FB"/>
    <w:rsid w:val="000674B0"/>
    <w:rsid w:val="000679A7"/>
    <w:rsid w:val="00067ADB"/>
    <w:rsid w:val="00067B5A"/>
    <w:rsid w:val="00067B7B"/>
    <w:rsid w:val="00067FDE"/>
    <w:rsid w:val="00070ACD"/>
    <w:rsid w:val="00070D23"/>
    <w:rsid w:val="00070E8F"/>
    <w:rsid w:val="00070FFC"/>
    <w:rsid w:val="00071371"/>
    <w:rsid w:val="00071D91"/>
    <w:rsid w:val="00071DB5"/>
    <w:rsid w:val="0007249B"/>
    <w:rsid w:val="000727DE"/>
    <w:rsid w:val="00072A1C"/>
    <w:rsid w:val="00072CE9"/>
    <w:rsid w:val="00072F8F"/>
    <w:rsid w:val="0007357A"/>
    <w:rsid w:val="000736F0"/>
    <w:rsid w:val="000739FC"/>
    <w:rsid w:val="00073A59"/>
    <w:rsid w:val="00073D35"/>
    <w:rsid w:val="00073F72"/>
    <w:rsid w:val="0007413F"/>
    <w:rsid w:val="000748D7"/>
    <w:rsid w:val="00074CD5"/>
    <w:rsid w:val="0007506D"/>
    <w:rsid w:val="00075253"/>
    <w:rsid w:val="000753DF"/>
    <w:rsid w:val="0007554E"/>
    <w:rsid w:val="0007563C"/>
    <w:rsid w:val="00075879"/>
    <w:rsid w:val="000764A1"/>
    <w:rsid w:val="000767DE"/>
    <w:rsid w:val="00076906"/>
    <w:rsid w:val="00076B77"/>
    <w:rsid w:val="00076CDE"/>
    <w:rsid w:val="00076EE5"/>
    <w:rsid w:val="00076F9E"/>
    <w:rsid w:val="00077710"/>
    <w:rsid w:val="00077BD8"/>
    <w:rsid w:val="00077C6B"/>
    <w:rsid w:val="00080E21"/>
    <w:rsid w:val="000815E9"/>
    <w:rsid w:val="000825F1"/>
    <w:rsid w:val="00082D6B"/>
    <w:rsid w:val="0008316E"/>
    <w:rsid w:val="0008389F"/>
    <w:rsid w:val="00083DEB"/>
    <w:rsid w:val="00084EED"/>
    <w:rsid w:val="000869BF"/>
    <w:rsid w:val="0008714D"/>
    <w:rsid w:val="00087BC6"/>
    <w:rsid w:val="00090050"/>
    <w:rsid w:val="000900A2"/>
    <w:rsid w:val="00090413"/>
    <w:rsid w:val="0009170B"/>
    <w:rsid w:val="000917B8"/>
    <w:rsid w:val="00092DEC"/>
    <w:rsid w:val="00093321"/>
    <w:rsid w:val="000933CC"/>
    <w:rsid w:val="00093A74"/>
    <w:rsid w:val="00093DA4"/>
    <w:rsid w:val="00093FCF"/>
    <w:rsid w:val="00094B42"/>
    <w:rsid w:val="00095568"/>
    <w:rsid w:val="000958D1"/>
    <w:rsid w:val="00095A16"/>
    <w:rsid w:val="00095C18"/>
    <w:rsid w:val="00096BE4"/>
    <w:rsid w:val="00097EAE"/>
    <w:rsid w:val="000A0139"/>
    <w:rsid w:val="000A093B"/>
    <w:rsid w:val="000A0CEA"/>
    <w:rsid w:val="000A0FD1"/>
    <w:rsid w:val="000A11D1"/>
    <w:rsid w:val="000A25FE"/>
    <w:rsid w:val="000A494C"/>
    <w:rsid w:val="000A49A8"/>
    <w:rsid w:val="000A51A3"/>
    <w:rsid w:val="000A5380"/>
    <w:rsid w:val="000A5AF3"/>
    <w:rsid w:val="000A61B4"/>
    <w:rsid w:val="000A6885"/>
    <w:rsid w:val="000A69DF"/>
    <w:rsid w:val="000A7CF6"/>
    <w:rsid w:val="000B0364"/>
    <w:rsid w:val="000B0612"/>
    <w:rsid w:val="000B0A54"/>
    <w:rsid w:val="000B0C3A"/>
    <w:rsid w:val="000B0DFD"/>
    <w:rsid w:val="000B24F8"/>
    <w:rsid w:val="000B278A"/>
    <w:rsid w:val="000B288B"/>
    <w:rsid w:val="000B34FA"/>
    <w:rsid w:val="000B39B5"/>
    <w:rsid w:val="000B430F"/>
    <w:rsid w:val="000B5510"/>
    <w:rsid w:val="000B582A"/>
    <w:rsid w:val="000B5E4A"/>
    <w:rsid w:val="000B63FC"/>
    <w:rsid w:val="000B672D"/>
    <w:rsid w:val="000B6B83"/>
    <w:rsid w:val="000C0052"/>
    <w:rsid w:val="000C191A"/>
    <w:rsid w:val="000C1D23"/>
    <w:rsid w:val="000C1F24"/>
    <w:rsid w:val="000C2525"/>
    <w:rsid w:val="000C28ED"/>
    <w:rsid w:val="000C35EE"/>
    <w:rsid w:val="000C404E"/>
    <w:rsid w:val="000C4277"/>
    <w:rsid w:val="000C4D3C"/>
    <w:rsid w:val="000C58F9"/>
    <w:rsid w:val="000C5D2D"/>
    <w:rsid w:val="000C5DE0"/>
    <w:rsid w:val="000C698F"/>
    <w:rsid w:val="000C6ECF"/>
    <w:rsid w:val="000C716E"/>
    <w:rsid w:val="000C7D37"/>
    <w:rsid w:val="000D0943"/>
    <w:rsid w:val="000D0CF1"/>
    <w:rsid w:val="000D0E9C"/>
    <w:rsid w:val="000D14AD"/>
    <w:rsid w:val="000D186F"/>
    <w:rsid w:val="000D1DC4"/>
    <w:rsid w:val="000D2C4E"/>
    <w:rsid w:val="000D2D45"/>
    <w:rsid w:val="000D3540"/>
    <w:rsid w:val="000D48B8"/>
    <w:rsid w:val="000D4944"/>
    <w:rsid w:val="000D4D7D"/>
    <w:rsid w:val="000D58C8"/>
    <w:rsid w:val="000D5960"/>
    <w:rsid w:val="000D5E86"/>
    <w:rsid w:val="000D621C"/>
    <w:rsid w:val="000D6D9F"/>
    <w:rsid w:val="000D7125"/>
    <w:rsid w:val="000D7851"/>
    <w:rsid w:val="000D79D9"/>
    <w:rsid w:val="000E0617"/>
    <w:rsid w:val="000E0671"/>
    <w:rsid w:val="000E09F9"/>
    <w:rsid w:val="000E191D"/>
    <w:rsid w:val="000E1DEA"/>
    <w:rsid w:val="000E2423"/>
    <w:rsid w:val="000E2713"/>
    <w:rsid w:val="000E2EF1"/>
    <w:rsid w:val="000E310E"/>
    <w:rsid w:val="000E3429"/>
    <w:rsid w:val="000E39BD"/>
    <w:rsid w:val="000E4C43"/>
    <w:rsid w:val="000E635D"/>
    <w:rsid w:val="000E6AA7"/>
    <w:rsid w:val="000E72B8"/>
    <w:rsid w:val="000E77B7"/>
    <w:rsid w:val="000F0F49"/>
    <w:rsid w:val="000F19CA"/>
    <w:rsid w:val="000F2804"/>
    <w:rsid w:val="000F2B18"/>
    <w:rsid w:val="000F2C23"/>
    <w:rsid w:val="000F30E6"/>
    <w:rsid w:val="000F36C7"/>
    <w:rsid w:val="000F3779"/>
    <w:rsid w:val="000F3D54"/>
    <w:rsid w:val="000F3E08"/>
    <w:rsid w:val="000F3F09"/>
    <w:rsid w:val="000F3FB0"/>
    <w:rsid w:val="000F47B4"/>
    <w:rsid w:val="000F484D"/>
    <w:rsid w:val="000F4852"/>
    <w:rsid w:val="000F48B9"/>
    <w:rsid w:val="000F49F4"/>
    <w:rsid w:val="000F4C28"/>
    <w:rsid w:val="000F4CFA"/>
    <w:rsid w:val="000F4EE1"/>
    <w:rsid w:val="000F5461"/>
    <w:rsid w:val="000F55EC"/>
    <w:rsid w:val="000F6463"/>
    <w:rsid w:val="000F6DA1"/>
    <w:rsid w:val="000F6F30"/>
    <w:rsid w:val="000F7F6B"/>
    <w:rsid w:val="001004FE"/>
    <w:rsid w:val="00100857"/>
    <w:rsid w:val="00100A82"/>
    <w:rsid w:val="00100C85"/>
    <w:rsid w:val="0010227C"/>
    <w:rsid w:val="0010343E"/>
    <w:rsid w:val="0010417C"/>
    <w:rsid w:val="00104AD3"/>
    <w:rsid w:val="00104C30"/>
    <w:rsid w:val="00104D3E"/>
    <w:rsid w:val="001051A6"/>
    <w:rsid w:val="001054A6"/>
    <w:rsid w:val="001058F8"/>
    <w:rsid w:val="00105F9F"/>
    <w:rsid w:val="00107142"/>
    <w:rsid w:val="00107309"/>
    <w:rsid w:val="00107420"/>
    <w:rsid w:val="00107964"/>
    <w:rsid w:val="00107CCD"/>
    <w:rsid w:val="00110644"/>
    <w:rsid w:val="0011071A"/>
    <w:rsid w:val="00110C54"/>
    <w:rsid w:val="001114E9"/>
    <w:rsid w:val="00112891"/>
    <w:rsid w:val="0011334C"/>
    <w:rsid w:val="00114142"/>
    <w:rsid w:val="00114276"/>
    <w:rsid w:val="001144A3"/>
    <w:rsid w:val="00114BF6"/>
    <w:rsid w:val="001153B4"/>
    <w:rsid w:val="0011557F"/>
    <w:rsid w:val="00115D4C"/>
    <w:rsid w:val="00115D8D"/>
    <w:rsid w:val="00116313"/>
    <w:rsid w:val="0011648E"/>
    <w:rsid w:val="001166A8"/>
    <w:rsid w:val="00116D2B"/>
    <w:rsid w:val="00116EAA"/>
    <w:rsid w:val="00117CEB"/>
    <w:rsid w:val="00120009"/>
    <w:rsid w:val="00120052"/>
    <w:rsid w:val="001201BC"/>
    <w:rsid w:val="00120561"/>
    <w:rsid w:val="00120A14"/>
    <w:rsid w:val="001214D0"/>
    <w:rsid w:val="001217C4"/>
    <w:rsid w:val="00121C5E"/>
    <w:rsid w:val="00121D8A"/>
    <w:rsid w:val="00122370"/>
    <w:rsid w:val="00122803"/>
    <w:rsid w:val="001238D3"/>
    <w:rsid w:val="0012395E"/>
    <w:rsid w:val="00123C3C"/>
    <w:rsid w:val="00124910"/>
    <w:rsid w:val="00124F58"/>
    <w:rsid w:val="00125536"/>
    <w:rsid w:val="00125612"/>
    <w:rsid w:val="001260B7"/>
    <w:rsid w:val="00126FD5"/>
    <w:rsid w:val="0013030C"/>
    <w:rsid w:val="00130507"/>
    <w:rsid w:val="00130AFC"/>
    <w:rsid w:val="0013156D"/>
    <w:rsid w:val="0013215C"/>
    <w:rsid w:val="00132795"/>
    <w:rsid w:val="001327B3"/>
    <w:rsid w:val="001329AD"/>
    <w:rsid w:val="00132A29"/>
    <w:rsid w:val="001339B4"/>
    <w:rsid w:val="00134E20"/>
    <w:rsid w:val="00135A6C"/>
    <w:rsid w:val="0013610A"/>
    <w:rsid w:val="00136620"/>
    <w:rsid w:val="00137403"/>
    <w:rsid w:val="001379CF"/>
    <w:rsid w:val="00137F11"/>
    <w:rsid w:val="00140059"/>
    <w:rsid w:val="0014156E"/>
    <w:rsid w:val="001415A9"/>
    <w:rsid w:val="001417C9"/>
    <w:rsid w:val="00141925"/>
    <w:rsid w:val="00141A0C"/>
    <w:rsid w:val="00141ACE"/>
    <w:rsid w:val="00142265"/>
    <w:rsid w:val="001426EA"/>
    <w:rsid w:val="0014462D"/>
    <w:rsid w:val="00144B2C"/>
    <w:rsid w:val="0014522D"/>
    <w:rsid w:val="001458A5"/>
    <w:rsid w:val="00145D8C"/>
    <w:rsid w:val="00145DA2"/>
    <w:rsid w:val="00146D72"/>
    <w:rsid w:val="00147279"/>
    <w:rsid w:val="00147C52"/>
    <w:rsid w:val="00150291"/>
    <w:rsid w:val="00150520"/>
    <w:rsid w:val="00150577"/>
    <w:rsid w:val="001511B9"/>
    <w:rsid w:val="00151646"/>
    <w:rsid w:val="00151E5F"/>
    <w:rsid w:val="001521EB"/>
    <w:rsid w:val="001526E9"/>
    <w:rsid w:val="00152CEB"/>
    <w:rsid w:val="00152D48"/>
    <w:rsid w:val="001532DE"/>
    <w:rsid w:val="00153460"/>
    <w:rsid w:val="00153889"/>
    <w:rsid w:val="00153C37"/>
    <w:rsid w:val="00154F3A"/>
    <w:rsid w:val="001553D6"/>
    <w:rsid w:val="00155B30"/>
    <w:rsid w:val="00156696"/>
    <w:rsid w:val="00156755"/>
    <w:rsid w:val="001569CA"/>
    <w:rsid w:val="0015705C"/>
    <w:rsid w:val="00157DCE"/>
    <w:rsid w:val="0016008B"/>
    <w:rsid w:val="0016050E"/>
    <w:rsid w:val="001606FE"/>
    <w:rsid w:val="00160940"/>
    <w:rsid w:val="00160E74"/>
    <w:rsid w:val="00160F78"/>
    <w:rsid w:val="0016133C"/>
    <w:rsid w:val="00161AA1"/>
    <w:rsid w:val="00161D6A"/>
    <w:rsid w:val="00161F05"/>
    <w:rsid w:val="00162833"/>
    <w:rsid w:val="00162F63"/>
    <w:rsid w:val="00163256"/>
    <w:rsid w:val="0016419E"/>
    <w:rsid w:val="0016465A"/>
    <w:rsid w:val="001649EB"/>
    <w:rsid w:val="00164C51"/>
    <w:rsid w:val="0016561A"/>
    <w:rsid w:val="0016579E"/>
    <w:rsid w:val="001662AA"/>
    <w:rsid w:val="00166CDA"/>
    <w:rsid w:val="00167623"/>
    <w:rsid w:val="00167A71"/>
    <w:rsid w:val="00167DC4"/>
    <w:rsid w:val="00167E43"/>
    <w:rsid w:val="001708B8"/>
    <w:rsid w:val="00171477"/>
    <w:rsid w:val="00171652"/>
    <w:rsid w:val="001716F5"/>
    <w:rsid w:val="001717E5"/>
    <w:rsid w:val="0017207F"/>
    <w:rsid w:val="0017270E"/>
    <w:rsid w:val="00172CB1"/>
    <w:rsid w:val="00172E96"/>
    <w:rsid w:val="001734EE"/>
    <w:rsid w:val="00173699"/>
    <w:rsid w:val="00173A87"/>
    <w:rsid w:val="00173C1D"/>
    <w:rsid w:val="00173D76"/>
    <w:rsid w:val="00175F45"/>
    <w:rsid w:val="00175F9F"/>
    <w:rsid w:val="00176997"/>
    <w:rsid w:val="00177A29"/>
    <w:rsid w:val="00180006"/>
    <w:rsid w:val="0018005E"/>
    <w:rsid w:val="00180615"/>
    <w:rsid w:val="0018094A"/>
    <w:rsid w:val="00180B09"/>
    <w:rsid w:val="00181863"/>
    <w:rsid w:val="001818F8"/>
    <w:rsid w:val="00181949"/>
    <w:rsid w:val="00181ABF"/>
    <w:rsid w:val="00181FAF"/>
    <w:rsid w:val="00181FC3"/>
    <w:rsid w:val="00182498"/>
    <w:rsid w:val="00182599"/>
    <w:rsid w:val="00182E20"/>
    <w:rsid w:val="00183343"/>
    <w:rsid w:val="00183378"/>
    <w:rsid w:val="0018409E"/>
    <w:rsid w:val="001842C0"/>
    <w:rsid w:val="00184525"/>
    <w:rsid w:val="00184DCD"/>
    <w:rsid w:val="00185256"/>
    <w:rsid w:val="001854DD"/>
    <w:rsid w:val="00185BFB"/>
    <w:rsid w:val="0018616D"/>
    <w:rsid w:val="001862C0"/>
    <w:rsid w:val="001868ED"/>
    <w:rsid w:val="00186B07"/>
    <w:rsid w:val="00190200"/>
    <w:rsid w:val="00190629"/>
    <w:rsid w:val="0019089C"/>
    <w:rsid w:val="00190CF2"/>
    <w:rsid w:val="00191119"/>
    <w:rsid w:val="00191381"/>
    <w:rsid w:val="001913FA"/>
    <w:rsid w:val="00191CD3"/>
    <w:rsid w:val="001924D1"/>
    <w:rsid w:val="001928F5"/>
    <w:rsid w:val="00192B0F"/>
    <w:rsid w:val="0019393C"/>
    <w:rsid w:val="00195A80"/>
    <w:rsid w:val="00195E30"/>
    <w:rsid w:val="00195FC8"/>
    <w:rsid w:val="00196338"/>
    <w:rsid w:val="00197D4E"/>
    <w:rsid w:val="001A008E"/>
    <w:rsid w:val="001A0155"/>
    <w:rsid w:val="001A01B3"/>
    <w:rsid w:val="001A07B5"/>
    <w:rsid w:val="001A0C5C"/>
    <w:rsid w:val="001A13F8"/>
    <w:rsid w:val="001A175C"/>
    <w:rsid w:val="001A1851"/>
    <w:rsid w:val="001A1C26"/>
    <w:rsid w:val="001A1F2A"/>
    <w:rsid w:val="001A22ED"/>
    <w:rsid w:val="001A2542"/>
    <w:rsid w:val="001A2FF0"/>
    <w:rsid w:val="001A3886"/>
    <w:rsid w:val="001A4361"/>
    <w:rsid w:val="001A4D61"/>
    <w:rsid w:val="001A57D7"/>
    <w:rsid w:val="001A5A6C"/>
    <w:rsid w:val="001A5C9A"/>
    <w:rsid w:val="001A5FD9"/>
    <w:rsid w:val="001A6382"/>
    <w:rsid w:val="001A7190"/>
    <w:rsid w:val="001B0E4A"/>
    <w:rsid w:val="001B2580"/>
    <w:rsid w:val="001B3B36"/>
    <w:rsid w:val="001B3DA9"/>
    <w:rsid w:val="001B40C7"/>
    <w:rsid w:val="001B421B"/>
    <w:rsid w:val="001B4A1B"/>
    <w:rsid w:val="001B5502"/>
    <w:rsid w:val="001B6733"/>
    <w:rsid w:val="001B6A19"/>
    <w:rsid w:val="001B702B"/>
    <w:rsid w:val="001B7240"/>
    <w:rsid w:val="001B7317"/>
    <w:rsid w:val="001B76DB"/>
    <w:rsid w:val="001B7CBC"/>
    <w:rsid w:val="001C1079"/>
    <w:rsid w:val="001C108E"/>
    <w:rsid w:val="001C1E0C"/>
    <w:rsid w:val="001C2290"/>
    <w:rsid w:val="001C22E9"/>
    <w:rsid w:val="001C2E86"/>
    <w:rsid w:val="001C3D1C"/>
    <w:rsid w:val="001C4749"/>
    <w:rsid w:val="001C511C"/>
    <w:rsid w:val="001C5646"/>
    <w:rsid w:val="001C5683"/>
    <w:rsid w:val="001C57DC"/>
    <w:rsid w:val="001C5C62"/>
    <w:rsid w:val="001C62BC"/>
    <w:rsid w:val="001C6C87"/>
    <w:rsid w:val="001C6D95"/>
    <w:rsid w:val="001C6E8F"/>
    <w:rsid w:val="001C7973"/>
    <w:rsid w:val="001C7FA4"/>
    <w:rsid w:val="001D0756"/>
    <w:rsid w:val="001D08F0"/>
    <w:rsid w:val="001D14C1"/>
    <w:rsid w:val="001D1E3D"/>
    <w:rsid w:val="001D243D"/>
    <w:rsid w:val="001D29C5"/>
    <w:rsid w:val="001D2B07"/>
    <w:rsid w:val="001D2DBA"/>
    <w:rsid w:val="001D30F1"/>
    <w:rsid w:val="001D35E6"/>
    <w:rsid w:val="001D3E7C"/>
    <w:rsid w:val="001D4226"/>
    <w:rsid w:val="001D4F71"/>
    <w:rsid w:val="001D6B61"/>
    <w:rsid w:val="001D6B77"/>
    <w:rsid w:val="001D705F"/>
    <w:rsid w:val="001D798A"/>
    <w:rsid w:val="001D7E0B"/>
    <w:rsid w:val="001E046A"/>
    <w:rsid w:val="001E06E9"/>
    <w:rsid w:val="001E13F4"/>
    <w:rsid w:val="001E18A2"/>
    <w:rsid w:val="001E1C0B"/>
    <w:rsid w:val="001E1CD2"/>
    <w:rsid w:val="001E212F"/>
    <w:rsid w:val="001E25CB"/>
    <w:rsid w:val="001E265A"/>
    <w:rsid w:val="001E2B63"/>
    <w:rsid w:val="001E3014"/>
    <w:rsid w:val="001E3773"/>
    <w:rsid w:val="001E5720"/>
    <w:rsid w:val="001E5A0D"/>
    <w:rsid w:val="001E5A9A"/>
    <w:rsid w:val="001E5C6A"/>
    <w:rsid w:val="001E65EC"/>
    <w:rsid w:val="001E6793"/>
    <w:rsid w:val="001E6842"/>
    <w:rsid w:val="001E76B8"/>
    <w:rsid w:val="001E78A2"/>
    <w:rsid w:val="001F0330"/>
    <w:rsid w:val="001F0DBE"/>
    <w:rsid w:val="001F1231"/>
    <w:rsid w:val="001F25FE"/>
    <w:rsid w:val="001F264E"/>
    <w:rsid w:val="001F305F"/>
    <w:rsid w:val="001F37FE"/>
    <w:rsid w:val="001F3859"/>
    <w:rsid w:val="001F3F45"/>
    <w:rsid w:val="001F481A"/>
    <w:rsid w:val="001F4AF4"/>
    <w:rsid w:val="001F4B5B"/>
    <w:rsid w:val="001F5044"/>
    <w:rsid w:val="001F5611"/>
    <w:rsid w:val="001F58C6"/>
    <w:rsid w:val="001F75A7"/>
    <w:rsid w:val="001F77BA"/>
    <w:rsid w:val="001F7DF0"/>
    <w:rsid w:val="0020083E"/>
    <w:rsid w:val="00200845"/>
    <w:rsid w:val="00200CB2"/>
    <w:rsid w:val="0020106F"/>
    <w:rsid w:val="0020285F"/>
    <w:rsid w:val="00203404"/>
    <w:rsid w:val="0020410D"/>
    <w:rsid w:val="002052EF"/>
    <w:rsid w:val="00205A86"/>
    <w:rsid w:val="0020675F"/>
    <w:rsid w:val="0020677E"/>
    <w:rsid w:val="00206A07"/>
    <w:rsid w:val="00206AF3"/>
    <w:rsid w:val="00206C52"/>
    <w:rsid w:val="00207111"/>
    <w:rsid w:val="002071B4"/>
    <w:rsid w:val="00207A02"/>
    <w:rsid w:val="00207DF8"/>
    <w:rsid w:val="00207EBD"/>
    <w:rsid w:val="0021013D"/>
    <w:rsid w:val="00210EFA"/>
    <w:rsid w:val="002128EE"/>
    <w:rsid w:val="00212946"/>
    <w:rsid w:val="00213218"/>
    <w:rsid w:val="0021324A"/>
    <w:rsid w:val="00214D6B"/>
    <w:rsid w:val="0021539C"/>
    <w:rsid w:val="002154EC"/>
    <w:rsid w:val="00215AFC"/>
    <w:rsid w:val="00215B79"/>
    <w:rsid w:val="00215CB4"/>
    <w:rsid w:val="0021617E"/>
    <w:rsid w:val="0021691C"/>
    <w:rsid w:val="002169EC"/>
    <w:rsid w:val="00217046"/>
    <w:rsid w:val="00217244"/>
    <w:rsid w:val="00217794"/>
    <w:rsid w:val="00217FE4"/>
    <w:rsid w:val="0022049F"/>
    <w:rsid w:val="002205FA"/>
    <w:rsid w:val="00220D69"/>
    <w:rsid w:val="00220DF9"/>
    <w:rsid w:val="00220E28"/>
    <w:rsid w:val="00221C59"/>
    <w:rsid w:val="002221A7"/>
    <w:rsid w:val="00222923"/>
    <w:rsid w:val="002229E3"/>
    <w:rsid w:val="002243C1"/>
    <w:rsid w:val="00224B99"/>
    <w:rsid w:val="00224E78"/>
    <w:rsid w:val="00225F85"/>
    <w:rsid w:val="002263F5"/>
    <w:rsid w:val="00226B6F"/>
    <w:rsid w:val="00226F51"/>
    <w:rsid w:val="0022764D"/>
    <w:rsid w:val="00227DA1"/>
    <w:rsid w:val="00230250"/>
    <w:rsid w:val="00230B4D"/>
    <w:rsid w:val="00231E6E"/>
    <w:rsid w:val="00231E91"/>
    <w:rsid w:val="002320B3"/>
    <w:rsid w:val="00232376"/>
    <w:rsid w:val="002333A7"/>
    <w:rsid w:val="0023378D"/>
    <w:rsid w:val="00233AC0"/>
    <w:rsid w:val="00233C61"/>
    <w:rsid w:val="00233F8A"/>
    <w:rsid w:val="00235265"/>
    <w:rsid w:val="002352B8"/>
    <w:rsid w:val="002352D0"/>
    <w:rsid w:val="00236759"/>
    <w:rsid w:val="0023701E"/>
    <w:rsid w:val="002379FC"/>
    <w:rsid w:val="00237A4E"/>
    <w:rsid w:val="00237CC2"/>
    <w:rsid w:val="0024075F"/>
    <w:rsid w:val="002409F5"/>
    <w:rsid w:val="00241333"/>
    <w:rsid w:val="00241FC6"/>
    <w:rsid w:val="002421A7"/>
    <w:rsid w:val="002426CC"/>
    <w:rsid w:val="002431C7"/>
    <w:rsid w:val="00243B86"/>
    <w:rsid w:val="00243FD7"/>
    <w:rsid w:val="00244352"/>
    <w:rsid w:val="0024452C"/>
    <w:rsid w:val="00244765"/>
    <w:rsid w:val="00244895"/>
    <w:rsid w:val="002451B1"/>
    <w:rsid w:val="00245964"/>
    <w:rsid w:val="00245DDB"/>
    <w:rsid w:val="0024655F"/>
    <w:rsid w:val="002466FC"/>
    <w:rsid w:val="00246AFE"/>
    <w:rsid w:val="00246E42"/>
    <w:rsid w:val="00247050"/>
    <w:rsid w:val="00250721"/>
    <w:rsid w:val="0025092C"/>
    <w:rsid w:val="00251896"/>
    <w:rsid w:val="002522DC"/>
    <w:rsid w:val="002536CB"/>
    <w:rsid w:val="00253EF7"/>
    <w:rsid w:val="00254520"/>
    <w:rsid w:val="00254945"/>
    <w:rsid w:val="00255FC8"/>
    <w:rsid w:val="002571A8"/>
    <w:rsid w:val="00257515"/>
    <w:rsid w:val="00257577"/>
    <w:rsid w:val="002579F5"/>
    <w:rsid w:val="002603CC"/>
    <w:rsid w:val="002604D3"/>
    <w:rsid w:val="002605FE"/>
    <w:rsid w:val="00260688"/>
    <w:rsid w:val="002611CC"/>
    <w:rsid w:val="002611FF"/>
    <w:rsid w:val="00261A16"/>
    <w:rsid w:val="00261D31"/>
    <w:rsid w:val="00261D3D"/>
    <w:rsid w:val="00261E11"/>
    <w:rsid w:val="00262D18"/>
    <w:rsid w:val="00262D6A"/>
    <w:rsid w:val="00262D7D"/>
    <w:rsid w:val="002635D0"/>
    <w:rsid w:val="00263693"/>
    <w:rsid w:val="00264358"/>
    <w:rsid w:val="00264733"/>
    <w:rsid w:val="002648AD"/>
    <w:rsid w:val="002649B8"/>
    <w:rsid w:val="00264AD0"/>
    <w:rsid w:val="00265099"/>
    <w:rsid w:val="0026523B"/>
    <w:rsid w:val="00265836"/>
    <w:rsid w:val="00265A5D"/>
    <w:rsid w:val="00265B3F"/>
    <w:rsid w:val="00265E5E"/>
    <w:rsid w:val="00266B50"/>
    <w:rsid w:val="0026721B"/>
    <w:rsid w:val="002672A5"/>
    <w:rsid w:val="0026778D"/>
    <w:rsid w:val="002704E5"/>
    <w:rsid w:val="002709C2"/>
    <w:rsid w:val="00270C3E"/>
    <w:rsid w:val="002714BC"/>
    <w:rsid w:val="00271911"/>
    <w:rsid w:val="0027218C"/>
    <w:rsid w:val="00272F83"/>
    <w:rsid w:val="00273010"/>
    <w:rsid w:val="0027527E"/>
    <w:rsid w:val="0027574F"/>
    <w:rsid w:val="00275A20"/>
    <w:rsid w:val="00275EE6"/>
    <w:rsid w:val="00275F76"/>
    <w:rsid w:val="00276423"/>
    <w:rsid w:val="0027670F"/>
    <w:rsid w:val="002808BC"/>
    <w:rsid w:val="00280B08"/>
    <w:rsid w:val="00280BC9"/>
    <w:rsid w:val="0028130F"/>
    <w:rsid w:val="002813B8"/>
    <w:rsid w:val="00281E51"/>
    <w:rsid w:val="00281F23"/>
    <w:rsid w:val="00281FCF"/>
    <w:rsid w:val="00282503"/>
    <w:rsid w:val="00282C66"/>
    <w:rsid w:val="0028378E"/>
    <w:rsid w:val="00284E18"/>
    <w:rsid w:val="0028572D"/>
    <w:rsid w:val="00285740"/>
    <w:rsid w:val="0028582B"/>
    <w:rsid w:val="00285C01"/>
    <w:rsid w:val="00285E09"/>
    <w:rsid w:val="0028677E"/>
    <w:rsid w:val="00286F3B"/>
    <w:rsid w:val="002878C5"/>
    <w:rsid w:val="002879E0"/>
    <w:rsid w:val="002901EE"/>
    <w:rsid w:val="002906A9"/>
    <w:rsid w:val="00290740"/>
    <w:rsid w:val="00290802"/>
    <w:rsid w:val="002915E3"/>
    <w:rsid w:val="002917B5"/>
    <w:rsid w:val="0029192A"/>
    <w:rsid w:val="00293383"/>
    <w:rsid w:val="00293C43"/>
    <w:rsid w:val="00294B24"/>
    <w:rsid w:val="002957F3"/>
    <w:rsid w:val="00296439"/>
    <w:rsid w:val="002964CD"/>
    <w:rsid w:val="0029657C"/>
    <w:rsid w:val="00296958"/>
    <w:rsid w:val="002971AD"/>
    <w:rsid w:val="002979A8"/>
    <w:rsid w:val="00297A1D"/>
    <w:rsid w:val="002A05D7"/>
    <w:rsid w:val="002A06B9"/>
    <w:rsid w:val="002A0780"/>
    <w:rsid w:val="002A0A53"/>
    <w:rsid w:val="002A1A15"/>
    <w:rsid w:val="002A1C20"/>
    <w:rsid w:val="002A1D7A"/>
    <w:rsid w:val="002A40E2"/>
    <w:rsid w:val="002A46E7"/>
    <w:rsid w:val="002A4738"/>
    <w:rsid w:val="002A4A6F"/>
    <w:rsid w:val="002A55FB"/>
    <w:rsid w:val="002A565F"/>
    <w:rsid w:val="002A57CD"/>
    <w:rsid w:val="002A6012"/>
    <w:rsid w:val="002A643F"/>
    <w:rsid w:val="002A6526"/>
    <w:rsid w:val="002A6B18"/>
    <w:rsid w:val="002A7862"/>
    <w:rsid w:val="002A79A0"/>
    <w:rsid w:val="002A7BEE"/>
    <w:rsid w:val="002A7D95"/>
    <w:rsid w:val="002A7DDB"/>
    <w:rsid w:val="002B0053"/>
    <w:rsid w:val="002B1298"/>
    <w:rsid w:val="002B12BB"/>
    <w:rsid w:val="002B1A7A"/>
    <w:rsid w:val="002B1C76"/>
    <w:rsid w:val="002B1ECC"/>
    <w:rsid w:val="002B29E2"/>
    <w:rsid w:val="002B4586"/>
    <w:rsid w:val="002B4797"/>
    <w:rsid w:val="002B52C8"/>
    <w:rsid w:val="002B58D5"/>
    <w:rsid w:val="002B6659"/>
    <w:rsid w:val="002B672C"/>
    <w:rsid w:val="002B6EB1"/>
    <w:rsid w:val="002B6EDC"/>
    <w:rsid w:val="002B7BC0"/>
    <w:rsid w:val="002B7F6E"/>
    <w:rsid w:val="002C0691"/>
    <w:rsid w:val="002C0A88"/>
    <w:rsid w:val="002C127D"/>
    <w:rsid w:val="002C22B1"/>
    <w:rsid w:val="002C2968"/>
    <w:rsid w:val="002C3425"/>
    <w:rsid w:val="002C3C13"/>
    <w:rsid w:val="002C4A9E"/>
    <w:rsid w:val="002C4F51"/>
    <w:rsid w:val="002C51CF"/>
    <w:rsid w:val="002C55D8"/>
    <w:rsid w:val="002C5DCE"/>
    <w:rsid w:val="002C5E0F"/>
    <w:rsid w:val="002C6206"/>
    <w:rsid w:val="002C6460"/>
    <w:rsid w:val="002C64A9"/>
    <w:rsid w:val="002C7861"/>
    <w:rsid w:val="002D00A3"/>
    <w:rsid w:val="002D0670"/>
    <w:rsid w:val="002D0982"/>
    <w:rsid w:val="002D0CDA"/>
    <w:rsid w:val="002D13A3"/>
    <w:rsid w:val="002D14AE"/>
    <w:rsid w:val="002D1632"/>
    <w:rsid w:val="002D2B11"/>
    <w:rsid w:val="002D3AF5"/>
    <w:rsid w:val="002D55FF"/>
    <w:rsid w:val="002D5B30"/>
    <w:rsid w:val="002D768A"/>
    <w:rsid w:val="002D7FA9"/>
    <w:rsid w:val="002E046D"/>
    <w:rsid w:val="002E0A7D"/>
    <w:rsid w:val="002E0A95"/>
    <w:rsid w:val="002E0FC3"/>
    <w:rsid w:val="002E113E"/>
    <w:rsid w:val="002E13A2"/>
    <w:rsid w:val="002E1554"/>
    <w:rsid w:val="002E1648"/>
    <w:rsid w:val="002E371E"/>
    <w:rsid w:val="002E3A2B"/>
    <w:rsid w:val="002E4FE2"/>
    <w:rsid w:val="002E52F1"/>
    <w:rsid w:val="002E57F8"/>
    <w:rsid w:val="002E5CFC"/>
    <w:rsid w:val="002E60D9"/>
    <w:rsid w:val="002E6216"/>
    <w:rsid w:val="002E63A3"/>
    <w:rsid w:val="002E6E38"/>
    <w:rsid w:val="002E6E6E"/>
    <w:rsid w:val="002E73FF"/>
    <w:rsid w:val="002E7B9F"/>
    <w:rsid w:val="002F1114"/>
    <w:rsid w:val="002F13B2"/>
    <w:rsid w:val="002F2190"/>
    <w:rsid w:val="002F2A4E"/>
    <w:rsid w:val="002F3110"/>
    <w:rsid w:val="002F3E45"/>
    <w:rsid w:val="002F4461"/>
    <w:rsid w:val="002F4ED6"/>
    <w:rsid w:val="002F5CCA"/>
    <w:rsid w:val="002F6598"/>
    <w:rsid w:val="002F7BBE"/>
    <w:rsid w:val="00300472"/>
    <w:rsid w:val="0030140D"/>
    <w:rsid w:val="003016A7"/>
    <w:rsid w:val="00301FDD"/>
    <w:rsid w:val="00302129"/>
    <w:rsid w:val="00302FF2"/>
    <w:rsid w:val="0030331B"/>
    <w:rsid w:val="00303602"/>
    <w:rsid w:val="00304315"/>
    <w:rsid w:val="00304505"/>
    <w:rsid w:val="0030478B"/>
    <w:rsid w:val="00304E87"/>
    <w:rsid w:val="003053E5"/>
    <w:rsid w:val="003059A9"/>
    <w:rsid w:val="00305A8F"/>
    <w:rsid w:val="00305D00"/>
    <w:rsid w:val="003069C2"/>
    <w:rsid w:val="00306D6C"/>
    <w:rsid w:val="00306F4C"/>
    <w:rsid w:val="003072D6"/>
    <w:rsid w:val="003077DC"/>
    <w:rsid w:val="0030783B"/>
    <w:rsid w:val="00307C41"/>
    <w:rsid w:val="00307CB5"/>
    <w:rsid w:val="00307D47"/>
    <w:rsid w:val="00310246"/>
    <w:rsid w:val="00310579"/>
    <w:rsid w:val="003122DA"/>
    <w:rsid w:val="00312556"/>
    <w:rsid w:val="0031303A"/>
    <w:rsid w:val="003135B1"/>
    <w:rsid w:val="00313839"/>
    <w:rsid w:val="00313C5C"/>
    <w:rsid w:val="00314B38"/>
    <w:rsid w:val="00315064"/>
    <w:rsid w:val="00315454"/>
    <w:rsid w:val="00315660"/>
    <w:rsid w:val="00316DEA"/>
    <w:rsid w:val="00317653"/>
    <w:rsid w:val="00317847"/>
    <w:rsid w:val="00317B87"/>
    <w:rsid w:val="00317BF5"/>
    <w:rsid w:val="00317EA4"/>
    <w:rsid w:val="003207D4"/>
    <w:rsid w:val="0032095F"/>
    <w:rsid w:val="003210AE"/>
    <w:rsid w:val="00321430"/>
    <w:rsid w:val="00321EC4"/>
    <w:rsid w:val="00322057"/>
    <w:rsid w:val="00322382"/>
    <w:rsid w:val="0032275F"/>
    <w:rsid w:val="00322FDE"/>
    <w:rsid w:val="003239E5"/>
    <w:rsid w:val="00323E06"/>
    <w:rsid w:val="003248C8"/>
    <w:rsid w:val="00324BEB"/>
    <w:rsid w:val="003251A6"/>
    <w:rsid w:val="003257D3"/>
    <w:rsid w:val="003260A5"/>
    <w:rsid w:val="003260F6"/>
    <w:rsid w:val="00326274"/>
    <w:rsid w:val="00326649"/>
    <w:rsid w:val="0032683A"/>
    <w:rsid w:val="003269FA"/>
    <w:rsid w:val="00326C8A"/>
    <w:rsid w:val="00327231"/>
    <w:rsid w:val="003274FF"/>
    <w:rsid w:val="00327546"/>
    <w:rsid w:val="00327B77"/>
    <w:rsid w:val="003312D3"/>
    <w:rsid w:val="00331477"/>
    <w:rsid w:val="00331D18"/>
    <w:rsid w:val="00331D7A"/>
    <w:rsid w:val="00332124"/>
    <w:rsid w:val="0033276A"/>
    <w:rsid w:val="00332C2F"/>
    <w:rsid w:val="00332DF4"/>
    <w:rsid w:val="00332E43"/>
    <w:rsid w:val="0033352C"/>
    <w:rsid w:val="0033359D"/>
    <w:rsid w:val="003336F8"/>
    <w:rsid w:val="00333A9B"/>
    <w:rsid w:val="003341B7"/>
    <w:rsid w:val="00335568"/>
    <w:rsid w:val="00335B04"/>
    <w:rsid w:val="0033652B"/>
    <w:rsid w:val="003365CF"/>
    <w:rsid w:val="00336DE9"/>
    <w:rsid w:val="003370DB"/>
    <w:rsid w:val="00337128"/>
    <w:rsid w:val="00337969"/>
    <w:rsid w:val="00337DC2"/>
    <w:rsid w:val="00337E45"/>
    <w:rsid w:val="00340AE6"/>
    <w:rsid w:val="00340E33"/>
    <w:rsid w:val="00340EE8"/>
    <w:rsid w:val="00341210"/>
    <w:rsid w:val="003414BD"/>
    <w:rsid w:val="0034190B"/>
    <w:rsid w:val="00341A1C"/>
    <w:rsid w:val="003434E8"/>
    <w:rsid w:val="00343B9C"/>
    <w:rsid w:val="00344A45"/>
    <w:rsid w:val="00344E87"/>
    <w:rsid w:val="003450BE"/>
    <w:rsid w:val="003454F2"/>
    <w:rsid w:val="0034644E"/>
    <w:rsid w:val="003469C3"/>
    <w:rsid w:val="0034752C"/>
    <w:rsid w:val="00347E62"/>
    <w:rsid w:val="00350110"/>
    <w:rsid w:val="00350A84"/>
    <w:rsid w:val="00350A98"/>
    <w:rsid w:val="00350D35"/>
    <w:rsid w:val="00351199"/>
    <w:rsid w:val="00352285"/>
    <w:rsid w:val="00352292"/>
    <w:rsid w:val="00352524"/>
    <w:rsid w:val="003525C4"/>
    <w:rsid w:val="0035264E"/>
    <w:rsid w:val="00352742"/>
    <w:rsid w:val="003531BF"/>
    <w:rsid w:val="00353257"/>
    <w:rsid w:val="00353C89"/>
    <w:rsid w:val="00354556"/>
    <w:rsid w:val="00354828"/>
    <w:rsid w:val="00354B28"/>
    <w:rsid w:val="00354BF7"/>
    <w:rsid w:val="00355AB5"/>
    <w:rsid w:val="003562CE"/>
    <w:rsid w:val="00356782"/>
    <w:rsid w:val="0035771F"/>
    <w:rsid w:val="00357824"/>
    <w:rsid w:val="00357A99"/>
    <w:rsid w:val="003602D2"/>
    <w:rsid w:val="003608BD"/>
    <w:rsid w:val="00360ED2"/>
    <w:rsid w:val="003618CF"/>
    <w:rsid w:val="00361E7B"/>
    <w:rsid w:val="00362B57"/>
    <w:rsid w:val="00362C3F"/>
    <w:rsid w:val="00362EFE"/>
    <w:rsid w:val="0036338D"/>
    <w:rsid w:val="003636A0"/>
    <w:rsid w:val="00365548"/>
    <w:rsid w:val="00365750"/>
    <w:rsid w:val="00365AD1"/>
    <w:rsid w:val="003660A0"/>
    <w:rsid w:val="00367222"/>
    <w:rsid w:val="00367311"/>
    <w:rsid w:val="00367A64"/>
    <w:rsid w:val="00370B32"/>
    <w:rsid w:val="00370BA8"/>
    <w:rsid w:val="00371538"/>
    <w:rsid w:val="003718BD"/>
    <w:rsid w:val="00372765"/>
    <w:rsid w:val="00372DA8"/>
    <w:rsid w:val="00373C3D"/>
    <w:rsid w:val="003746B9"/>
    <w:rsid w:val="0037494D"/>
    <w:rsid w:val="00375B71"/>
    <w:rsid w:val="00376C8C"/>
    <w:rsid w:val="00377345"/>
    <w:rsid w:val="003775CA"/>
    <w:rsid w:val="00377725"/>
    <w:rsid w:val="00377D1D"/>
    <w:rsid w:val="00377D79"/>
    <w:rsid w:val="00380587"/>
    <w:rsid w:val="00380DDD"/>
    <w:rsid w:val="00380EAE"/>
    <w:rsid w:val="00380ECE"/>
    <w:rsid w:val="00381838"/>
    <w:rsid w:val="00382586"/>
    <w:rsid w:val="0038265E"/>
    <w:rsid w:val="00382DEA"/>
    <w:rsid w:val="00383434"/>
    <w:rsid w:val="00383C37"/>
    <w:rsid w:val="00383CBC"/>
    <w:rsid w:val="00383ED4"/>
    <w:rsid w:val="0038428D"/>
    <w:rsid w:val="003842EB"/>
    <w:rsid w:val="0038492E"/>
    <w:rsid w:val="00384C58"/>
    <w:rsid w:val="00385291"/>
    <w:rsid w:val="003857C6"/>
    <w:rsid w:val="003871E5"/>
    <w:rsid w:val="00387F0A"/>
    <w:rsid w:val="003901C4"/>
    <w:rsid w:val="003909B8"/>
    <w:rsid w:val="00390BD9"/>
    <w:rsid w:val="00391236"/>
    <w:rsid w:val="0039123E"/>
    <w:rsid w:val="0039178E"/>
    <w:rsid w:val="00391F86"/>
    <w:rsid w:val="00392334"/>
    <w:rsid w:val="0039242F"/>
    <w:rsid w:val="003924A2"/>
    <w:rsid w:val="0039259E"/>
    <w:rsid w:val="00392640"/>
    <w:rsid w:val="00392761"/>
    <w:rsid w:val="00392961"/>
    <w:rsid w:val="003936AA"/>
    <w:rsid w:val="00393FCB"/>
    <w:rsid w:val="003942F2"/>
    <w:rsid w:val="003945E5"/>
    <w:rsid w:val="00394AD3"/>
    <w:rsid w:val="00394B0A"/>
    <w:rsid w:val="00394D7A"/>
    <w:rsid w:val="003950D4"/>
    <w:rsid w:val="003954C5"/>
    <w:rsid w:val="00396C53"/>
    <w:rsid w:val="00397B57"/>
    <w:rsid w:val="00397B5F"/>
    <w:rsid w:val="00397B98"/>
    <w:rsid w:val="00397F31"/>
    <w:rsid w:val="003A0168"/>
    <w:rsid w:val="003A05CF"/>
    <w:rsid w:val="003A0C2B"/>
    <w:rsid w:val="003A11AF"/>
    <w:rsid w:val="003A1CB3"/>
    <w:rsid w:val="003A1E26"/>
    <w:rsid w:val="003A2861"/>
    <w:rsid w:val="003A308A"/>
    <w:rsid w:val="003A30FF"/>
    <w:rsid w:val="003A3B1B"/>
    <w:rsid w:val="003A3C0F"/>
    <w:rsid w:val="003A4262"/>
    <w:rsid w:val="003A489E"/>
    <w:rsid w:val="003A4AA4"/>
    <w:rsid w:val="003A5373"/>
    <w:rsid w:val="003A542C"/>
    <w:rsid w:val="003A6A4E"/>
    <w:rsid w:val="003A733F"/>
    <w:rsid w:val="003A7BEA"/>
    <w:rsid w:val="003B09F7"/>
    <w:rsid w:val="003B1765"/>
    <w:rsid w:val="003B1A2C"/>
    <w:rsid w:val="003B1FCB"/>
    <w:rsid w:val="003B3332"/>
    <w:rsid w:val="003B3C13"/>
    <w:rsid w:val="003B3D1E"/>
    <w:rsid w:val="003B489D"/>
    <w:rsid w:val="003B4BBF"/>
    <w:rsid w:val="003B4D93"/>
    <w:rsid w:val="003B51F4"/>
    <w:rsid w:val="003B539D"/>
    <w:rsid w:val="003B566B"/>
    <w:rsid w:val="003B5989"/>
    <w:rsid w:val="003B5CE3"/>
    <w:rsid w:val="003B6CD3"/>
    <w:rsid w:val="003B6EE5"/>
    <w:rsid w:val="003B76BD"/>
    <w:rsid w:val="003C083E"/>
    <w:rsid w:val="003C0DB9"/>
    <w:rsid w:val="003C10E5"/>
    <w:rsid w:val="003C12C4"/>
    <w:rsid w:val="003C1B9B"/>
    <w:rsid w:val="003C222D"/>
    <w:rsid w:val="003C235A"/>
    <w:rsid w:val="003C25C7"/>
    <w:rsid w:val="003C2B94"/>
    <w:rsid w:val="003C2F0C"/>
    <w:rsid w:val="003C2F41"/>
    <w:rsid w:val="003C408D"/>
    <w:rsid w:val="003C4786"/>
    <w:rsid w:val="003C4B68"/>
    <w:rsid w:val="003C5731"/>
    <w:rsid w:val="003C5A96"/>
    <w:rsid w:val="003C5AAD"/>
    <w:rsid w:val="003C5CCB"/>
    <w:rsid w:val="003C6493"/>
    <w:rsid w:val="003C6B92"/>
    <w:rsid w:val="003C6E5B"/>
    <w:rsid w:val="003C72ED"/>
    <w:rsid w:val="003C7A49"/>
    <w:rsid w:val="003C7BEC"/>
    <w:rsid w:val="003D052F"/>
    <w:rsid w:val="003D0D43"/>
    <w:rsid w:val="003D100F"/>
    <w:rsid w:val="003D17D1"/>
    <w:rsid w:val="003D215E"/>
    <w:rsid w:val="003D2296"/>
    <w:rsid w:val="003D243F"/>
    <w:rsid w:val="003D2585"/>
    <w:rsid w:val="003D34E3"/>
    <w:rsid w:val="003D3C22"/>
    <w:rsid w:val="003D516F"/>
    <w:rsid w:val="003D63EE"/>
    <w:rsid w:val="003D6422"/>
    <w:rsid w:val="003D7BBA"/>
    <w:rsid w:val="003D7D67"/>
    <w:rsid w:val="003D7FE2"/>
    <w:rsid w:val="003E0086"/>
    <w:rsid w:val="003E0957"/>
    <w:rsid w:val="003E1F81"/>
    <w:rsid w:val="003E233B"/>
    <w:rsid w:val="003E266E"/>
    <w:rsid w:val="003E278A"/>
    <w:rsid w:val="003E36AF"/>
    <w:rsid w:val="003E3DA3"/>
    <w:rsid w:val="003E4786"/>
    <w:rsid w:val="003E4A40"/>
    <w:rsid w:val="003E56EA"/>
    <w:rsid w:val="003E6373"/>
    <w:rsid w:val="003E638A"/>
    <w:rsid w:val="003E6455"/>
    <w:rsid w:val="003E6D74"/>
    <w:rsid w:val="003E6F5B"/>
    <w:rsid w:val="003E6FE1"/>
    <w:rsid w:val="003F1894"/>
    <w:rsid w:val="003F1AD6"/>
    <w:rsid w:val="003F283D"/>
    <w:rsid w:val="003F2FF5"/>
    <w:rsid w:val="003F30C4"/>
    <w:rsid w:val="003F3AAF"/>
    <w:rsid w:val="003F3D74"/>
    <w:rsid w:val="003F4289"/>
    <w:rsid w:val="003F4992"/>
    <w:rsid w:val="003F4D12"/>
    <w:rsid w:val="003F5AD8"/>
    <w:rsid w:val="003F6664"/>
    <w:rsid w:val="0040048D"/>
    <w:rsid w:val="00400ED6"/>
    <w:rsid w:val="0040162B"/>
    <w:rsid w:val="0040181B"/>
    <w:rsid w:val="0040288C"/>
    <w:rsid w:val="00404574"/>
    <w:rsid w:val="004047F1"/>
    <w:rsid w:val="00404B18"/>
    <w:rsid w:val="00404BEA"/>
    <w:rsid w:val="004051BE"/>
    <w:rsid w:val="004058FE"/>
    <w:rsid w:val="004059D0"/>
    <w:rsid w:val="004059F7"/>
    <w:rsid w:val="00406638"/>
    <w:rsid w:val="004067EB"/>
    <w:rsid w:val="00406A0F"/>
    <w:rsid w:val="00406DF3"/>
    <w:rsid w:val="004074D8"/>
    <w:rsid w:val="004079B4"/>
    <w:rsid w:val="00407D51"/>
    <w:rsid w:val="004108F7"/>
    <w:rsid w:val="00412DF8"/>
    <w:rsid w:val="00414547"/>
    <w:rsid w:val="0041466D"/>
    <w:rsid w:val="00414C31"/>
    <w:rsid w:val="004153CF"/>
    <w:rsid w:val="00415570"/>
    <w:rsid w:val="00415EE6"/>
    <w:rsid w:val="0041619F"/>
    <w:rsid w:val="0041660E"/>
    <w:rsid w:val="00416CA2"/>
    <w:rsid w:val="00416CD3"/>
    <w:rsid w:val="0041737F"/>
    <w:rsid w:val="004175FB"/>
    <w:rsid w:val="0042011B"/>
    <w:rsid w:val="00420909"/>
    <w:rsid w:val="00420E04"/>
    <w:rsid w:val="00421059"/>
    <w:rsid w:val="00421255"/>
    <w:rsid w:val="00421538"/>
    <w:rsid w:val="004219C8"/>
    <w:rsid w:val="00421D28"/>
    <w:rsid w:val="004249DE"/>
    <w:rsid w:val="00424C00"/>
    <w:rsid w:val="004252B2"/>
    <w:rsid w:val="004268F8"/>
    <w:rsid w:val="0042766D"/>
    <w:rsid w:val="00427DC7"/>
    <w:rsid w:val="00427E54"/>
    <w:rsid w:val="00430272"/>
    <w:rsid w:val="0043039E"/>
    <w:rsid w:val="004313B1"/>
    <w:rsid w:val="00431A0E"/>
    <w:rsid w:val="00432375"/>
    <w:rsid w:val="00433A9A"/>
    <w:rsid w:val="00433B70"/>
    <w:rsid w:val="00435020"/>
    <w:rsid w:val="00435077"/>
    <w:rsid w:val="00435151"/>
    <w:rsid w:val="004361C0"/>
    <w:rsid w:val="0043639B"/>
    <w:rsid w:val="00436841"/>
    <w:rsid w:val="00436E9E"/>
    <w:rsid w:val="004374B9"/>
    <w:rsid w:val="004377DD"/>
    <w:rsid w:val="00437E1E"/>
    <w:rsid w:val="004404B2"/>
    <w:rsid w:val="00440E79"/>
    <w:rsid w:val="0044127A"/>
    <w:rsid w:val="004419C8"/>
    <w:rsid w:val="00441C2F"/>
    <w:rsid w:val="004427D2"/>
    <w:rsid w:val="0044309D"/>
    <w:rsid w:val="00443668"/>
    <w:rsid w:val="00444293"/>
    <w:rsid w:val="00444795"/>
    <w:rsid w:val="00445009"/>
    <w:rsid w:val="0044536C"/>
    <w:rsid w:val="00445884"/>
    <w:rsid w:val="0044589A"/>
    <w:rsid w:val="00447015"/>
    <w:rsid w:val="004478A0"/>
    <w:rsid w:val="0045024D"/>
    <w:rsid w:val="00450A26"/>
    <w:rsid w:val="00450D25"/>
    <w:rsid w:val="00451BD6"/>
    <w:rsid w:val="00452085"/>
    <w:rsid w:val="00452933"/>
    <w:rsid w:val="00452AB8"/>
    <w:rsid w:val="00452CA8"/>
    <w:rsid w:val="0045334C"/>
    <w:rsid w:val="00453C3A"/>
    <w:rsid w:val="0045482D"/>
    <w:rsid w:val="004553C2"/>
    <w:rsid w:val="00455AF9"/>
    <w:rsid w:val="00455CD5"/>
    <w:rsid w:val="0045620C"/>
    <w:rsid w:val="00456815"/>
    <w:rsid w:val="0045686B"/>
    <w:rsid w:val="00456BF9"/>
    <w:rsid w:val="00457097"/>
    <w:rsid w:val="004575FB"/>
    <w:rsid w:val="00457B41"/>
    <w:rsid w:val="00460600"/>
    <w:rsid w:val="00461091"/>
    <w:rsid w:val="00461A3A"/>
    <w:rsid w:val="00461B4A"/>
    <w:rsid w:val="004621E0"/>
    <w:rsid w:val="00462488"/>
    <w:rsid w:val="0046255C"/>
    <w:rsid w:val="004633EF"/>
    <w:rsid w:val="00463870"/>
    <w:rsid w:val="0046460B"/>
    <w:rsid w:val="00464F6E"/>
    <w:rsid w:val="0046593E"/>
    <w:rsid w:val="004659F7"/>
    <w:rsid w:val="00466024"/>
    <w:rsid w:val="00466594"/>
    <w:rsid w:val="0046662F"/>
    <w:rsid w:val="0046686E"/>
    <w:rsid w:val="00466C49"/>
    <w:rsid w:val="004674F4"/>
    <w:rsid w:val="0047013B"/>
    <w:rsid w:val="00470DEB"/>
    <w:rsid w:val="00471480"/>
    <w:rsid w:val="00471A29"/>
    <w:rsid w:val="00471DF0"/>
    <w:rsid w:val="00472046"/>
    <w:rsid w:val="0047373A"/>
    <w:rsid w:val="00473FDE"/>
    <w:rsid w:val="004743E6"/>
    <w:rsid w:val="0047467D"/>
    <w:rsid w:val="0047580A"/>
    <w:rsid w:val="00475AF3"/>
    <w:rsid w:val="004767D6"/>
    <w:rsid w:val="00476980"/>
    <w:rsid w:val="00476B51"/>
    <w:rsid w:val="00477521"/>
    <w:rsid w:val="0047797F"/>
    <w:rsid w:val="004802E4"/>
    <w:rsid w:val="00480544"/>
    <w:rsid w:val="00480DBB"/>
    <w:rsid w:val="00480E9E"/>
    <w:rsid w:val="00481FC6"/>
    <w:rsid w:val="004829F3"/>
    <w:rsid w:val="00483443"/>
    <w:rsid w:val="00483490"/>
    <w:rsid w:val="004836C9"/>
    <w:rsid w:val="004838A3"/>
    <w:rsid w:val="00483A03"/>
    <w:rsid w:val="00483AAD"/>
    <w:rsid w:val="00484E85"/>
    <w:rsid w:val="00485617"/>
    <w:rsid w:val="0048584D"/>
    <w:rsid w:val="004859D4"/>
    <w:rsid w:val="00485BCA"/>
    <w:rsid w:val="00485E8D"/>
    <w:rsid w:val="00486D32"/>
    <w:rsid w:val="004876E4"/>
    <w:rsid w:val="004902B8"/>
    <w:rsid w:val="004904C1"/>
    <w:rsid w:val="0049054E"/>
    <w:rsid w:val="00490E62"/>
    <w:rsid w:val="00491772"/>
    <w:rsid w:val="00491CF0"/>
    <w:rsid w:val="00491D27"/>
    <w:rsid w:val="004923CD"/>
    <w:rsid w:val="00492CBD"/>
    <w:rsid w:val="00493C22"/>
    <w:rsid w:val="00494237"/>
    <w:rsid w:val="00494549"/>
    <w:rsid w:val="00494A9B"/>
    <w:rsid w:val="00494BC3"/>
    <w:rsid w:val="00495FEA"/>
    <w:rsid w:val="0049651C"/>
    <w:rsid w:val="00496553"/>
    <w:rsid w:val="00496ACF"/>
    <w:rsid w:val="00496BF5"/>
    <w:rsid w:val="00496EF7"/>
    <w:rsid w:val="00497E44"/>
    <w:rsid w:val="004A0119"/>
    <w:rsid w:val="004A0685"/>
    <w:rsid w:val="004A0A67"/>
    <w:rsid w:val="004A171D"/>
    <w:rsid w:val="004A18E9"/>
    <w:rsid w:val="004A26A9"/>
    <w:rsid w:val="004A2D1D"/>
    <w:rsid w:val="004A2D37"/>
    <w:rsid w:val="004A3332"/>
    <w:rsid w:val="004A344B"/>
    <w:rsid w:val="004A5849"/>
    <w:rsid w:val="004A5CFD"/>
    <w:rsid w:val="004A60DF"/>
    <w:rsid w:val="004A72AE"/>
    <w:rsid w:val="004B0456"/>
    <w:rsid w:val="004B0C31"/>
    <w:rsid w:val="004B0D5D"/>
    <w:rsid w:val="004B0E1F"/>
    <w:rsid w:val="004B2061"/>
    <w:rsid w:val="004B24AD"/>
    <w:rsid w:val="004B27AB"/>
    <w:rsid w:val="004B4A83"/>
    <w:rsid w:val="004B5161"/>
    <w:rsid w:val="004B521C"/>
    <w:rsid w:val="004B526E"/>
    <w:rsid w:val="004B5867"/>
    <w:rsid w:val="004B6CA6"/>
    <w:rsid w:val="004B6CB2"/>
    <w:rsid w:val="004B6D6D"/>
    <w:rsid w:val="004B6F62"/>
    <w:rsid w:val="004B76EC"/>
    <w:rsid w:val="004B7B7E"/>
    <w:rsid w:val="004C054E"/>
    <w:rsid w:val="004C1E8E"/>
    <w:rsid w:val="004C24C7"/>
    <w:rsid w:val="004C2A07"/>
    <w:rsid w:val="004C3EEA"/>
    <w:rsid w:val="004C4162"/>
    <w:rsid w:val="004C474E"/>
    <w:rsid w:val="004C498A"/>
    <w:rsid w:val="004C4DBA"/>
    <w:rsid w:val="004C5309"/>
    <w:rsid w:val="004C5902"/>
    <w:rsid w:val="004C5AE5"/>
    <w:rsid w:val="004C63CF"/>
    <w:rsid w:val="004C6595"/>
    <w:rsid w:val="004C6C01"/>
    <w:rsid w:val="004C7DD2"/>
    <w:rsid w:val="004C7FBB"/>
    <w:rsid w:val="004D0B0A"/>
    <w:rsid w:val="004D0CFD"/>
    <w:rsid w:val="004D11FE"/>
    <w:rsid w:val="004D131F"/>
    <w:rsid w:val="004D14FC"/>
    <w:rsid w:val="004D1E33"/>
    <w:rsid w:val="004D2049"/>
    <w:rsid w:val="004D28D7"/>
    <w:rsid w:val="004D2EE5"/>
    <w:rsid w:val="004D3170"/>
    <w:rsid w:val="004D3305"/>
    <w:rsid w:val="004D33B4"/>
    <w:rsid w:val="004D3AAF"/>
    <w:rsid w:val="004D418A"/>
    <w:rsid w:val="004D41F3"/>
    <w:rsid w:val="004D44FB"/>
    <w:rsid w:val="004D4AF5"/>
    <w:rsid w:val="004D51E6"/>
    <w:rsid w:val="004D54F9"/>
    <w:rsid w:val="004D57FC"/>
    <w:rsid w:val="004D5F6C"/>
    <w:rsid w:val="004D657C"/>
    <w:rsid w:val="004D67E8"/>
    <w:rsid w:val="004D7635"/>
    <w:rsid w:val="004D784E"/>
    <w:rsid w:val="004D7A90"/>
    <w:rsid w:val="004E02DD"/>
    <w:rsid w:val="004E0B9D"/>
    <w:rsid w:val="004E1420"/>
    <w:rsid w:val="004E197D"/>
    <w:rsid w:val="004E1B24"/>
    <w:rsid w:val="004E1E07"/>
    <w:rsid w:val="004E2DA4"/>
    <w:rsid w:val="004E3032"/>
    <w:rsid w:val="004E41C3"/>
    <w:rsid w:val="004E4467"/>
    <w:rsid w:val="004E4C4C"/>
    <w:rsid w:val="004E4E4A"/>
    <w:rsid w:val="004E73C6"/>
    <w:rsid w:val="004E7995"/>
    <w:rsid w:val="004F0C98"/>
    <w:rsid w:val="004F0CD3"/>
    <w:rsid w:val="004F0FCB"/>
    <w:rsid w:val="004F1104"/>
    <w:rsid w:val="004F130E"/>
    <w:rsid w:val="004F1352"/>
    <w:rsid w:val="004F2102"/>
    <w:rsid w:val="004F2609"/>
    <w:rsid w:val="004F311E"/>
    <w:rsid w:val="004F37AE"/>
    <w:rsid w:val="004F3A6A"/>
    <w:rsid w:val="004F4B81"/>
    <w:rsid w:val="004F5C2E"/>
    <w:rsid w:val="004F5C83"/>
    <w:rsid w:val="004F63A1"/>
    <w:rsid w:val="004F674B"/>
    <w:rsid w:val="004F6F7B"/>
    <w:rsid w:val="004F70E8"/>
    <w:rsid w:val="004F7818"/>
    <w:rsid w:val="00500308"/>
    <w:rsid w:val="0050054C"/>
    <w:rsid w:val="00500F76"/>
    <w:rsid w:val="0050133E"/>
    <w:rsid w:val="005015A4"/>
    <w:rsid w:val="0050174D"/>
    <w:rsid w:val="005031BB"/>
    <w:rsid w:val="005035DB"/>
    <w:rsid w:val="00503DDA"/>
    <w:rsid w:val="00504AA2"/>
    <w:rsid w:val="0050609C"/>
    <w:rsid w:val="0050787B"/>
    <w:rsid w:val="00510508"/>
    <w:rsid w:val="00512874"/>
    <w:rsid w:val="0051291D"/>
    <w:rsid w:val="00512C46"/>
    <w:rsid w:val="0051449C"/>
    <w:rsid w:val="005145D7"/>
    <w:rsid w:val="00515143"/>
    <w:rsid w:val="00515B3A"/>
    <w:rsid w:val="00516961"/>
    <w:rsid w:val="00516985"/>
    <w:rsid w:val="005205C5"/>
    <w:rsid w:val="0052202E"/>
    <w:rsid w:val="005223B1"/>
    <w:rsid w:val="00522665"/>
    <w:rsid w:val="0052339A"/>
    <w:rsid w:val="0052356E"/>
    <w:rsid w:val="005239C4"/>
    <w:rsid w:val="005239FC"/>
    <w:rsid w:val="00523F8F"/>
    <w:rsid w:val="00523FF9"/>
    <w:rsid w:val="0052430C"/>
    <w:rsid w:val="005250BB"/>
    <w:rsid w:val="0052565E"/>
    <w:rsid w:val="0052577E"/>
    <w:rsid w:val="005263FB"/>
    <w:rsid w:val="005265C7"/>
    <w:rsid w:val="00526807"/>
    <w:rsid w:val="00526B87"/>
    <w:rsid w:val="00526CD2"/>
    <w:rsid w:val="00527969"/>
    <w:rsid w:val="00530405"/>
    <w:rsid w:val="005306F0"/>
    <w:rsid w:val="00531002"/>
    <w:rsid w:val="0053168A"/>
    <w:rsid w:val="005321F3"/>
    <w:rsid w:val="00532994"/>
    <w:rsid w:val="00532D22"/>
    <w:rsid w:val="00533462"/>
    <w:rsid w:val="00533622"/>
    <w:rsid w:val="00533A22"/>
    <w:rsid w:val="0053507C"/>
    <w:rsid w:val="005361D6"/>
    <w:rsid w:val="0053654A"/>
    <w:rsid w:val="00536B43"/>
    <w:rsid w:val="0053743D"/>
    <w:rsid w:val="0053769C"/>
    <w:rsid w:val="005377D5"/>
    <w:rsid w:val="00537DE9"/>
    <w:rsid w:val="00540230"/>
    <w:rsid w:val="00540C1F"/>
    <w:rsid w:val="0054255F"/>
    <w:rsid w:val="00542977"/>
    <w:rsid w:val="00542D41"/>
    <w:rsid w:val="005437BE"/>
    <w:rsid w:val="005447BA"/>
    <w:rsid w:val="00544A20"/>
    <w:rsid w:val="005451EE"/>
    <w:rsid w:val="005453F2"/>
    <w:rsid w:val="00546634"/>
    <w:rsid w:val="00546AA4"/>
    <w:rsid w:val="00546B75"/>
    <w:rsid w:val="00547474"/>
    <w:rsid w:val="00547716"/>
    <w:rsid w:val="0054773C"/>
    <w:rsid w:val="00550435"/>
    <w:rsid w:val="005509E9"/>
    <w:rsid w:val="00551645"/>
    <w:rsid w:val="005517AB"/>
    <w:rsid w:val="0055235D"/>
    <w:rsid w:val="005523F0"/>
    <w:rsid w:val="0055274B"/>
    <w:rsid w:val="00552958"/>
    <w:rsid w:val="00552A38"/>
    <w:rsid w:val="00552B4C"/>
    <w:rsid w:val="00552BBF"/>
    <w:rsid w:val="00552F15"/>
    <w:rsid w:val="00552F25"/>
    <w:rsid w:val="00553B03"/>
    <w:rsid w:val="00553D30"/>
    <w:rsid w:val="00554CC1"/>
    <w:rsid w:val="00555068"/>
    <w:rsid w:val="005551D8"/>
    <w:rsid w:val="005553ED"/>
    <w:rsid w:val="00555BCD"/>
    <w:rsid w:val="00555DF5"/>
    <w:rsid w:val="00556642"/>
    <w:rsid w:val="00556743"/>
    <w:rsid w:val="0055684C"/>
    <w:rsid w:val="00556B10"/>
    <w:rsid w:val="00560309"/>
    <w:rsid w:val="00560618"/>
    <w:rsid w:val="00560926"/>
    <w:rsid w:val="00560ADA"/>
    <w:rsid w:val="00560BED"/>
    <w:rsid w:val="00561070"/>
    <w:rsid w:val="00561254"/>
    <w:rsid w:val="00561F69"/>
    <w:rsid w:val="00562965"/>
    <w:rsid w:val="00562E94"/>
    <w:rsid w:val="00563E20"/>
    <w:rsid w:val="0056482D"/>
    <w:rsid w:val="0056592D"/>
    <w:rsid w:val="00566DE0"/>
    <w:rsid w:val="00566E50"/>
    <w:rsid w:val="00566E9A"/>
    <w:rsid w:val="005670FF"/>
    <w:rsid w:val="00567927"/>
    <w:rsid w:val="005679A3"/>
    <w:rsid w:val="00570072"/>
    <w:rsid w:val="0057052C"/>
    <w:rsid w:val="0057139C"/>
    <w:rsid w:val="00571B97"/>
    <w:rsid w:val="00572107"/>
    <w:rsid w:val="00572652"/>
    <w:rsid w:val="00572F6E"/>
    <w:rsid w:val="005737CB"/>
    <w:rsid w:val="00574447"/>
    <w:rsid w:val="00574DE2"/>
    <w:rsid w:val="00575E9E"/>
    <w:rsid w:val="00576798"/>
    <w:rsid w:val="0057718B"/>
    <w:rsid w:val="00577232"/>
    <w:rsid w:val="00577834"/>
    <w:rsid w:val="00580215"/>
    <w:rsid w:val="005805F0"/>
    <w:rsid w:val="0058064C"/>
    <w:rsid w:val="005809C7"/>
    <w:rsid w:val="0058123D"/>
    <w:rsid w:val="00583219"/>
    <w:rsid w:val="00583E96"/>
    <w:rsid w:val="0058405E"/>
    <w:rsid w:val="00584101"/>
    <w:rsid w:val="005847DE"/>
    <w:rsid w:val="00584C59"/>
    <w:rsid w:val="0058531C"/>
    <w:rsid w:val="005860BE"/>
    <w:rsid w:val="0058665E"/>
    <w:rsid w:val="00586A12"/>
    <w:rsid w:val="00586D82"/>
    <w:rsid w:val="00586F02"/>
    <w:rsid w:val="00587212"/>
    <w:rsid w:val="00587372"/>
    <w:rsid w:val="005874FD"/>
    <w:rsid w:val="0058799F"/>
    <w:rsid w:val="00587E62"/>
    <w:rsid w:val="00590299"/>
    <w:rsid w:val="00590528"/>
    <w:rsid w:val="00590B77"/>
    <w:rsid w:val="00590ED0"/>
    <w:rsid w:val="00591789"/>
    <w:rsid w:val="00591BB9"/>
    <w:rsid w:val="00591FF4"/>
    <w:rsid w:val="00592850"/>
    <w:rsid w:val="00592A02"/>
    <w:rsid w:val="0059419A"/>
    <w:rsid w:val="0059467D"/>
    <w:rsid w:val="00595920"/>
    <w:rsid w:val="005964BD"/>
    <w:rsid w:val="00596687"/>
    <w:rsid w:val="00596A59"/>
    <w:rsid w:val="00596F21"/>
    <w:rsid w:val="0059722C"/>
    <w:rsid w:val="00597A63"/>
    <w:rsid w:val="00597AD6"/>
    <w:rsid w:val="005A03AA"/>
    <w:rsid w:val="005A0C75"/>
    <w:rsid w:val="005A0DAC"/>
    <w:rsid w:val="005A10C0"/>
    <w:rsid w:val="005A1404"/>
    <w:rsid w:val="005A1538"/>
    <w:rsid w:val="005A1AB3"/>
    <w:rsid w:val="005A1C92"/>
    <w:rsid w:val="005A2429"/>
    <w:rsid w:val="005A2A39"/>
    <w:rsid w:val="005A33A7"/>
    <w:rsid w:val="005A34FB"/>
    <w:rsid w:val="005A5C3C"/>
    <w:rsid w:val="005A5D57"/>
    <w:rsid w:val="005A5FF7"/>
    <w:rsid w:val="005A6004"/>
    <w:rsid w:val="005A6128"/>
    <w:rsid w:val="005A62CB"/>
    <w:rsid w:val="005A64FA"/>
    <w:rsid w:val="005A6AFC"/>
    <w:rsid w:val="005A7DB5"/>
    <w:rsid w:val="005B091D"/>
    <w:rsid w:val="005B128A"/>
    <w:rsid w:val="005B2483"/>
    <w:rsid w:val="005B281C"/>
    <w:rsid w:val="005B293E"/>
    <w:rsid w:val="005B3D5C"/>
    <w:rsid w:val="005B50CE"/>
    <w:rsid w:val="005B549A"/>
    <w:rsid w:val="005B5CE0"/>
    <w:rsid w:val="005B64C4"/>
    <w:rsid w:val="005B68DF"/>
    <w:rsid w:val="005B7818"/>
    <w:rsid w:val="005C109A"/>
    <w:rsid w:val="005C1742"/>
    <w:rsid w:val="005C1C44"/>
    <w:rsid w:val="005C2319"/>
    <w:rsid w:val="005C2484"/>
    <w:rsid w:val="005C34E5"/>
    <w:rsid w:val="005C4D9E"/>
    <w:rsid w:val="005C4DCF"/>
    <w:rsid w:val="005C500B"/>
    <w:rsid w:val="005C6E98"/>
    <w:rsid w:val="005C77E0"/>
    <w:rsid w:val="005C7984"/>
    <w:rsid w:val="005C7C3D"/>
    <w:rsid w:val="005C7E39"/>
    <w:rsid w:val="005C7FCB"/>
    <w:rsid w:val="005D010E"/>
    <w:rsid w:val="005D0600"/>
    <w:rsid w:val="005D063B"/>
    <w:rsid w:val="005D11B2"/>
    <w:rsid w:val="005D11B5"/>
    <w:rsid w:val="005D1832"/>
    <w:rsid w:val="005D1B10"/>
    <w:rsid w:val="005D2042"/>
    <w:rsid w:val="005D279A"/>
    <w:rsid w:val="005D2F1C"/>
    <w:rsid w:val="005D3032"/>
    <w:rsid w:val="005D44AC"/>
    <w:rsid w:val="005D72BF"/>
    <w:rsid w:val="005D75CC"/>
    <w:rsid w:val="005D7850"/>
    <w:rsid w:val="005D7F6E"/>
    <w:rsid w:val="005E06A0"/>
    <w:rsid w:val="005E0897"/>
    <w:rsid w:val="005E0B58"/>
    <w:rsid w:val="005E0D45"/>
    <w:rsid w:val="005E1AAE"/>
    <w:rsid w:val="005E1E0A"/>
    <w:rsid w:val="005E282E"/>
    <w:rsid w:val="005E43F7"/>
    <w:rsid w:val="005E4A21"/>
    <w:rsid w:val="005E578C"/>
    <w:rsid w:val="005E5AD9"/>
    <w:rsid w:val="005E5E0E"/>
    <w:rsid w:val="005E5F13"/>
    <w:rsid w:val="005E63B0"/>
    <w:rsid w:val="005E7918"/>
    <w:rsid w:val="005E79DB"/>
    <w:rsid w:val="005E7F17"/>
    <w:rsid w:val="005F036C"/>
    <w:rsid w:val="005F125A"/>
    <w:rsid w:val="005F24E6"/>
    <w:rsid w:val="005F39AC"/>
    <w:rsid w:val="005F4622"/>
    <w:rsid w:val="005F4768"/>
    <w:rsid w:val="005F479C"/>
    <w:rsid w:val="005F55B0"/>
    <w:rsid w:val="005F5AEE"/>
    <w:rsid w:val="005F6369"/>
    <w:rsid w:val="005F7795"/>
    <w:rsid w:val="005F7A71"/>
    <w:rsid w:val="00600073"/>
    <w:rsid w:val="006002CD"/>
    <w:rsid w:val="00601FAD"/>
    <w:rsid w:val="00602723"/>
    <w:rsid w:val="00602C27"/>
    <w:rsid w:val="00602FF2"/>
    <w:rsid w:val="0060330E"/>
    <w:rsid w:val="00604A89"/>
    <w:rsid w:val="00604D3C"/>
    <w:rsid w:val="0060511F"/>
    <w:rsid w:val="006052D8"/>
    <w:rsid w:val="00605509"/>
    <w:rsid w:val="0060599C"/>
    <w:rsid w:val="00605B32"/>
    <w:rsid w:val="00606134"/>
    <w:rsid w:val="00606461"/>
    <w:rsid w:val="00606754"/>
    <w:rsid w:val="006067BA"/>
    <w:rsid w:val="00606E46"/>
    <w:rsid w:val="0060703C"/>
    <w:rsid w:val="00607084"/>
    <w:rsid w:val="00607168"/>
    <w:rsid w:val="00607611"/>
    <w:rsid w:val="00607803"/>
    <w:rsid w:val="00607D55"/>
    <w:rsid w:val="00607E8B"/>
    <w:rsid w:val="00611311"/>
    <w:rsid w:val="00611369"/>
    <w:rsid w:val="006115D9"/>
    <w:rsid w:val="00612220"/>
    <w:rsid w:val="0061280B"/>
    <w:rsid w:val="006128CD"/>
    <w:rsid w:val="00612DD8"/>
    <w:rsid w:val="00614170"/>
    <w:rsid w:val="00614571"/>
    <w:rsid w:val="00614B3C"/>
    <w:rsid w:val="00614B79"/>
    <w:rsid w:val="00615E69"/>
    <w:rsid w:val="00621E8D"/>
    <w:rsid w:val="006226A9"/>
    <w:rsid w:val="00622B09"/>
    <w:rsid w:val="00623187"/>
    <w:rsid w:val="00624211"/>
    <w:rsid w:val="00624363"/>
    <w:rsid w:val="00624882"/>
    <w:rsid w:val="00624ACF"/>
    <w:rsid w:val="00624F3B"/>
    <w:rsid w:val="00625BED"/>
    <w:rsid w:val="00625F6D"/>
    <w:rsid w:val="00626BB0"/>
    <w:rsid w:val="0062702E"/>
    <w:rsid w:val="00627489"/>
    <w:rsid w:val="0062765B"/>
    <w:rsid w:val="00627CFF"/>
    <w:rsid w:val="006303E5"/>
    <w:rsid w:val="006303FD"/>
    <w:rsid w:val="006306DE"/>
    <w:rsid w:val="00630DCE"/>
    <w:rsid w:val="00631BF8"/>
    <w:rsid w:val="0063218D"/>
    <w:rsid w:val="00633348"/>
    <w:rsid w:val="006335CE"/>
    <w:rsid w:val="0063418D"/>
    <w:rsid w:val="00634215"/>
    <w:rsid w:val="00634554"/>
    <w:rsid w:val="00634730"/>
    <w:rsid w:val="0063533D"/>
    <w:rsid w:val="006353D7"/>
    <w:rsid w:val="00635C3B"/>
    <w:rsid w:val="00635CAC"/>
    <w:rsid w:val="0063635B"/>
    <w:rsid w:val="0063701C"/>
    <w:rsid w:val="0063735B"/>
    <w:rsid w:val="0063758C"/>
    <w:rsid w:val="0063783E"/>
    <w:rsid w:val="006409EF"/>
    <w:rsid w:val="0064141F"/>
    <w:rsid w:val="0064158F"/>
    <w:rsid w:val="0064172E"/>
    <w:rsid w:val="00641920"/>
    <w:rsid w:val="006423AA"/>
    <w:rsid w:val="00642974"/>
    <w:rsid w:val="00642F8D"/>
    <w:rsid w:val="006442A3"/>
    <w:rsid w:val="00644552"/>
    <w:rsid w:val="006445D9"/>
    <w:rsid w:val="00644E1D"/>
    <w:rsid w:val="006456E6"/>
    <w:rsid w:val="00645E61"/>
    <w:rsid w:val="0064609E"/>
    <w:rsid w:val="00650041"/>
    <w:rsid w:val="0065050C"/>
    <w:rsid w:val="0065096B"/>
    <w:rsid w:val="006509F6"/>
    <w:rsid w:val="00650B6A"/>
    <w:rsid w:val="006518ED"/>
    <w:rsid w:val="00652270"/>
    <w:rsid w:val="00652406"/>
    <w:rsid w:val="006531F8"/>
    <w:rsid w:val="006532CD"/>
    <w:rsid w:val="00654376"/>
    <w:rsid w:val="006547F3"/>
    <w:rsid w:val="00654984"/>
    <w:rsid w:val="00654CB7"/>
    <w:rsid w:val="006555A6"/>
    <w:rsid w:val="006559F4"/>
    <w:rsid w:val="00655D55"/>
    <w:rsid w:val="00655E73"/>
    <w:rsid w:val="00656186"/>
    <w:rsid w:val="00656566"/>
    <w:rsid w:val="00656604"/>
    <w:rsid w:val="00656BE4"/>
    <w:rsid w:val="00656F04"/>
    <w:rsid w:val="0065797A"/>
    <w:rsid w:val="006609E8"/>
    <w:rsid w:val="00661313"/>
    <w:rsid w:val="00662273"/>
    <w:rsid w:val="00662437"/>
    <w:rsid w:val="00662736"/>
    <w:rsid w:val="00663DAE"/>
    <w:rsid w:val="00663FBD"/>
    <w:rsid w:val="00665006"/>
    <w:rsid w:val="00665480"/>
    <w:rsid w:val="006658E9"/>
    <w:rsid w:val="00665FFE"/>
    <w:rsid w:val="006668F2"/>
    <w:rsid w:val="006670DA"/>
    <w:rsid w:val="006674A5"/>
    <w:rsid w:val="00667F5D"/>
    <w:rsid w:val="006700A8"/>
    <w:rsid w:val="00670B6D"/>
    <w:rsid w:val="00670DA3"/>
    <w:rsid w:val="0067103E"/>
    <w:rsid w:val="006710CA"/>
    <w:rsid w:val="00671741"/>
    <w:rsid w:val="0067187C"/>
    <w:rsid w:val="00671ADD"/>
    <w:rsid w:val="00672031"/>
    <w:rsid w:val="006722F7"/>
    <w:rsid w:val="00672A53"/>
    <w:rsid w:val="00672BA1"/>
    <w:rsid w:val="00673768"/>
    <w:rsid w:val="00673C2C"/>
    <w:rsid w:val="00673D8C"/>
    <w:rsid w:val="00673F9E"/>
    <w:rsid w:val="0067410D"/>
    <w:rsid w:val="00675780"/>
    <w:rsid w:val="00675D0F"/>
    <w:rsid w:val="00675FDA"/>
    <w:rsid w:val="00676179"/>
    <w:rsid w:val="00676888"/>
    <w:rsid w:val="006775AB"/>
    <w:rsid w:val="00677643"/>
    <w:rsid w:val="00677BA1"/>
    <w:rsid w:val="0068080C"/>
    <w:rsid w:val="00680987"/>
    <w:rsid w:val="00681951"/>
    <w:rsid w:val="006821E9"/>
    <w:rsid w:val="00683BA5"/>
    <w:rsid w:val="00683DE1"/>
    <w:rsid w:val="00683FFE"/>
    <w:rsid w:val="006845A5"/>
    <w:rsid w:val="00684676"/>
    <w:rsid w:val="006847C9"/>
    <w:rsid w:val="00684D7E"/>
    <w:rsid w:val="00685286"/>
    <w:rsid w:val="006857A8"/>
    <w:rsid w:val="00686BDE"/>
    <w:rsid w:val="0068718F"/>
    <w:rsid w:val="00687C32"/>
    <w:rsid w:val="00687DF2"/>
    <w:rsid w:val="006902E5"/>
    <w:rsid w:val="00690593"/>
    <w:rsid w:val="006910D6"/>
    <w:rsid w:val="0069200E"/>
    <w:rsid w:val="006920C2"/>
    <w:rsid w:val="0069376E"/>
    <w:rsid w:val="00694CFD"/>
    <w:rsid w:val="00694D57"/>
    <w:rsid w:val="00694E42"/>
    <w:rsid w:val="00695773"/>
    <w:rsid w:val="00695B2C"/>
    <w:rsid w:val="00695B61"/>
    <w:rsid w:val="00695BCA"/>
    <w:rsid w:val="00696030"/>
    <w:rsid w:val="00697B75"/>
    <w:rsid w:val="00697B81"/>
    <w:rsid w:val="00697C58"/>
    <w:rsid w:val="00697D58"/>
    <w:rsid w:val="00697E5C"/>
    <w:rsid w:val="00697E6A"/>
    <w:rsid w:val="006A0611"/>
    <w:rsid w:val="006A08B1"/>
    <w:rsid w:val="006A0BEC"/>
    <w:rsid w:val="006A0CD4"/>
    <w:rsid w:val="006A13CE"/>
    <w:rsid w:val="006A18B3"/>
    <w:rsid w:val="006A33B1"/>
    <w:rsid w:val="006A3945"/>
    <w:rsid w:val="006A4184"/>
    <w:rsid w:val="006A5DA4"/>
    <w:rsid w:val="006A5DCF"/>
    <w:rsid w:val="006A6205"/>
    <w:rsid w:val="006A6474"/>
    <w:rsid w:val="006A6EB4"/>
    <w:rsid w:val="006A713B"/>
    <w:rsid w:val="006B0646"/>
    <w:rsid w:val="006B0ACE"/>
    <w:rsid w:val="006B0D1A"/>
    <w:rsid w:val="006B1CBB"/>
    <w:rsid w:val="006B2C94"/>
    <w:rsid w:val="006B3BB9"/>
    <w:rsid w:val="006B3DFA"/>
    <w:rsid w:val="006B4169"/>
    <w:rsid w:val="006B4A4A"/>
    <w:rsid w:val="006B51F7"/>
    <w:rsid w:val="006B6319"/>
    <w:rsid w:val="006B6E86"/>
    <w:rsid w:val="006B741C"/>
    <w:rsid w:val="006B7999"/>
    <w:rsid w:val="006C0507"/>
    <w:rsid w:val="006C0CA9"/>
    <w:rsid w:val="006C0CF5"/>
    <w:rsid w:val="006C0D90"/>
    <w:rsid w:val="006C13C4"/>
    <w:rsid w:val="006C1447"/>
    <w:rsid w:val="006C1D56"/>
    <w:rsid w:val="006C253E"/>
    <w:rsid w:val="006C3BC3"/>
    <w:rsid w:val="006C43ED"/>
    <w:rsid w:val="006C55C7"/>
    <w:rsid w:val="006C5E23"/>
    <w:rsid w:val="006C601C"/>
    <w:rsid w:val="006C60AA"/>
    <w:rsid w:val="006C681E"/>
    <w:rsid w:val="006C7BA8"/>
    <w:rsid w:val="006D0908"/>
    <w:rsid w:val="006D0A3F"/>
    <w:rsid w:val="006D0D46"/>
    <w:rsid w:val="006D1846"/>
    <w:rsid w:val="006D2D2F"/>
    <w:rsid w:val="006D2F99"/>
    <w:rsid w:val="006D31F1"/>
    <w:rsid w:val="006D3739"/>
    <w:rsid w:val="006D3745"/>
    <w:rsid w:val="006D42B1"/>
    <w:rsid w:val="006D4747"/>
    <w:rsid w:val="006D4B11"/>
    <w:rsid w:val="006D4C01"/>
    <w:rsid w:val="006D50FA"/>
    <w:rsid w:val="006D6DA6"/>
    <w:rsid w:val="006D6DB7"/>
    <w:rsid w:val="006D7B43"/>
    <w:rsid w:val="006D7C7F"/>
    <w:rsid w:val="006E0100"/>
    <w:rsid w:val="006E167C"/>
    <w:rsid w:val="006E1786"/>
    <w:rsid w:val="006E17CC"/>
    <w:rsid w:val="006E22E0"/>
    <w:rsid w:val="006E3233"/>
    <w:rsid w:val="006E3AE3"/>
    <w:rsid w:val="006E4726"/>
    <w:rsid w:val="006E5530"/>
    <w:rsid w:val="006E5555"/>
    <w:rsid w:val="006E58EF"/>
    <w:rsid w:val="006E70C7"/>
    <w:rsid w:val="006E75FB"/>
    <w:rsid w:val="006F00D1"/>
    <w:rsid w:val="006F0DF2"/>
    <w:rsid w:val="006F0ED6"/>
    <w:rsid w:val="006F2599"/>
    <w:rsid w:val="006F30C6"/>
    <w:rsid w:val="006F34C2"/>
    <w:rsid w:val="006F3F15"/>
    <w:rsid w:val="006F3F53"/>
    <w:rsid w:val="006F4894"/>
    <w:rsid w:val="006F5644"/>
    <w:rsid w:val="006F5A3E"/>
    <w:rsid w:val="006F5B4F"/>
    <w:rsid w:val="006F6FBC"/>
    <w:rsid w:val="006F7309"/>
    <w:rsid w:val="00700123"/>
    <w:rsid w:val="00700648"/>
    <w:rsid w:val="00701A21"/>
    <w:rsid w:val="00701B9C"/>
    <w:rsid w:val="00702AE3"/>
    <w:rsid w:val="007036AB"/>
    <w:rsid w:val="00703D43"/>
    <w:rsid w:val="00704FC6"/>
    <w:rsid w:val="0070510A"/>
    <w:rsid w:val="00705520"/>
    <w:rsid w:val="007056CC"/>
    <w:rsid w:val="0070580C"/>
    <w:rsid w:val="00705811"/>
    <w:rsid w:val="00705D8E"/>
    <w:rsid w:val="00705F21"/>
    <w:rsid w:val="00706F92"/>
    <w:rsid w:val="00707312"/>
    <w:rsid w:val="00707699"/>
    <w:rsid w:val="00710488"/>
    <w:rsid w:val="0071077B"/>
    <w:rsid w:val="00711BCE"/>
    <w:rsid w:val="00712591"/>
    <w:rsid w:val="00712D59"/>
    <w:rsid w:val="00713233"/>
    <w:rsid w:val="00713817"/>
    <w:rsid w:val="00713876"/>
    <w:rsid w:val="00714E88"/>
    <w:rsid w:val="00714FEB"/>
    <w:rsid w:val="007150A3"/>
    <w:rsid w:val="0071538B"/>
    <w:rsid w:val="007167FF"/>
    <w:rsid w:val="00716C5F"/>
    <w:rsid w:val="00716CA7"/>
    <w:rsid w:val="00716CC0"/>
    <w:rsid w:val="00717304"/>
    <w:rsid w:val="007176AD"/>
    <w:rsid w:val="007201BC"/>
    <w:rsid w:val="00720489"/>
    <w:rsid w:val="00720913"/>
    <w:rsid w:val="00721BAA"/>
    <w:rsid w:val="00721BD4"/>
    <w:rsid w:val="00721C00"/>
    <w:rsid w:val="007223AA"/>
    <w:rsid w:val="0072266E"/>
    <w:rsid w:val="00722A44"/>
    <w:rsid w:val="00722BCD"/>
    <w:rsid w:val="00722EA3"/>
    <w:rsid w:val="00723419"/>
    <w:rsid w:val="00723813"/>
    <w:rsid w:val="0072406C"/>
    <w:rsid w:val="00724FFC"/>
    <w:rsid w:val="00725863"/>
    <w:rsid w:val="00725BEB"/>
    <w:rsid w:val="00726382"/>
    <w:rsid w:val="007266B0"/>
    <w:rsid w:val="0072699B"/>
    <w:rsid w:val="00726E84"/>
    <w:rsid w:val="0072736A"/>
    <w:rsid w:val="00727CAE"/>
    <w:rsid w:val="00727DEF"/>
    <w:rsid w:val="00730DE4"/>
    <w:rsid w:val="00731336"/>
    <w:rsid w:val="00732C46"/>
    <w:rsid w:val="00733602"/>
    <w:rsid w:val="00733684"/>
    <w:rsid w:val="0073373B"/>
    <w:rsid w:val="00734B25"/>
    <w:rsid w:val="00735FF6"/>
    <w:rsid w:val="0073630F"/>
    <w:rsid w:val="00736BEF"/>
    <w:rsid w:val="00736D06"/>
    <w:rsid w:val="00736E87"/>
    <w:rsid w:val="0074031D"/>
    <w:rsid w:val="00741480"/>
    <w:rsid w:val="00741DAD"/>
    <w:rsid w:val="00742149"/>
    <w:rsid w:val="00742182"/>
    <w:rsid w:val="007421BF"/>
    <w:rsid w:val="00742DCE"/>
    <w:rsid w:val="00744077"/>
    <w:rsid w:val="00744115"/>
    <w:rsid w:val="007441D9"/>
    <w:rsid w:val="007448AE"/>
    <w:rsid w:val="0074560B"/>
    <w:rsid w:val="007461A7"/>
    <w:rsid w:val="007473CA"/>
    <w:rsid w:val="00750248"/>
    <w:rsid w:val="0075083A"/>
    <w:rsid w:val="00750968"/>
    <w:rsid w:val="00750A95"/>
    <w:rsid w:val="00750CC7"/>
    <w:rsid w:val="00751C71"/>
    <w:rsid w:val="00751C7A"/>
    <w:rsid w:val="00751CBF"/>
    <w:rsid w:val="00752048"/>
    <w:rsid w:val="007524AB"/>
    <w:rsid w:val="007529A1"/>
    <w:rsid w:val="00752DBE"/>
    <w:rsid w:val="00753280"/>
    <w:rsid w:val="007539BA"/>
    <w:rsid w:val="00753CB5"/>
    <w:rsid w:val="00753D82"/>
    <w:rsid w:val="00754810"/>
    <w:rsid w:val="0075535C"/>
    <w:rsid w:val="0075579F"/>
    <w:rsid w:val="007558EF"/>
    <w:rsid w:val="00757D47"/>
    <w:rsid w:val="0076028B"/>
    <w:rsid w:val="00760ABD"/>
    <w:rsid w:val="00760D9A"/>
    <w:rsid w:val="007610C3"/>
    <w:rsid w:val="00761254"/>
    <w:rsid w:val="0076126B"/>
    <w:rsid w:val="00761A9F"/>
    <w:rsid w:val="007625C3"/>
    <w:rsid w:val="00763B81"/>
    <w:rsid w:val="0076590C"/>
    <w:rsid w:val="00767710"/>
    <w:rsid w:val="00767B27"/>
    <w:rsid w:val="00767B3D"/>
    <w:rsid w:val="007707EC"/>
    <w:rsid w:val="00773200"/>
    <w:rsid w:val="00773BAC"/>
    <w:rsid w:val="00773E90"/>
    <w:rsid w:val="00774103"/>
    <w:rsid w:val="007744C2"/>
    <w:rsid w:val="007745E2"/>
    <w:rsid w:val="0077477A"/>
    <w:rsid w:val="00775593"/>
    <w:rsid w:val="007757DC"/>
    <w:rsid w:val="007758D9"/>
    <w:rsid w:val="0078020D"/>
    <w:rsid w:val="00780ADB"/>
    <w:rsid w:val="00781C3E"/>
    <w:rsid w:val="007826DE"/>
    <w:rsid w:val="007828E8"/>
    <w:rsid w:val="00782C2D"/>
    <w:rsid w:val="0078335A"/>
    <w:rsid w:val="0078348E"/>
    <w:rsid w:val="007841E9"/>
    <w:rsid w:val="007856FE"/>
    <w:rsid w:val="00787259"/>
    <w:rsid w:val="007877AA"/>
    <w:rsid w:val="007878A8"/>
    <w:rsid w:val="00787FD7"/>
    <w:rsid w:val="007904D0"/>
    <w:rsid w:val="00792BE1"/>
    <w:rsid w:val="00793667"/>
    <w:rsid w:val="00794690"/>
    <w:rsid w:val="00794924"/>
    <w:rsid w:val="00794AAB"/>
    <w:rsid w:val="007953FF"/>
    <w:rsid w:val="00795C19"/>
    <w:rsid w:val="00796AB0"/>
    <w:rsid w:val="007975EE"/>
    <w:rsid w:val="00797BC9"/>
    <w:rsid w:val="007A0466"/>
    <w:rsid w:val="007A05EB"/>
    <w:rsid w:val="007A1284"/>
    <w:rsid w:val="007A1FCC"/>
    <w:rsid w:val="007A24E7"/>
    <w:rsid w:val="007A3138"/>
    <w:rsid w:val="007A3F1B"/>
    <w:rsid w:val="007A47B6"/>
    <w:rsid w:val="007A48E4"/>
    <w:rsid w:val="007A5028"/>
    <w:rsid w:val="007A54C6"/>
    <w:rsid w:val="007A5611"/>
    <w:rsid w:val="007A5CA9"/>
    <w:rsid w:val="007A727D"/>
    <w:rsid w:val="007A7F88"/>
    <w:rsid w:val="007B00AC"/>
    <w:rsid w:val="007B0C56"/>
    <w:rsid w:val="007B0EED"/>
    <w:rsid w:val="007B13A7"/>
    <w:rsid w:val="007B1564"/>
    <w:rsid w:val="007B1635"/>
    <w:rsid w:val="007B16AB"/>
    <w:rsid w:val="007B1B10"/>
    <w:rsid w:val="007B1ED4"/>
    <w:rsid w:val="007B2167"/>
    <w:rsid w:val="007B2FB5"/>
    <w:rsid w:val="007B39A1"/>
    <w:rsid w:val="007B3BA8"/>
    <w:rsid w:val="007B3BE8"/>
    <w:rsid w:val="007B3FC0"/>
    <w:rsid w:val="007B470C"/>
    <w:rsid w:val="007B4BFD"/>
    <w:rsid w:val="007B54DA"/>
    <w:rsid w:val="007B57B3"/>
    <w:rsid w:val="007B5840"/>
    <w:rsid w:val="007B585C"/>
    <w:rsid w:val="007B678B"/>
    <w:rsid w:val="007B6C44"/>
    <w:rsid w:val="007B7F87"/>
    <w:rsid w:val="007C10F5"/>
    <w:rsid w:val="007C130C"/>
    <w:rsid w:val="007C1345"/>
    <w:rsid w:val="007C2C78"/>
    <w:rsid w:val="007C3B71"/>
    <w:rsid w:val="007C4F27"/>
    <w:rsid w:val="007C542C"/>
    <w:rsid w:val="007C6B4E"/>
    <w:rsid w:val="007D019B"/>
    <w:rsid w:val="007D01A6"/>
    <w:rsid w:val="007D087A"/>
    <w:rsid w:val="007D0D14"/>
    <w:rsid w:val="007D1559"/>
    <w:rsid w:val="007D19A5"/>
    <w:rsid w:val="007D269B"/>
    <w:rsid w:val="007D2AA4"/>
    <w:rsid w:val="007D326D"/>
    <w:rsid w:val="007D3957"/>
    <w:rsid w:val="007D415A"/>
    <w:rsid w:val="007D4989"/>
    <w:rsid w:val="007D4A06"/>
    <w:rsid w:val="007D4B7F"/>
    <w:rsid w:val="007D4E1D"/>
    <w:rsid w:val="007D4FCB"/>
    <w:rsid w:val="007D501A"/>
    <w:rsid w:val="007D52FA"/>
    <w:rsid w:val="007D56BA"/>
    <w:rsid w:val="007D6017"/>
    <w:rsid w:val="007D672E"/>
    <w:rsid w:val="007D6E76"/>
    <w:rsid w:val="007D6EFD"/>
    <w:rsid w:val="007D6F7F"/>
    <w:rsid w:val="007D7152"/>
    <w:rsid w:val="007D78D9"/>
    <w:rsid w:val="007D7C76"/>
    <w:rsid w:val="007E08F3"/>
    <w:rsid w:val="007E08FD"/>
    <w:rsid w:val="007E0B42"/>
    <w:rsid w:val="007E18ED"/>
    <w:rsid w:val="007E1B9F"/>
    <w:rsid w:val="007E1BFB"/>
    <w:rsid w:val="007E2A39"/>
    <w:rsid w:val="007E2C70"/>
    <w:rsid w:val="007E321F"/>
    <w:rsid w:val="007E3A4B"/>
    <w:rsid w:val="007E50B0"/>
    <w:rsid w:val="007E5432"/>
    <w:rsid w:val="007E6074"/>
    <w:rsid w:val="007E66C9"/>
    <w:rsid w:val="007E6DF6"/>
    <w:rsid w:val="007F1D69"/>
    <w:rsid w:val="007F1FFF"/>
    <w:rsid w:val="007F263C"/>
    <w:rsid w:val="007F2E46"/>
    <w:rsid w:val="007F3370"/>
    <w:rsid w:val="007F34D8"/>
    <w:rsid w:val="007F4C17"/>
    <w:rsid w:val="007F5C7E"/>
    <w:rsid w:val="007F5E20"/>
    <w:rsid w:val="007F619E"/>
    <w:rsid w:val="007F62D5"/>
    <w:rsid w:val="007F6465"/>
    <w:rsid w:val="007F6D12"/>
    <w:rsid w:val="007F6FD9"/>
    <w:rsid w:val="007F773B"/>
    <w:rsid w:val="007F7902"/>
    <w:rsid w:val="0080006D"/>
    <w:rsid w:val="008001A6"/>
    <w:rsid w:val="00800852"/>
    <w:rsid w:val="008017E6"/>
    <w:rsid w:val="00801826"/>
    <w:rsid w:val="00801F4D"/>
    <w:rsid w:val="00802176"/>
    <w:rsid w:val="00802404"/>
    <w:rsid w:val="008028CF"/>
    <w:rsid w:val="008028FF"/>
    <w:rsid w:val="00802A6D"/>
    <w:rsid w:val="00803BCB"/>
    <w:rsid w:val="00803F8F"/>
    <w:rsid w:val="00804333"/>
    <w:rsid w:val="008068FA"/>
    <w:rsid w:val="00806E91"/>
    <w:rsid w:val="00807105"/>
    <w:rsid w:val="00807868"/>
    <w:rsid w:val="00807F67"/>
    <w:rsid w:val="00810223"/>
    <w:rsid w:val="00810225"/>
    <w:rsid w:val="00810CCE"/>
    <w:rsid w:val="00811E61"/>
    <w:rsid w:val="008120AC"/>
    <w:rsid w:val="00812376"/>
    <w:rsid w:val="008129D0"/>
    <w:rsid w:val="008135FE"/>
    <w:rsid w:val="00814886"/>
    <w:rsid w:val="008148BC"/>
    <w:rsid w:val="00814EBE"/>
    <w:rsid w:val="00815609"/>
    <w:rsid w:val="00815D34"/>
    <w:rsid w:val="00816C30"/>
    <w:rsid w:val="00817F71"/>
    <w:rsid w:val="00817FD3"/>
    <w:rsid w:val="008208FB"/>
    <w:rsid w:val="008212C5"/>
    <w:rsid w:val="00821C67"/>
    <w:rsid w:val="0082347B"/>
    <w:rsid w:val="008237DF"/>
    <w:rsid w:val="00823ADB"/>
    <w:rsid w:val="00824415"/>
    <w:rsid w:val="0082480B"/>
    <w:rsid w:val="0082518A"/>
    <w:rsid w:val="00825755"/>
    <w:rsid w:val="008263C2"/>
    <w:rsid w:val="00826DA3"/>
    <w:rsid w:val="008270B6"/>
    <w:rsid w:val="00827C4B"/>
    <w:rsid w:val="00830A71"/>
    <w:rsid w:val="008315CB"/>
    <w:rsid w:val="00831EA2"/>
    <w:rsid w:val="00831F08"/>
    <w:rsid w:val="0083240B"/>
    <w:rsid w:val="008328A1"/>
    <w:rsid w:val="00832BAE"/>
    <w:rsid w:val="00833216"/>
    <w:rsid w:val="0083398D"/>
    <w:rsid w:val="00833B5F"/>
    <w:rsid w:val="00835472"/>
    <w:rsid w:val="00835E22"/>
    <w:rsid w:val="00835E69"/>
    <w:rsid w:val="00835F41"/>
    <w:rsid w:val="0083673E"/>
    <w:rsid w:val="0083687D"/>
    <w:rsid w:val="00836A90"/>
    <w:rsid w:val="00836C1C"/>
    <w:rsid w:val="00836D54"/>
    <w:rsid w:val="00837088"/>
    <w:rsid w:val="00837E9F"/>
    <w:rsid w:val="0084006B"/>
    <w:rsid w:val="008408B6"/>
    <w:rsid w:val="00840BBA"/>
    <w:rsid w:val="0084188A"/>
    <w:rsid w:val="00841AAF"/>
    <w:rsid w:val="00842432"/>
    <w:rsid w:val="00843931"/>
    <w:rsid w:val="00845008"/>
    <w:rsid w:val="0084561F"/>
    <w:rsid w:val="008456BB"/>
    <w:rsid w:val="00845DCB"/>
    <w:rsid w:val="00846114"/>
    <w:rsid w:val="0084622D"/>
    <w:rsid w:val="008464EC"/>
    <w:rsid w:val="00846B40"/>
    <w:rsid w:val="00846E5E"/>
    <w:rsid w:val="00846EE5"/>
    <w:rsid w:val="0084736A"/>
    <w:rsid w:val="00847C8E"/>
    <w:rsid w:val="00850280"/>
    <w:rsid w:val="0085097A"/>
    <w:rsid w:val="008516A3"/>
    <w:rsid w:val="00851AE1"/>
    <w:rsid w:val="008521E2"/>
    <w:rsid w:val="008526F1"/>
    <w:rsid w:val="00852789"/>
    <w:rsid w:val="00852880"/>
    <w:rsid w:val="008532A6"/>
    <w:rsid w:val="00853BD8"/>
    <w:rsid w:val="00853BF5"/>
    <w:rsid w:val="00854576"/>
    <w:rsid w:val="00854AC9"/>
    <w:rsid w:val="00854B99"/>
    <w:rsid w:val="00854DE8"/>
    <w:rsid w:val="00855B10"/>
    <w:rsid w:val="00855E93"/>
    <w:rsid w:val="00856071"/>
    <w:rsid w:val="0085647D"/>
    <w:rsid w:val="00856DAC"/>
    <w:rsid w:val="00856EFB"/>
    <w:rsid w:val="008574F3"/>
    <w:rsid w:val="00857A61"/>
    <w:rsid w:val="00857D70"/>
    <w:rsid w:val="00860DC4"/>
    <w:rsid w:val="00860E4F"/>
    <w:rsid w:val="008615C6"/>
    <w:rsid w:val="00861930"/>
    <w:rsid w:val="00861AB3"/>
    <w:rsid w:val="0086288D"/>
    <w:rsid w:val="00863447"/>
    <w:rsid w:val="008634AA"/>
    <w:rsid w:val="0086397F"/>
    <w:rsid w:val="00864EB7"/>
    <w:rsid w:val="00865087"/>
    <w:rsid w:val="008651C6"/>
    <w:rsid w:val="00865AD6"/>
    <w:rsid w:val="00865CC7"/>
    <w:rsid w:val="008661ED"/>
    <w:rsid w:val="008667B4"/>
    <w:rsid w:val="0086722F"/>
    <w:rsid w:val="008677EE"/>
    <w:rsid w:val="0086793D"/>
    <w:rsid w:val="00870CA3"/>
    <w:rsid w:val="00871AD2"/>
    <w:rsid w:val="00871F9F"/>
    <w:rsid w:val="008720D5"/>
    <w:rsid w:val="008725FF"/>
    <w:rsid w:val="00872E52"/>
    <w:rsid w:val="00872E9D"/>
    <w:rsid w:val="008735CC"/>
    <w:rsid w:val="00873AD9"/>
    <w:rsid w:val="00873FC0"/>
    <w:rsid w:val="00875411"/>
    <w:rsid w:val="00875481"/>
    <w:rsid w:val="00875A1E"/>
    <w:rsid w:val="00875B93"/>
    <w:rsid w:val="00876388"/>
    <w:rsid w:val="008766FC"/>
    <w:rsid w:val="0087688F"/>
    <w:rsid w:val="00877343"/>
    <w:rsid w:val="00877BBF"/>
    <w:rsid w:val="00877CDA"/>
    <w:rsid w:val="008805BB"/>
    <w:rsid w:val="00880D26"/>
    <w:rsid w:val="00881319"/>
    <w:rsid w:val="0088166D"/>
    <w:rsid w:val="00881691"/>
    <w:rsid w:val="00881EBD"/>
    <w:rsid w:val="0088210B"/>
    <w:rsid w:val="0088247B"/>
    <w:rsid w:val="008828BE"/>
    <w:rsid w:val="0088374D"/>
    <w:rsid w:val="008839FB"/>
    <w:rsid w:val="00883B4E"/>
    <w:rsid w:val="00883B8F"/>
    <w:rsid w:val="00884027"/>
    <w:rsid w:val="008840EE"/>
    <w:rsid w:val="008857CE"/>
    <w:rsid w:val="00885B7B"/>
    <w:rsid w:val="00886227"/>
    <w:rsid w:val="00886849"/>
    <w:rsid w:val="0088727B"/>
    <w:rsid w:val="00887A18"/>
    <w:rsid w:val="00890734"/>
    <w:rsid w:val="00890EBF"/>
    <w:rsid w:val="0089100B"/>
    <w:rsid w:val="00891154"/>
    <w:rsid w:val="008912B7"/>
    <w:rsid w:val="0089150E"/>
    <w:rsid w:val="00891E0C"/>
    <w:rsid w:val="00892255"/>
    <w:rsid w:val="00892323"/>
    <w:rsid w:val="0089239A"/>
    <w:rsid w:val="00892696"/>
    <w:rsid w:val="008927E0"/>
    <w:rsid w:val="00892A40"/>
    <w:rsid w:val="00892BB2"/>
    <w:rsid w:val="008936E6"/>
    <w:rsid w:val="008936E7"/>
    <w:rsid w:val="0089418D"/>
    <w:rsid w:val="0089639E"/>
    <w:rsid w:val="00896A3F"/>
    <w:rsid w:val="0089704A"/>
    <w:rsid w:val="008971C9"/>
    <w:rsid w:val="00897741"/>
    <w:rsid w:val="008977D0"/>
    <w:rsid w:val="00897E67"/>
    <w:rsid w:val="008A0004"/>
    <w:rsid w:val="008A0488"/>
    <w:rsid w:val="008A06CB"/>
    <w:rsid w:val="008A0B6B"/>
    <w:rsid w:val="008A10C1"/>
    <w:rsid w:val="008A12AE"/>
    <w:rsid w:val="008A150C"/>
    <w:rsid w:val="008A21C1"/>
    <w:rsid w:val="008A2E23"/>
    <w:rsid w:val="008A3F06"/>
    <w:rsid w:val="008A42F1"/>
    <w:rsid w:val="008A47CE"/>
    <w:rsid w:val="008A4AA2"/>
    <w:rsid w:val="008A7308"/>
    <w:rsid w:val="008A7743"/>
    <w:rsid w:val="008A78DA"/>
    <w:rsid w:val="008A7CB1"/>
    <w:rsid w:val="008B0296"/>
    <w:rsid w:val="008B09CB"/>
    <w:rsid w:val="008B0A66"/>
    <w:rsid w:val="008B139F"/>
    <w:rsid w:val="008B144B"/>
    <w:rsid w:val="008B1A7D"/>
    <w:rsid w:val="008B1E44"/>
    <w:rsid w:val="008B2321"/>
    <w:rsid w:val="008B2D6A"/>
    <w:rsid w:val="008B320A"/>
    <w:rsid w:val="008B385E"/>
    <w:rsid w:val="008B3C5C"/>
    <w:rsid w:val="008B4F26"/>
    <w:rsid w:val="008B6715"/>
    <w:rsid w:val="008B6A32"/>
    <w:rsid w:val="008B6D56"/>
    <w:rsid w:val="008B783C"/>
    <w:rsid w:val="008C1553"/>
    <w:rsid w:val="008C1E8E"/>
    <w:rsid w:val="008C312E"/>
    <w:rsid w:val="008C39B9"/>
    <w:rsid w:val="008C3B22"/>
    <w:rsid w:val="008C3BB9"/>
    <w:rsid w:val="008C3E8A"/>
    <w:rsid w:val="008C3EFB"/>
    <w:rsid w:val="008C3FDF"/>
    <w:rsid w:val="008C53F4"/>
    <w:rsid w:val="008C596D"/>
    <w:rsid w:val="008C6F6C"/>
    <w:rsid w:val="008C78BD"/>
    <w:rsid w:val="008D0053"/>
    <w:rsid w:val="008D11D7"/>
    <w:rsid w:val="008D145A"/>
    <w:rsid w:val="008D1D09"/>
    <w:rsid w:val="008D1D55"/>
    <w:rsid w:val="008D30A2"/>
    <w:rsid w:val="008D426E"/>
    <w:rsid w:val="008D42ED"/>
    <w:rsid w:val="008D45EE"/>
    <w:rsid w:val="008D4CE7"/>
    <w:rsid w:val="008D5BFE"/>
    <w:rsid w:val="008D5F45"/>
    <w:rsid w:val="008D7FAE"/>
    <w:rsid w:val="008E00EF"/>
    <w:rsid w:val="008E0A6A"/>
    <w:rsid w:val="008E0CA5"/>
    <w:rsid w:val="008E0DAB"/>
    <w:rsid w:val="008E1119"/>
    <w:rsid w:val="008E1B08"/>
    <w:rsid w:val="008E1BEB"/>
    <w:rsid w:val="008E213A"/>
    <w:rsid w:val="008E296E"/>
    <w:rsid w:val="008E3343"/>
    <w:rsid w:val="008E3CD4"/>
    <w:rsid w:val="008E3FFE"/>
    <w:rsid w:val="008E5987"/>
    <w:rsid w:val="008E5F57"/>
    <w:rsid w:val="008E6632"/>
    <w:rsid w:val="008E6E51"/>
    <w:rsid w:val="008E71A3"/>
    <w:rsid w:val="008F0256"/>
    <w:rsid w:val="008F08F7"/>
    <w:rsid w:val="008F09F1"/>
    <w:rsid w:val="008F0B02"/>
    <w:rsid w:val="008F0FE3"/>
    <w:rsid w:val="008F1233"/>
    <w:rsid w:val="008F1762"/>
    <w:rsid w:val="008F3395"/>
    <w:rsid w:val="008F3D8F"/>
    <w:rsid w:val="008F4FC2"/>
    <w:rsid w:val="008F581B"/>
    <w:rsid w:val="008F64E9"/>
    <w:rsid w:val="008F6839"/>
    <w:rsid w:val="008F7F88"/>
    <w:rsid w:val="009002C3"/>
    <w:rsid w:val="009005AB"/>
    <w:rsid w:val="00900AEB"/>
    <w:rsid w:val="00901950"/>
    <w:rsid w:val="00901F6A"/>
    <w:rsid w:val="009037E1"/>
    <w:rsid w:val="00903816"/>
    <w:rsid w:val="00904234"/>
    <w:rsid w:val="00904238"/>
    <w:rsid w:val="00904B93"/>
    <w:rsid w:val="0090541A"/>
    <w:rsid w:val="00905568"/>
    <w:rsid w:val="00906207"/>
    <w:rsid w:val="00906728"/>
    <w:rsid w:val="00906CED"/>
    <w:rsid w:val="00911234"/>
    <w:rsid w:val="00911849"/>
    <w:rsid w:val="00911A3B"/>
    <w:rsid w:val="00911CAF"/>
    <w:rsid w:val="00912281"/>
    <w:rsid w:val="00912311"/>
    <w:rsid w:val="00912DBB"/>
    <w:rsid w:val="00913505"/>
    <w:rsid w:val="00913601"/>
    <w:rsid w:val="00913D96"/>
    <w:rsid w:val="00914B9D"/>
    <w:rsid w:val="00914F86"/>
    <w:rsid w:val="009169DC"/>
    <w:rsid w:val="00916AFD"/>
    <w:rsid w:val="009171A9"/>
    <w:rsid w:val="0091739E"/>
    <w:rsid w:val="009178F3"/>
    <w:rsid w:val="009205B4"/>
    <w:rsid w:val="0092070F"/>
    <w:rsid w:val="009208BC"/>
    <w:rsid w:val="009211F3"/>
    <w:rsid w:val="00921859"/>
    <w:rsid w:val="00922DE4"/>
    <w:rsid w:val="009234E3"/>
    <w:rsid w:val="0092371C"/>
    <w:rsid w:val="00923D4A"/>
    <w:rsid w:val="00923FA7"/>
    <w:rsid w:val="00924075"/>
    <w:rsid w:val="009243BA"/>
    <w:rsid w:val="00924AB2"/>
    <w:rsid w:val="00924D55"/>
    <w:rsid w:val="00924FA2"/>
    <w:rsid w:val="00925263"/>
    <w:rsid w:val="009257E6"/>
    <w:rsid w:val="009259EE"/>
    <w:rsid w:val="00926340"/>
    <w:rsid w:val="00926766"/>
    <w:rsid w:val="009272CA"/>
    <w:rsid w:val="00930393"/>
    <w:rsid w:val="0093071C"/>
    <w:rsid w:val="009307AC"/>
    <w:rsid w:val="00930E7E"/>
    <w:rsid w:val="00931433"/>
    <w:rsid w:val="009325BF"/>
    <w:rsid w:val="00932845"/>
    <w:rsid w:val="00932F48"/>
    <w:rsid w:val="00933391"/>
    <w:rsid w:val="00933CAE"/>
    <w:rsid w:val="0093401A"/>
    <w:rsid w:val="00934BA7"/>
    <w:rsid w:val="00934DBD"/>
    <w:rsid w:val="009353E8"/>
    <w:rsid w:val="009362D1"/>
    <w:rsid w:val="00936765"/>
    <w:rsid w:val="00936783"/>
    <w:rsid w:val="00936CFF"/>
    <w:rsid w:val="00937A85"/>
    <w:rsid w:val="00940068"/>
    <w:rsid w:val="00940A58"/>
    <w:rsid w:val="00940EF1"/>
    <w:rsid w:val="009426AB"/>
    <w:rsid w:val="00942C10"/>
    <w:rsid w:val="00943012"/>
    <w:rsid w:val="009433CC"/>
    <w:rsid w:val="00943496"/>
    <w:rsid w:val="00943BB8"/>
    <w:rsid w:val="00943C72"/>
    <w:rsid w:val="00943CC5"/>
    <w:rsid w:val="009443C3"/>
    <w:rsid w:val="009443E6"/>
    <w:rsid w:val="00944B5D"/>
    <w:rsid w:val="00944B84"/>
    <w:rsid w:val="00944C86"/>
    <w:rsid w:val="00944D85"/>
    <w:rsid w:val="00944FD1"/>
    <w:rsid w:val="00945ABE"/>
    <w:rsid w:val="00946A3A"/>
    <w:rsid w:val="00946CB0"/>
    <w:rsid w:val="00946EEA"/>
    <w:rsid w:val="009471EA"/>
    <w:rsid w:val="009474C2"/>
    <w:rsid w:val="00947C94"/>
    <w:rsid w:val="00947CA2"/>
    <w:rsid w:val="00947FD7"/>
    <w:rsid w:val="009506FC"/>
    <w:rsid w:val="00950973"/>
    <w:rsid w:val="00951156"/>
    <w:rsid w:val="00951B91"/>
    <w:rsid w:val="00952651"/>
    <w:rsid w:val="009528BE"/>
    <w:rsid w:val="00952A72"/>
    <w:rsid w:val="0095345F"/>
    <w:rsid w:val="00953B3E"/>
    <w:rsid w:val="00953E3A"/>
    <w:rsid w:val="00953F59"/>
    <w:rsid w:val="009543AB"/>
    <w:rsid w:val="0095457E"/>
    <w:rsid w:val="0095471A"/>
    <w:rsid w:val="0095525B"/>
    <w:rsid w:val="00955979"/>
    <w:rsid w:val="00955EAC"/>
    <w:rsid w:val="00956006"/>
    <w:rsid w:val="00956167"/>
    <w:rsid w:val="0095688F"/>
    <w:rsid w:val="00957641"/>
    <w:rsid w:val="00957D5C"/>
    <w:rsid w:val="00960627"/>
    <w:rsid w:val="00960638"/>
    <w:rsid w:val="0096077B"/>
    <w:rsid w:val="00960F36"/>
    <w:rsid w:val="009618BC"/>
    <w:rsid w:val="00961BC2"/>
    <w:rsid w:val="00962A39"/>
    <w:rsid w:val="00963331"/>
    <w:rsid w:val="009635E8"/>
    <w:rsid w:val="009637E7"/>
    <w:rsid w:val="0096497B"/>
    <w:rsid w:val="00965980"/>
    <w:rsid w:val="009660C6"/>
    <w:rsid w:val="00966FE7"/>
    <w:rsid w:val="00967504"/>
    <w:rsid w:val="0096754E"/>
    <w:rsid w:val="009679A6"/>
    <w:rsid w:val="0097063F"/>
    <w:rsid w:val="00970D79"/>
    <w:rsid w:val="009712CC"/>
    <w:rsid w:val="009717D5"/>
    <w:rsid w:val="0097220D"/>
    <w:rsid w:val="00972893"/>
    <w:rsid w:val="00973106"/>
    <w:rsid w:val="00973353"/>
    <w:rsid w:val="00973D6F"/>
    <w:rsid w:val="00973E2A"/>
    <w:rsid w:val="00974676"/>
    <w:rsid w:val="0097492F"/>
    <w:rsid w:val="00975465"/>
    <w:rsid w:val="00975974"/>
    <w:rsid w:val="00975B4C"/>
    <w:rsid w:val="00975DD7"/>
    <w:rsid w:val="00975E64"/>
    <w:rsid w:val="00975FE2"/>
    <w:rsid w:val="009779AE"/>
    <w:rsid w:val="00977B9A"/>
    <w:rsid w:val="00980C62"/>
    <w:rsid w:val="0098115E"/>
    <w:rsid w:val="009817AC"/>
    <w:rsid w:val="00981911"/>
    <w:rsid w:val="009822BF"/>
    <w:rsid w:val="00982445"/>
    <w:rsid w:val="00982684"/>
    <w:rsid w:val="00982B15"/>
    <w:rsid w:val="00982B27"/>
    <w:rsid w:val="00983179"/>
    <w:rsid w:val="00983539"/>
    <w:rsid w:val="0098366D"/>
    <w:rsid w:val="009838DD"/>
    <w:rsid w:val="00983ACE"/>
    <w:rsid w:val="00983EC9"/>
    <w:rsid w:val="00984D3A"/>
    <w:rsid w:val="009851C7"/>
    <w:rsid w:val="009855C5"/>
    <w:rsid w:val="00985EC0"/>
    <w:rsid w:val="00985F52"/>
    <w:rsid w:val="00986306"/>
    <w:rsid w:val="00986E93"/>
    <w:rsid w:val="00987691"/>
    <w:rsid w:val="00987D14"/>
    <w:rsid w:val="00987E91"/>
    <w:rsid w:val="009904D3"/>
    <w:rsid w:val="00990D26"/>
    <w:rsid w:val="009914E1"/>
    <w:rsid w:val="00991933"/>
    <w:rsid w:val="009922F6"/>
    <w:rsid w:val="009924BD"/>
    <w:rsid w:val="0099365C"/>
    <w:rsid w:val="009938A2"/>
    <w:rsid w:val="00993B5D"/>
    <w:rsid w:val="00993EFA"/>
    <w:rsid w:val="00994774"/>
    <w:rsid w:val="009950CC"/>
    <w:rsid w:val="00995113"/>
    <w:rsid w:val="0099593B"/>
    <w:rsid w:val="00995EB2"/>
    <w:rsid w:val="00996932"/>
    <w:rsid w:val="00996BDF"/>
    <w:rsid w:val="0099742C"/>
    <w:rsid w:val="0099754F"/>
    <w:rsid w:val="00997741"/>
    <w:rsid w:val="009977B8"/>
    <w:rsid w:val="00997B19"/>
    <w:rsid w:val="009A061D"/>
    <w:rsid w:val="009A110B"/>
    <w:rsid w:val="009A185D"/>
    <w:rsid w:val="009A1D66"/>
    <w:rsid w:val="009A229D"/>
    <w:rsid w:val="009A2338"/>
    <w:rsid w:val="009A259E"/>
    <w:rsid w:val="009A2D63"/>
    <w:rsid w:val="009A2E58"/>
    <w:rsid w:val="009A2F95"/>
    <w:rsid w:val="009A3A3F"/>
    <w:rsid w:val="009A3C35"/>
    <w:rsid w:val="009A5894"/>
    <w:rsid w:val="009A6019"/>
    <w:rsid w:val="009A60F2"/>
    <w:rsid w:val="009A6E14"/>
    <w:rsid w:val="009A734A"/>
    <w:rsid w:val="009A7619"/>
    <w:rsid w:val="009A76C8"/>
    <w:rsid w:val="009A7795"/>
    <w:rsid w:val="009A7989"/>
    <w:rsid w:val="009A79F8"/>
    <w:rsid w:val="009A7FBB"/>
    <w:rsid w:val="009B038C"/>
    <w:rsid w:val="009B167F"/>
    <w:rsid w:val="009B2211"/>
    <w:rsid w:val="009B37D6"/>
    <w:rsid w:val="009B39F4"/>
    <w:rsid w:val="009B3F16"/>
    <w:rsid w:val="009B460C"/>
    <w:rsid w:val="009B462F"/>
    <w:rsid w:val="009B4C8E"/>
    <w:rsid w:val="009B66A3"/>
    <w:rsid w:val="009B7BC9"/>
    <w:rsid w:val="009C02E1"/>
    <w:rsid w:val="009C03D4"/>
    <w:rsid w:val="009C192E"/>
    <w:rsid w:val="009C1E4B"/>
    <w:rsid w:val="009C1ED7"/>
    <w:rsid w:val="009C1F84"/>
    <w:rsid w:val="009C2131"/>
    <w:rsid w:val="009C2187"/>
    <w:rsid w:val="009C35C0"/>
    <w:rsid w:val="009C3614"/>
    <w:rsid w:val="009C3900"/>
    <w:rsid w:val="009C3BA8"/>
    <w:rsid w:val="009C52C5"/>
    <w:rsid w:val="009C5397"/>
    <w:rsid w:val="009C58CC"/>
    <w:rsid w:val="009C5B02"/>
    <w:rsid w:val="009C5C3B"/>
    <w:rsid w:val="009C65EF"/>
    <w:rsid w:val="009C7777"/>
    <w:rsid w:val="009C7FC9"/>
    <w:rsid w:val="009D1359"/>
    <w:rsid w:val="009D190D"/>
    <w:rsid w:val="009D24E9"/>
    <w:rsid w:val="009D250B"/>
    <w:rsid w:val="009D3396"/>
    <w:rsid w:val="009D387F"/>
    <w:rsid w:val="009D3CBA"/>
    <w:rsid w:val="009D4221"/>
    <w:rsid w:val="009D48F1"/>
    <w:rsid w:val="009D57D0"/>
    <w:rsid w:val="009E00FE"/>
    <w:rsid w:val="009E02C1"/>
    <w:rsid w:val="009E03B0"/>
    <w:rsid w:val="009E04EC"/>
    <w:rsid w:val="009E1CF0"/>
    <w:rsid w:val="009E2096"/>
    <w:rsid w:val="009E2F13"/>
    <w:rsid w:val="009E36CD"/>
    <w:rsid w:val="009E3994"/>
    <w:rsid w:val="009E4C5F"/>
    <w:rsid w:val="009E4DDB"/>
    <w:rsid w:val="009E513F"/>
    <w:rsid w:val="009E573A"/>
    <w:rsid w:val="009E6E5C"/>
    <w:rsid w:val="009E7268"/>
    <w:rsid w:val="009F0B19"/>
    <w:rsid w:val="009F1059"/>
    <w:rsid w:val="009F17BB"/>
    <w:rsid w:val="009F1FB5"/>
    <w:rsid w:val="009F2148"/>
    <w:rsid w:val="009F266F"/>
    <w:rsid w:val="009F275B"/>
    <w:rsid w:val="009F2792"/>
    <w:rsid w:val="009F2980"/>
    <w:rsid w:val="009F2B4C"/>
    <w:rsid w:val="009F3A56"/>
    <w:rsid w:val="009F3D49"/>
    <w:rsid w:val="009F40DC"/>
    <w:rsid w:val="009F4CF0"/>
    <w:rsid w:val="009F4DF0"/>
    <w:rsid w:val="009F56D7"/>
    <w:rsid w:val="009F5922"/>
    <w:rsid w:val="009F5D86"/>
    <w:rsid w:val="009F6FC3"/>
    <w:rsid w:val="009F71C3"/>
    <w:rsid w:val="009F7A37"/>
    <w:rsid w:val="009F7C77"/>
    <w:rsid w:val="00A00433"/>
    <w:rsid w:val="00A0069C"/>
    <w:rsid w:val="00A016CB"/>
    <w:rsid w:val="00A019C6"/>
    <w:rsid w:val="00A023D4"/>
    <w:rsid w:val="00A0326D"/>
    <w:rsid w:val="00A04862"/>
    <w:rsid w:val="00A049AD"/>
    <w:rsid w:val="00A04A0F"/>
    <w:rsid w:val="00A04B9B"/>
    <w:rsid w:val="00A04C38"/>
    <w:rsid w:val="00A04C43"/>
    <w:rsid w:val="00A04DC3"/>
    <w:rsid w:val="00A0538E"/>
    <w:rsid w:val="00A055ED"/>
    <w:rsid w:val="00A05B66"/>
    <w:rsid w:val="00A062EF"/>
    <w:rsid w:val="00A06383"/>
    <w:rsid w:val="00A06753"/>
    <w:rsid w:val="00A076C5"/>
    <w:rsid w:val="00A07DB0"/>
    <w:rsid w:val="00A07FF0"/>
    <w:rsid w:val="00A1088A"/>
    <w:rsid w:val="00A10E75"/>
    <w:rsid w:val="00A1159E"/>
    <w:rsid w:val="00A11BE8"/>
    <w:rsid w:val="00A11EBD"/>
    <w:rsid w:val="00A121A7"/>
    <w:rsid w:val="00A12248"/>
    <w:rsid w:val="00A14E35"/>
    <w:rsid w:val="00A152EE"/>
    <w:rsid w:val="00A15638"/>
    <w:rsid w:val="00A1591D"/>
    <w:rsid w:val="00A15B72"/>
    <w:rsid w:val="00A17391"/>
    <w:rsid w:val="00A17F65"/>
    <w:rsid w:val="00A20518"/>
    <w:rsid w:val="00A207D2"/>
    <w:rsid w:val="00A20A11"/>
    <w:rsid w:val="00A20CD4"/>
    <w:rsid w:val="00A21096"/>
    <w:rsid w:val="00A214B8"/>
    <w:rsid w:val="00A21715"/>
    <w:rsid w:val="00A21932"/>
    <w:rsid w:val="00A222F9"/>
    <w:rsid w:val="00A23364"/>
    <w:rsid w:val="00A254A6"/>
    <w:rsid w:val="00A25DE4"/>
    <w:rsid w:val="00A2658D"/>
    <w:rsid w:val="00A269F5"/>
    <w:rsid w:val="00A273F5"/>
    <w:rsid w:val="00A27796"/>
    <w:rsid w:val="00A27F2B"/>
    <w:rsid w:val="00A30125"/>
    <w:rsid w:val="00A3020A"/>
    <w:rsid w:val="00A30488"/>
    <w:rsid w:val="00A30722"/>
    <w:rsid w:val="00A30E13"/>
    <w:rsid w:val="00A30E48"/>
    <w:rsid w:val="00A31C9B"/>
    <w:rsid w:val="00A31D55"/>
    <w:rsid w:val="00A31D83"/>
    <w:rsid w:val="00A31D93"/>
    <w:rsid w:val="00A320B9"/>
    <w:rsid w:val="00A320F2"/>
    <w:rsid w:val="00A32A09"/>
    <w:rsid w:val="00A32CA2"/>
    <w:rsid w:val="00A3329D"/>
    <w:rsid w:val="00A33676"/>
    <w:rsid w:val="00A33D26"/>
    <w:rsid w:val="00A33E51"/>
    <w:rsid w:val="00A33FC9"/>
    <w:rsid w:val="00A3427F"/>
    <w:rsid w:val="00A344ED"/>
    <w:rsid w:val="00A34829"/>
    <w:rsid w:val="00A35280"/>
    <w:rsid w:val="00A35725"/>
    <w:rsid w:val="00A35C24"/>
    <w:rsid w:val="00A35CAD"/>
    <w:rsid w:val="00A35CE0"/>
    <w:rsid w:val="00A37020"/>
    <w:rsid w:val="00A3708B"/>
    <w:rsid w:val="00A370A8"/>
    <w:rsid w:val="00A373E2"/>
    <w:rsid w:val="00A37592"/>
    <w:rsid w:val="00A379E4"/>
    <w:rsid w:val="00A37C30"/>
    <w:rsid w:val="00A4046D"/>
    <w:rsid w:val="00A40D3A"/>
    <w:rsid w:val="00A410B3"/>
    <w:rsid w:val="00A41210"/>
    <w:rsid w:val="00A4161A"/>
    <w:rsid w:val="00A4161C"/>
    <w:rsid w:val="00A41F26"/>
    <w:rsid w:val="00A41FA4"/>
    <w:rsid w:val="00A42ABD"/>
    <w:rsid w:val="00A42B70"/>
    <w:rsid w:val="00A42CEF"/>
    <w:rsid w:val="00A42EAB"/>
    <w:rsid w:val="00A434D4"/>
    <w:rsid w:val="00A436C7"/>
    <w:rsid w:val="00A43701"/>
    <w:rsid w:val="00A43C9D"/>
    <w:rsid w:val="00A455CA"/>
    <w:rsid w:val="00A45A80"/>
    <w:rsid w:val="00A46075"/>
    <w:rsid w:val="00A4634C"/>
    <w:rsid w:val="00A463E0"/>
    <w:rsid w:val="00A46B87"/>
    <w:rsid w:val="00A47407"/>
    <w:rsid w:val="00A47FBC"/>
    <w:rsid w:val="00A523AD"/>
    <w:rsid w:val="00A5270C"/>
    <w:rsid w:val="00A52E5F"/>
    <w:rsid w:val="00A53324"/>
    <w:rsid w:val="00A537A3"/>
    <w:rsid w:val="00A54054"/>
    <w:rsid w:val="00A5415B"/>
    <w:rsid w:val="00A54D0A"/>
    <w:rsid w:val="00A553E9"/>
    <w:rsid w:val="00A559F5"/>
    <w:rsid w:val="00A55F0D"/>
    <w:rsid w:val="00A560FB"/>
    <w:rsid w:val="00A561CE"/>
    <w:rsid w:val="00A56284"/>
    <w:rsid w:val="00A5785D"/>
    <w:rsid w:val="00A57D22"/>
    <w:rsid w:val="00A60072"/>
    <w:rsid w:val="00A60399"/>
    <w:rsid w:val="00A607E1"/>
    <w:rsid w:val="00A60890"/>
    <w:rsid w:val="00A60B29"/>
    <w:rsid w:val="00A6124D"/>
    <w:rsid w:val="00A6234F"/>
    <w:rsid w:val="00A62D66"/>
    <w:rsid w:val="00A63962"/>
    <w:rsid w:val="00A64CB3"/>
    <w:rsid w:val="00A64E76"/>
    <w:rsid w:val="00A65D19"/>
    <w:rsid w:val="00A65D3B"/>
    <w:rsid w:val="00A66CA1"/>
    <w:rsid w:val="00A66F16"/>
    <w:rsid w:val="00A673E6"/>
    <w:rsid w:val="00A674F9"/>
    <w:rsid w:val="00A67690"/>
    <w:rsid w:val="00A67AF3"/>
    <w:rsid w:val="00A70130"/>
    <w:rsid w:val="00A705BE"/>
    <w:rsid w:val="00A70981"/>
    <w:rsid w:val="00A71273"/>
    <w:rsid w:val="00A71301"/>
    <w:rsid w:val="00A71895"/>
    <w:rsid w:val="00A71DC8"/>
    <w:rsid w:val="00A7201F"/>
    <w:rsid w:val="00A725A3"/>
    <w:rsid w:val="00A725D6"/>
    <w:rsid w:val="00A743F8"/>
    <w:rsid w:val="00A748F2"/>
    <w:rsid w:val="00A7519A"/>
    <w:rsid w:val="00A757AC"/>
    <w:rsid w:val="00A766B8"/>
    <w:rsid w:val="00A77220"/>
    <w:rsid w:val="00A772C6"/>
    <w:rsid w:val="00A80F48"/>
    <w:rsid w:val="00A81FA8"/>
    <w:rsid w:val="00A82BA3"/>
    <w:rsid w:val="00A82F4D"/>
    <w:rsid w:val="00A83123"/>
    <w:rsid w:val="00A83378"/>
    <w:rsid w:val="00A8341C"/>
    <w:rsid w:val="00A84937"/>
    <w:rsid w:val="00A84D32"/>
    <w:rsid w:val="00A85FEC"/>
    <w:rsid w:val="00A86127"/>
    <w:rsid w:val="00A901B7"/>
    <w:rsid w:val="00A90917"/>
    <w:rsid w:val="00A915CF"/>
    <w:rsid w:val="00A91895"/>
    <w:rsid w:val="00A91BD9"/>
    <w:rsid w:val="00A91BDE"/>
    <w:rsid w:val="00A922F3"/>
    <w:rsid w:val="00A92BB3"/>
    <w:rsid w:val="00A92FF2"/>
    <w:rsid w:val="00A93226"/>
    <w:rsid w:val="00A9495D"/>
    <w:rsid w:val="00A95EC2"/>
    <w:rsid w:val="00A9643F"/>
    <w:rsid w:val="00A96BE9"/>
    <w:rsid w:val="00A9715B"/>
    <w:rsid w:val="00A9784E"/>
    <w:rsid w:val="00A97899"/>
    <w:rsid w:val="00A97C65"/>
    <w:rsid w:val="00A97F9F"/>
    <w:rsid w:val="00AA0333"/>
    <w:rsid w:val="00AA0AB3"/>
    <w:rsid w:val="00AA0AFF"/>
    <w:rsid w:val="00AA141B"/>
    <w:rsid w:val="00AA1581"/>
    <w:rsid w:val="00AA268B"/>
    <w:rsid w:val="00AA2816"/>
    <w:rsid w:val="00AA297D"/>
    <w:rsid w:val="00AA30D8"/>
    <w:rsid w:val="00AA319A"/>
    <w:rsid w:val="00AA422C"/>
    <w:rsid w:val="00AA441F"/>
    <w:rsid w:val="00AA4875"/>
    <w:rsid w:val="00AA5105"/>
    <w:rsid w:val="00AA5132"/>
    <w:rsid w:val="00AA53D5"/>
    <w:rsid w:val="00AA565F"/>
    <w:rsid w:val="00AA7E6A"/>
    <w:rsid w:val="00AB0045"/>
    <w:rsid w:val="00AB143B"/>
    <w:rsid w:val="00AB1573"/>
    <w:rsid w:val="00AB15D2"/>
    <w:rsid w:val="00AB1EE6"/>
    <w:rsid w:val="00AB2954"/>
    <w:rsid w:val="00AB2A00"/>
    <w:rsid w:val="00AB2D94"/>
    <w:rsid w:val="00AB33CF"/>
    <w:rsid w:val="00AB394D"/>
    <w:rsid w:val="00AB397F"/>
    <w:rsid w:val="00AB40EE"/>
    <w:rsid w:val="00AB439A"/>
    <w:rsid w:val="00AB4400"/>
    <w:rsid w:val="00AB49BD"/>
    <w:rsid w:val="00AB4C89"/>
    <w:rsid w:val="00AB4D70"/>
    <w:rsid w:val="00AB4D98"/>
    <w:rsid w:val="00AB4DBD"/>
    <w:rsid w:val="00AB5674"/>
    <w:rsid w:val="00AB5B7A"/>
    <w:rsid w:val="00AB5D9A"/>
    <w:rsid w:val="00AB77A9"/>
    <w:rsid w:val="00AB7F56"/>
    <w:rsid w:val="00AC07FF"/>
    <w:rsid w:val="00AC0CC0"/>
    <w:rsid w:val="00AC1582"/>
    <w:rsid w:val="00AC1F4B"/>
    <w:rsid w:val="00AC2714"/>
    <w:rsid w:val="00AC32C7"/>
    <w:rsid w:val="00AC37E6"/>
    <w:rsid w:val="00AC3A41"/>
    <w:rsid w:val="00AC3B79"/>
    <w:rsid w:val="00AC42F7"/>
    <w:rsid w:val="00AC4388"/>
    <w:rsid w:val="00AC48B9"/>
    <w:rsid w:val="00AC4BFD"/>
    <w:rsid w:val="00AC4D48"/>
    <w:rsid w:val="00AC4DF3"/>
    <w:rsid w:val="00AC4EDB"/>
    <w:rsid w:val="00AC6AFA"/>
    <w:rsid w:val="00AC73A6"/>
    <w:rsid w:val="00AC7596"/>
    <w:rsid w:val="00AC767D"/>
    <w:rsid w:val="00AD1719"/>
    <w:rsid w:val="00AD1803"/>
    <w:rsid w:val="00AD24EE"/>
    <w:rsid w:val="00AD2753"/>
    <w:rsid w:val="00AD2EE9"/>
    <w:rsid w:val="00AD3C0F"/>
    <w:rsid w:val="00AD45BB"/>
    <w:rsid w:val="00AD4CF0"/>
    <w:rsid w:val="00AD521E"/>
    <w:rsid w:val="00AD5308"/>
    <w:rsid w:val="00AD5743"/>
    <w:rsid w:val="00AD5FC1"/>
    <w:rsid w:val="00AD60B6"/>
    <w:rsid w:val="00AD66D3"/>
    <w:rsid w:val="00AD6FD9"/>
    <w:rsid w:val="00AD735E"/>
    <w:rsid w:val="00AD7622"/>
    <w:rsid w:val="00AD76B2"/>
    <w:rsid w:val="00AD7EEB"/>
    <w:rsid w:val="00AE0887"/>
    <w:rsid w:val="00AE152F"/>
    <w:rsid w:val="00AE156F"/>
    <w:rsid w:val="00AE1C9E"/>
    <w:rsid w:val="00AE21EC"/>
    <w:rsid w:val="00AE2F55"/>
    <w:rsid w:val="00AE3611"/>
    <w:rsid w:val="00AE4D34"/>
    <w:rsid w:val="00AE4E94"/>
    <w:rsid w:val="00AE528D"/>
    <w:rsid w:val="00AE56CE"/>
    <w:rsid w:val="00AE5DB7"/>
    <w:rsid w:val="00AE617E"/>
    <w:rsid w:val="00AE64C7"/>
    <w:rsid w:val="00AE6B96"/>
    <w:rsid w:val="00AE6D1C"/>
    <w:rsid w:val="00AE7A9E"/>
    <w:rsid w:val="00AF0738"/>
    <w:rsid w:val="00AF0882"/>
    <w:rsid w:val="00AF08B2"/>
    <w:rsid w:val="00AF1866"/>
    <w:rsid w:val="00AF2400"/>
    <w:rsid w:val="00AF2D1F"/>
    <w:rsid w:val="00AF2DD0"/>
    <w:rsid w:val="00AF31AC"/>
    <w:rsid w:val="00AF31DD"/>
    <w:rsid w:val="00AF37B9"/>
    <w:rsid w:val="00AF51AA"/>
    <w:rsid w:val="00AF6CB8"/>
    <w:rsid w:val="00AF6CD7"/>
    <w:rsid w:val="00AF6D33"/>
    <w:rsid w:val="00AF799B"/>
    <w:rsid w:val="00AF7E5E"/>
    <w:rsid w:val="00B00827"/>
    <w:rsid w:val="00B009D1"/>
    <w:rsid w:val="00B00C91"/>
    <w:rsid w:val="00B01B53"/>
    <w:rsid w:val="00B01BF4"/>
    <w:rsid w:val="00B0223A"/>
    <w:rsid w:val="00B0284C"/>
    <w:rsid w:val="00B031E4"/>
    <w:rsid w:val="00B03697"/>
    <w:rsid w:val="00B04B7C"/>
    <w:rsid w:val="00B04CF1"/>
    <w:rsid w:val="00B057B8"/>
    <w:rsid w:val="00B05E24"/>
    <w:rsid w:val="00B06206"/>
    <w:rsid w:val="00B06F2C"/>
    <w:rsid w:val="00B070B9"/>
    <w:rsid w:val="00B076BB"/>
    <w:rsid w:val="00B07A10"/>
    <w:rsid w:val="00B07B1E"/>
    <w:rsid w:val="00B07C4A"/>
    <w:rsid w:val="00B1081F"/>
    <w:rsid w:val="00B10D62"/>
    <w:rsid w:val="00B10F23"/>
    <w:rsid w:val="00B1175F"/>
    <w:rsid w:val="00B11F5E"/>
    <w:rsid w:val="00B1270F"/>
    <w:rsid w:val="00B1298E"/>
    <w:rsid w:val="00B12D7F"/>
    <w:rsid w:val="00B12EC6"/>
    <w:rsid w:val="00B1425D"/>
    <w:rsid w:val="00B14C4F"/>
    <w:rsid w:val="00B151E0"/>
    <w:rsid w:val="00B15768"/>
    <w:rsid w:val="00B15BAE"/>
    <w:rsid w:val="00B161F3"/>
    <w:rsid w:val="00B16304"/>
    <w:rsid w:val="00B169E8"/>
    <w:rsid w:val="00B178C3"/>
    <w:rsid w:val="00B17C12"/>
    <w:rsid w:val="00B21A4C"/>
    <w:rsid w:val="00B22693"/>
    <w:rsid w:val="00B22B0A"/>
    <w:rsid w:val="00B23478"/>
    <w:rsid w:val="00B242D6"/>
    <w:rsid w:val="00B251A3"/>
    <w:rsid w:val="00B252D7"/>
    <w:rsid w:val="00B25CF3"/>
    <w:rsid w:val="00B2690B"/>
    <w:rsid w:val="00B26F95"/>
    <w:rsid w:val="00B26FC7"/>
    <w:rsid w:val="00B27242"/>
    <w:rsid w:val="00B273EF"/>
    <w:rsid w:val="00B275EB"/>
    <w:rsid w:val="00B27B97"/>
    <w:rsid w:val="00B27CEA"/>
    <w:rsid w:val="00B27E0D"/>
    <w:rsid w:val="00B3008E"/>
    <w:rsid w:val="00B301A4"/>
    <w:rsid w:val="00B3020C"/>
    <w:rsid w:val="00B310A5"/>
    <w:rsid w:val="00B318F2"/>
    <w:rsid w:val="00B323D5"/>
    <w:rsid w:val="00B34D46"/>
    <w:rsid w:val="00B35317"/>
    <w:rsid w:val="00B35B32"/>
    <w:rsid w:val="00B35CF7"/>
    <w:rsid w:val="00B35D39"/>
    <w:rsid w:val="00B36AE2"/>
    <w:rsid w:val="00B370A0"/>
    <w:rsid w:val="00B37248"/>
    <w:rsid w:val="00B375FA"/>
    <w:rsid w:val="00B37977"/>
    <w:rsid w:val="00B4013D"/>
    <w:rsid w:val="00B40409"/>
    <w:rsid w:val="00B4106E"/>
    <w:rsid w:val="00B410C1"/>
    <w:rsid w:val="00B419FB"/>
    <w:rsid w:val="00B4253E"/>
    <w:rsid w:val="00B42605"/>
    <w:rsid w:val="00B4260D"/>
    <w:rsid w:val="00B4271D"/>
    <w:rsid w:val="00B436A1"/>
    <w:rsid w:val="00B43A32"/>
    <w:rsid w:val="00B44832"/>
    <w:rsid w:val="00B44F20"/>
    <w:rsid w:val="00B456E5"/>
    <w:rsid w:val="00B459FF"/>
    <w:rsid w:val="00B462CB"/>
    <w:rsid w:val="00B4642F"/>
    <w:rsid w:val="00B4656D"/>
    <w:rsid w:val="00B46720"/>
    <w:rsid w:val="00B467D8"/>
    <w:rsid w:val="00B46AB2"/>
    <w:rsid w:val="00B47173"/>
    <w:rsid w:val="00B4791B"/>
    <w:rsid w:val="00B47FEA"/>
    <w:rsid w:val="00B47FF1"/>
    <w:rsid w:val="00B5079E"/>
    <w:rsid w:val="00B50914"/>
    <w:rsid w:val="00B50E08"/>
    <w:rsid w:val="00B50FC6"/>
    <w:rsid w:val="00B5154C"/>
    <w:rsid w:val="00B515C0"/>
    <w:rsid w:val="00B517DD"/>
    <w:rsid w:val="00B519D9"/>
    <w:rsid w:val="00B51B90"/>
    <w:rsid w:val="00B51B91"/>
    <w:rsid w:val="00B520F2"/>
    <w:rsid w:val="00B52A14"/>
    <w:rsid w:val="00B52CF2"/>
    <w:rsid w:val="00B53AF6"/>
    <w:rsid w:val="00B53D4D"/>
    <w:rsid w:val="00B53EDB"/>
    <w:rsid w:val="00B53F63"/>
    <w:rsid w:val="00B5407C"/>
    <w:rsid w:val="00B542DF"/>
    <w:rsid w:val="00B5473C"/>
    <w:rsid w:val="00B55868"/>
    <w:rsid w:val="00B562EE"/>
    <w:rsid w:val="00B56630"/>
    <w:rsid w:val="00B56691"/>
    <w:rsid w:val="00B56794"/>
    <w:rsid w:val="00B57B41"/>
    <w:rsid w:val="00B57E93"/>
    <w:rsid w:val="00B610F0"/>
    <w:rsid w:val="00B62571"/>
    <w:rsid w:val="00B62E79"/>
    <w:rsid w:val="00B6360C"/>
    <w:rsid w:val="00B63968"/>
    <w:rsid w:val="00B63FCA"/>
    <w:rsid w:val="00B64A25"/>
    <w:rsid w:val="00B65FA9"/>
    <w:rsid w:val="00B65FAA"/>
    <w:rsid w:val="00B66129"/>
    <w:rsid w:val="00B66898"/>
    <w:rsid w:val="00B67B8A"/>
    <w:rsid w:val="00B7017E"/>
    <w:rsid w:val="00B701F7"/>
    <w:rsid w:val="00B7032D"/>
    <w:rsid w:val="00B71089"/>
    <w:rsid w:val="00B714DC"/>
    <w:rsid w:val="00B71C39"/>
    <w:rsid w:val="00B71DEF"/>
    <w:rsid w:val="00B71E37"/>
    <w:rsid w:val="00B71FC3"/>
    <w:rsid w:val="00B73E96"/>
    <w:rsid w:val="00B73FA6"/>
    <w:rsid w:val="00B746A0"/>
    <w:rsid w:val="00B74C2B"/>
    <w:rsid w:val="00B74C92"/>
    <w:rsid w:val="00B755DF"/>
    <w:rsid w:val="00B75A6C"/>
    <w:rsid w:val="00B75CE6"/>
    <w:rsid w:val="00B767FB"/>
    <w:rsid w:val="00B76F6D"/>
    <w:rsid w:val="00B76FF8"/>
    <w:rsid w:val="00B777CD"/>
    <w:rsid w:val="00B80204"/>
    <w:rsid w:val="00B8069B"/>
    <w:rsid w:val="00B81E93"/>
    <w:rsid w:val="00B82A8A"/>
    <w:rsid w:val="00B83048"/>
    <w:rsid w:val="00B8326F"/>
    <w:rsid w:val="00B837B5"/>
    <w:rsid w:val="00B83F9D"/>
    <w:rsid w:val="00B840B2"/>
    <w:rsid w:val="00B844F2"/>
    <w:rsid w:val="00B848FC"/>
    <w:rsid w:val="00B856A7"/>
    <w:rsid w:val="00B85C9A"/>
    <w:rsid w:val="00B8621B"/>
    <w:rsid w:val="00B86662"/>
    <w:rsid w:val="00B867AF"/>
    <w:rsid w:val="00B86C59"/>
    <w:rsid w:val="00B86E89"/>
    <w:rsid w:val="00B878D5"/>
    <w:rsid w:val="00B87AD4"/>
    <w:rsid w:val="00B90999"/>
    <w:rsid w:val="00B90FE0"/>
    <w:rsid w:val="00B91298"/>
    <w:rsid w:val="00B91766"/>
    <w:rsid w:val="00B917B2"/>
    <w:rsid w:val="00B91D24"/>
    <w:rsid w:val="00B91E05"/>
    <w:rsid w:val="00B9210B"/>
    <w:rsid w:val="00B92CD5"/>
    <w:rsid w:val="00B9311E"/>
    <w:rsid w:val="00B933A1"/>
    <w:rsid w:val="00B93580"/>
    <w:rsid w:val="00B93C9D"/>
    <w:rsid w:val="00B93E69"/>
    <w:rsid w:val="00B946CA"/>
    <w:rsid w:val="00B94EE7"/>
    <w:rsid w:val="00B94F00"/>
    <w:rsid w:val="00B95697"/>
    <w:rsid w:val="00B95D85"/>
    <w:rsid w:val="00B96275"/>
    <w:rsid w:val="00B964EF"/>
    <w:rsid w:val="00B96E09"/>
    <w:rsid w:val="00B97320"/>
    <w:rsid w:val="00B977C1"/>
    <w:rsid w:val="00B97D7B"/>
    <w:rsid w:val="00BA0785"/>
    <w:rsid w:val="00BA0BAE"/>
    <w:rsid w:val="00BA178D"/>
    <w:rsid w:val="00BA17C6"/>
    <w:rsid w:val="00BA2F51"/>
    <w:rsid w:val="00BA2FFD"/>
    <w:rsid w:val="00BA414D"/>
    <w:rsid w:val="00BA439C"/>
    <w:rsid w:val="00BA4EF2"/>
    <w:rsid w:val="00BA51F4"/>
    <w:rsid w:val="00BA5C93"/>
    <w:rsid w:val="00BA62A3"/>
    <w:rsid w:val="00BA6551"/>
    <w:rsid w:val="00BA68F4"/>
    <w:rsid w:val="00BA691A"/>
    <w:rsid w:val="00BA6F2C"/>
    <w:rsid w:val="00BA706B"/>
    <w:rsid w:val="00BA7224"/>
    <w:rsid w:val="00BA751A"/>
    <w:rsid w:val="00BA76BC"/>
    <w:rsid w:val="00BB039C"/>
    <w:rsid w:val="00BB0877"/>
    <w:rsid w:val="00BB171C"/>
    <w:rsid w:val="00BB28B8"/>
    <w:rsid w:val="00BB381E"/>
    <w:rsid w:val="00BB3C22"/>
    <w:rsid w:val="00BB4461"/>
    <w:rsid w:val="00BB4594"/>
    <w:rsid w:val="00BB4A7C"/>
    <w:rsid w:val="00BB4E9A"/>
    <w:rsid w:val="00BB521E"/>
    <w:rsid w:val="00BB5579"/>
    <w:rsid w:val="00BB56C8"/>
    <w:rsid w:val="00BB5EE6"/>
    <w:rsid w:val="00BB6D96"/>
    <w:rsid w:val="00BB7BF1"/>
    <w:rsid w:val="00BC04C0"/>
    <w:rsid w:val="00BC0507"/>
    <w:rsid w:val="00BC0C99"/>
    <w:rsid w:val="00BC0CD1"/>
    <w:rsid w:val="00BC0E55"/>
    <w:rsid w:val="00BC1A9F"/>
    <w:rsid w:val="00BC1AE1"/>
    <w:rsid w:val="00BC278C"/>
    <w:rsid w:val="00BC2FDF"/>
    <w:rsid w:val="00BC3183"/>
    <w:rsid w:val="00BC38E9"/>
    <w:rsid w:val="00BC3969"/>
    <w:rsid w:val="00BC532B"/>
    <w:rsid w:val="00BC53B1"/>
    <w:rsid w:val="00BC5775"/>
    <w:rsid w:val="00BC5B0D"/>
    <w:rsid w:val="00BC5C76"/>
    <w:rsid w:val="00BC7529"/>
    <w:rsid w:val="00BC7608"/>
    <w:rsid w:val="00BC7F2F"/>
    <w:rsid w:val="00BD00F9"/>
    <w:rsid w:val="00BD0247"/>
    <w:rsid w:val="00BD0914"/>
    <w:rsid w:val="00BD0A02"/>
    <w:rsid w:val="00BD0C3B"/>
    <w:rsid w:val="00BD0EAC"/>
    <w:rsid w:val="00BD173D"/>
    <w:rsid w:val="00BD19CC"/>
    <w:rsid w:val="00BD1B66"/>
    <w:rsid w:val="00BD246F"/>
    <w:rsid w:val="00BD24F6"/>
    <w:rsid w:val="00BD2A32"/>
    <w:rsid w:val="00BD2FEB"/>
    <w:rsid w:val="00BD32CE"/>
    <w:rsid w:val="00BD3737"/>
    <w:rsid w:val="00BD38FB"/>
    <w:rsid w:val="00BD3ED8"/>
    <w:rsid w:val="00BD3F1C"/>
    <w:rsid w:val="00BD3FE8"/>
    <w:rsid w:val="00BD446B"/>
    <w:rsid w:val="00BD449F"/>
    <w:rsid w:val="00BD45BB"/>
    <w:rsid w:val="00BD46AC"/>
    <w:rsid w:val="00BD4BDE"/>
    <w:rsid w:val="00BD4D15"/>
    <w:rsid w:val="00BD58A9"/>
    <w:rsid w:val="00BD77D8"/>
    <w:rsid w:val="00BD788B"/>
    <w:rsid w:val="00BD7D07"/>
    <w:rsid w:val="00BE076F"/>
    <w:rsid w:val="00BE07F5"/>
    <w:rsid w:val="00BE0F41"/>
    <w:rsid w:val="00BE0F6C"/>
    <w:rsid w:val="00BE1F41"/>
    <w:rsid w:val="00BE28A1"/>
    <w:rsid w:val="00BE2C0E"/>
    <w:rsid w:val="00BE2CCC"/>
    <w:rsid w:val="00BE3606"/>
    <w:rsid w:val="00BE425C"/>
    <w:rsid w:val="00BE45CE"/>
    <w:rsid w:val="00BE4DEA"/>
    <w:rsid w:val="00BE5036"/>
    <w:rsid w:val="00BE5162"/>
    <w:rsid w:val="00BE572B"/>
    <w:rsid w:val="00BE64F6"/>
    <w:rsid w:val="00BE6775"/>
    <w:rsid w:val="00BE6830"/>
    <w:rsid w:val="00BE6C32"/>
    <w:rsid w:val="00BE6D49"/>
    <w:rsid w:val="00BE6FEC"/>
    <w:rsid w:val="00BE7AD1"/>
    <w:rsid w:val="00BE7DD3"/>
    <w:rsid w:val="00BF00F7"/>
    <w:rsid w:val="00BF034C"/>
    <w:rsid w:val="00BF0604"/>
    <w:rsid w:val="00BF0A1A"/>
    <w:rsid w:val="00BF0FA6"/>
    <w:rsid w:val="00BF1017"/>
    <w:rsid w:val="00BF13F5"/>
    <w:rsid w:val="00BF1467"/>
    <w:rsid w:val="00BF1968"/>
    <w:rsid w:val="00BF1E75"/>
    <w:rsid w:val="00BF2485"/>
    <w:rsid w:val="00BF2C3B"/>
    <w:rsid w:val="00BF2C62"/>
    <w:rsid w:val="00BF2D08"/>
    <w:rsid w:val="00BF2EC9"/>
    <w:rsid w:val="00BF43F6"/>
    <w:rsid w:val="00BF44BE"/>
    <w:rsid w:val="00BF4880"/>
    <w:rsid w:val="00BF4BB7"/>
    <w:rsid w:val="00BF525D"/>
    <w:rsid w:val="00BF5E4E"/>
    <w:rsid w:val="00BF5F01"/>
    <w:rsid w:val="00BF6242"/>
    <w:rsid w:val="00BF6514"/>
    <w:rsid w:val="00C00072"/>
    <w:rsid w:val="00C000A7"/>
    <w:rsid w:val="00C01821"/>
    <w:rsid w:val="00C0188F"/>
    <w:rsid w:val="00C026A7"/>
    <w:rsid w:val="00C026D2"/>
    <w:rsid w:val="00C02DD4"/>
    <w:rsid w:val="00C02ECF"/>
    <w:rsid w:val="00C03160"/>
    <w:rsid w:val="00C034C6"/>
    <w:rsid w:val="00C0355C"/>
    <w:rsid w:val="00C0390B"/>
    <w:rsid w:val="00C04578"/>
    <w:rsid w:val="00C05C6C"/>
    <w:rsid w:val="00C05D53"/>
    <w:rsid w:val="00C06A25"/>
    <w:rsid w:val="00C06A62"/>
    <w:rsid w:val="00C06C34"/>
    <w:rsid w:val="00C06C4A"/>
    <w:rsid w:val="00C06CEE"/>
    <w:rsid w:val="00C078A0"/>
    <w:rsid w:val="00C101EC"/>
    <w:rsid w:val="00C10671"/>
    <w:rsid w:val="00C107F9"/>
    <w:rsid w:val="00C11AB5"/>
    <w:rsid w:val="00C11C7F"/>
    <w:rsid w:val="00C12027"/>
    <w:rsid w:val="00C12B68"/>
    <w:rsid w:val="00C13303"/>
    <w:rsid w:val="00C134C3"/>
    <w:rsid w:val="00C134FF"/>
    <w:rsid w:val="00C1361E"/>
    <w:rsid w:val="00C13699"/>
    <w:rsid w:val="00C137CE"/>
    <w:rsid w:val="00C146EE"/>
    <w:rsid w:val="00C14CB8"/>
    <w:rsid w:val="00C164AF"/>
    <w:rsid w:val="00C16B1E"/>
    <w:rsid w:val="00C170E4"/>
    <w:rsid w:val="00C17AF0"/>
    <w:rsid w:val="00C203DF"/>
    <w:rsid w:val="00C2059F"/>
    <w:rsid w:val="00C20891"/>
    <w:rsid w:val="00C21014"/>
    <w:rsid w:val="00C221B1"/>
    <w:rsid w:val="00C23016"/>
    <w:rsid w:val="00C23642"/>
    <w:rsid w:val="00C23830"/>
    <w:rsid w:val="00C23E9E"/>
    <w:rsid w:val="00C26075"/>
    <w:rsid w:val="00C26982"/>
    <w:rsid w:val="00C26EC5"/>
    <w:rsid w:val="00C27413"/>
    <w:rsid w:val="00C305FF"/>
    <w:rsid w:val="00C30682"/>
    <w:rsid w:val="00C308F3"/>
    <w:rsid w:val="00C31090"/>
    <w:rsid w:val="00C31283"/>
    <w:rsid w:val="00C32362"/>
    <w:rsid w:val="00C3286D"/>
    <w:rsid w:val="00C32DB8"/>
    <w:rsid w:val="00C3344E"/>
    <w:rsid w:val="00C3396D"/>
    <w:rsid w:val="00C33CD6"/>
    <w:rsid w:val="00C34202"/>
    <w:rsid w:val="00C3464C"/>
    <w:rsid w:val="00C35056"/>
    <w:rsid w:val="00C3515C"/>
    <w:rsid w:val="00C36502"/>
    <w:rsid w:val="00C365D7"/>
    <w:rsid w:val="00C36674"/>
    <w:rsid w:val="00C37084"/>
    <w:rsid w:val="00C37D3D"/>
    <w:rsid w:val="00C404FA"/>
    <w:rsid w:val="00C4160C"/>
    <w:rsid w:val="00C41A31"/>
    <w:rsid w:val="00C41A8F"/>
    <w:rsid w:val="00C41B43"/>
    <w:rsid w:val="00C42F09"/>
    <w:rsid w:val="00C43052"/>
    <w:rsid w:val="00C43AF8"/>
    <w:rsid w:val="00C441D0"/>
    <w:rsid w:val="00C448A9"/>
    <w:rsid w:val="00C462CC"/>
    <w:rsid w:val="00C462E3"/>
    <w:rsid w:val="00C4753D"/>
    <w:rsid w:val="00C47901"/>
    <w:rsid w:val="00C50843"/>
    <w:rsid w:val="00C509BC"/>
    <w:rsid w:val="00C509F9"/>
    <w:rsid w:val="00C50C17"/>
    <w:rsid w:val="00C516A7"/>
    <w:rsid w:val="00C51AD7"/>
    <w:rsid w:val="00C52541"/>
    <w:rsid w:val="00C52542"/>
    <w:rsid w:val="00C52763"/>
    <w:rsid w:val="00C527CC"/>
    <w:rsid w:val="00C52B68"/>
    <w:rsid w:val="00C52B90"/>
    <w:rsid w:val="00C52CD3"/>
    <w:rsid w:val="00C53077"/>
    <w:rsid w:val="00C5313E"/>
    <w:rsid w:val="00C542F8"/>
    <w:rsid w:val="00C545BA"/>
    <w:rsid w:val="00C54645"/>
    <w:rsid w:val="00C54660"/>
    <w:rsid w:val="00C54F30"/>
    <w:rsid w:val="00C55487"/>
    <w:rsid w:val="00C57B21"/>
    <w:rsid w:val="00C57F0C"/>
    <w:rsid w:val="00C61780"/>
    <w:rsid w:val="00C62589"/>
    <w:rsid w:val="00C62659"/>
    <w:rsid w:val="00C62E51"/>
    <w:rsid w:val="00C6343E"/>
    <w:rsid w:val="00C6384F"/>
    <w:rsid w:val="00C639A0"/>
    <w:rsid w:val="00C64BCF"/>
    <w:rsid w:val="00C64D93"/>
    <w:rsid w:val="00C64FFC"/>
    <w:rsid w:val="00C65BEF"/>
    <w:rsid w:val="00C65F40"/>
    <w:rsid w:val="00C66141"/>
    <w:rsid w:val="00C6630A"/>
    <w:rsid w:val="00C66948"/>
    <w:rsid w:val="00C66CEE"/>
    <w:rsid w:val="00C7056C"/>
    <w:rsid w:val="00C70B84"/>
    <w:rsid w:val="00C70CB2"/>
    <w:rsid w:val="00C7171F"/>
    <w:rsid w:val="00C71ACE"/>
    <w:rsid w:val="00C71D30"/>
    <w:rsid w:val="00C726B8"/>
    <w:rsid w:val="00C72EF1"/>
    <w:rsid w:val="00C72F2A"/>
    <w:rsid w:val="00C7383B"/>
    <w:rsid w:val="00C74D6F"/>
    <w:rsid w:val="00C750C5"/>
    <w:rsid w:val="00C75A46"/>
    <w:rsid w:val="00C75DE2"/>
    <w:rsid w:val="00C76F73"/>
    <w:rsid w:val="00C76FE5"/>
    <w:rsid w:val="00C77166"/>
    <w:rsid w:val="00C77E23"/>
    <w:rsid w:val="00C77E32"/>
    <w:rsid w:val="00C81413"/>
    <w:rsid w:val="00C81771"/>
    <w:rsid w:val="00C81C2A"/>
    <w:rsid w:val="00C82260"/>
    <w:rsid w:val="00C8309B"/>
    <w:rsid w:val="00C83B21"/>
    <w:rsid w:val="00C83FDB"/>
    <w:rsid w:val="00C84006"/>
    <w:rsid w:val="00C843F6"/>
    <w:rsid w:val="00C84424"/>
    <w:rsid w:val="00C847AE"/>
    <w:rsid w:val="00C85A23"/>
    <w:rsid w:val="00C86A0C"/>
    <w:rsid w:val="00C86EDB"/>
    <w:rsid w:val="00C87AD3"/>
    <w:rsid w:val="00C907F4"/>
    <w:rsid w:val="00C90B89"/>
    <w:rsid w:val="00C90D37"/>
    <w:rsid w:val="00C91175"/>
    <w:rsid w:val="00C925B6"/>
    <w:rsid w:val="00C9317B"/>
    <w:rsid w:val="00C936CF"/>
    <w:rsid w:val="00C9371D"/>
    <w:rsid w:val="00C956DA"/>
    <w:rsid w:val="00C96182"/>
    <w:rsid w:val="00C9678D"/>
    <w:rsid w:val="00C97370"/>
    <w:rsid w:val="00C97D0E"/>
    <w:rsid w:val="00CA0481"/>
    <w:rsid w:val="00CA0D06"/>
    <w:rsid w:val="00CA152C"/>
    <w:rsid w:val="00CA1598"/>
    <w:rsid w:val="00CA15B2"/>
    <w:rsid w:val="00CA20D2"/>
    <w:rsid w:val="00CA2556"/>
    <w:rsid w:val="00CA2B61"/>
    <w:rsid w:val="00CA2BF8"/>
    <w:rsid w:val="00CA2C9C"/>
    <w:rsid w:val="00CA5820"/>
    <w:rsid w:val="00CA6243"/>
    <w:rsid w:val="00CA633A"/>
    <w:rsid w:val="00CA643C"/>
    <w:rsid w:val="00CA6545"/>
    <w:rsid w:val="00CA656F"/>
    <w:rsid w:val="00CA6958"/>
    <w:rsid w:val="00CA6D4D"/>
    <w:rsid w:val="00CA7961"/>
    <w:rsid w:val="00CB04BB"/>
    <w:rsid w:val="00CB067B"/>
    <w:rsid w:val="00CB08BB"/>
    <w:rsid w:val="00CB110C"/>
    <w:rsid w:val="00CB14A2"/>
    <w:rsid w:val="00CB1AA1"/>
    <w:rsid w:val="00CB26DD"/>
    <w:rsid w:val="00CB2B6A"/>
    <w:rsid w:val="00CB387F"/>
    <w:rsid w:val="00CB3BFC"/>
    <w:rsid w:val="00CB407E"/>
    <w:rsid w:val="00CB455B"/>
    <w:rsid w:val="00CB473D"/>
    <w:rsid w:val="00CB49EA"/>
    <w:rsid w:val="00CB5253"/>
    <w:rsid w:val="00CB537D"/>
    <w:rsid w:val="00CB5585"/>
    <w:rsid w:val="00CB674C"/>
    <w:rsid w:val="00CB6861"/>
    <w:rsid w:val="00CB6A45"/>
    <w:rsid w:val="00CB6C11"/>
    <w:rsid w:val="00CB6DE3"/>
    <w:rsid w:val="00CB7BCF"/>
    <w:rsid w:val="00CC0661"/>
    <w:rsid w:val="00CC126A"/>
    <w:rsid w:val="00CC12B6"/>
    <w:rsid w:val="00CC190C"/>
    <w:rsid w:val="00CC230A"/>
    <w:rsid w:val="00CC261D"/>
    <w:rsid w:val="00CC2C95"/>
    <w:rsid w:val="00CC2D93"/>
    <w:rsid w:val="00CC3B90"/>
    <w:rsid w:val="00CC4A2A"/>
    <w:rsid w:val="00CC56B5"/>
    <w:rsid w:val="00CC5C24"/>
    <w:rsid w:val="00CC6C9E"/>
    <w:rsid w:val="00CC721E"/>
    <w:rsid w:val="00CC73CC"/>
    <w:rsid w:val="00CC7487"/>
    <w:rsid w:val="00CC7BCE"/>
    <w:rsid w:val="00CD0927"/>
    <w:rsid w:val="00CD09E1"/>
    <w:rsid w:val="00CD1A54"/>
    <w:rsid w:val="00CD1BAF"/>
    <w:rsid w:val="00CD1CA2"/>
    <w:rsid w:val="00CD2032"/>
    <w:rsid w:val="00CD23A3"/>
    <w:rsid w:val="00CD2A17"/>
    <w:rsid w:val="00CD3123"/>
    <w:rsid w:val="00CD351A"/>
    <w:rsid w:val="00CD3C50"/>
    <w:rsid w:val="00CD504B"/>
    <w:rsid w:val="00CD60F4"/>
    <w:rsid w:val="00CD63C8"/>
    <w:rsid w:val="00CD63DD"/>
    <w:rsid w:val="00CD6BCB"/>
    <w:rsid w:val="00CD6BEC"/>
    <w:rsid w:val="00CD7263"/>
    <w:rsid w:val="00CD7504"/>
    <w:rsid w:val="00CD753A"/>
    <w:rsid w:val="00CD7FAC"/>
    <w:rsid w:val="00CE0122"/>
    <w:rsid w:val="00CE03B2"/>
    <w:rsid w:val="00CE09DE"/>
    <w:rsid w:val="00CE15C3"/>
    <w:rsid w:val="00CE1FD6"/>
    <w:rsid w:val="00CE2381"/>
    <w:rsid w:val="00CE2872"/>
    <w:rsid w:val="00CE2934"/>
    <w:rsid w:val="00CE2CF2"/>
    <w:rsid w:val="00CE2DA3"/>
    <w:rsid w:val="00CE3C32"/>
    <w:rsid w:val="00CE44F8"/>
    <w:rsid w:val="00CE570E"/>
    <w:rsid w:val="00CE5722"/>
    <w:rsid w:val="00CE6029"/>
    <w:rsid w:val="00CE60AC"/>
    <w:rsid w:val="00CE612B"/>
    <w:rsid w:val="00CE618E"/>
    <w:rsid w:val="00CE6F1C"/>
    <w:rsid w:val="00CE70F5"/>
    <w:rsid w:val="00CE761E"/>
    <w:rsid w:val="00CE78C9"/>
    <w:rsid w:val="00CE79EC"/>
    <w:rsid w:val="00CE7CA8"/>
    <w:rsid w:val="00CF0159"/>
    <w:rsid w:val="00CF140F"/>
    <w:rsid w:val="00CF1BCD"/>
    <w:rsid w:val="00CF245A"/>
    <w:rsid w:val="00CF29FB"/>
    <w:rsid w:val="00CF2BEE"/>
    <w:rsid w:val="00CF326A"/>
    <w:rsid w:val="00CF38B6"/>
    <w:rsid w:val="00CF3B46"/>
    <w:rsid w:val="00CF3DB7"/>
    <w:rsid w:val="00CF4AC7"/>
    <w:rsid w:val="00CF4D77"/>
    <w:rsid w:val="00CF5219"/>
    <w:rsid w:val="00CF654A"/>
    <w:rsid w:val="00CF6D8D"/>
    <w:rsid w:val="00CF70E0"/>
    <w:rsid w:val="00CF7C9E"/>
    <w:rsid w:val="00CF7F9D"/>
    <w:rsid w:val="00D00323"/>
    <w:rsid w:val="00D00A66"/>
    <w:rsid w:val="00D00DA8"/>
    <w:rsid w:val="00D00DE7"/>
    <w:rsid w:val="00D00E43"/>
    <w:rsid w:val="00D01FFC"/>
    <w:rsid w:val="00D02611"/>
    <w:rsid w:val="00D02714"/>
    <w:rsid w:val="00D02915"/>
    <w:rsid w:val="00D03029"/>
    <w:rsid w:val="00D046F7"/>
    <w:rsid w:val="00D04CAB"/>
    <w:rsid w:val="00D0541C"/>
    <w:rsid w:val="00D05507"/>
    <w:rsid w:val="00D05C2A"/>
    <w:rsid w:val="00D05D41"/>
    <w:rsid w:val="00D05D7D"/>
    <w:rsid w:val="00D06598"/>
    <w:rsid w:val="00D0697A"/>
    <w:rsid w:val="00D06BDB"/>
    <w:rsid w:val="00D07097"/>
    <w:rsid w:val="00D0746F"/>
    <w:rsid w:val="00D07FF4"/>
    <w:rsid w:val="00D1013F"/>
    <w:rsid w:val="00D1093F"/>
    <w:rsid w:val="00D10C67"/>
    <w:rsid w:val="00D10EE0"/>
    <w:rsid w:val="00D11294"/>
    <w:rsid w:val="00D113F6"/>
    <w:rsid w:val="00D11A09"/>
    <w:rsid w:val="00D1248D"/>
    <w:rsid w:val="00D12569"/>
    <w:rsid w:val="00D12723"/>
    <w:rsid w:val="00D13283"/>
    <w:rsid w:val="00D13492"/>
    <w:rsid w:val="00D13AD1"/>
    <w:rsid w:val="00D1554A"/>
    <w:rsid w:val="00D155C5"/>
    <w:rsid w:val="00D157E4"/>
    <w:rsid w:val="00D15D4C"/>
    <w:rsid w:val="00D16089"/>
    <w:rsid w:val="00D169E7"/>
    <w:rsid w:val="00D175D3"/>
    <w:rsid w:val="00D200B7"/>
    <w:rsid w:val="00D2034B"/>
    <w:rsid w:val="00D207AA"/>
    <w:rsid w:val="00D212CA"/>
    <w:rsid w:val="00D21656"/>
    <w:rsid w:val="00D21C63"/>
    <w:rsid w:val="00D21D66"/>
    <w:rsid w:val="00D22B03"/>
    <w:rsid w:val="00D23298"/>
    <w:rsid w:val="00D24191"/>
    <w:rsid w:val="00D24A0F"/>
    <w:rsid w:val="00D2599E"/>
    <w:rsid w:val="00D26503"/>
    <w:rsid w:val="00D2663B"/>
    <w:rsid w:val="00D26F5A"/>
    <w:rsid w:val="00D27EF9"/>
    <w:rsid w:val="00D27F58"/>
    <w:rsid w:val="00D307ED"/>
    <w:rsid w:val="00D30FE8"/>
    <w:rsid w:val="00D318C2"/>
    <w:rsid w:val="00D31C88"/>
    <w:rsid w:val="00D32799"/>
    <w:rsid w:val="00D33258"/>
    <w:rsid w:val="00D335E8"/>
    <w:rsid w:val="00D33691"/>
    <w:rsid w:val="00D354BD"/>
    <w:rsid w:val="00D3589A"/>
    <w:rsid w:val="00D36696"/>
    <w:rsid w:val="00D36B54"/>
    <w:rsid w:val="00D36E31"/>
    <w:rsid w:val="00D374AC"/>
    <w:rsid w:val="00D37C2C"/>
    <w:rsid w:val="00D37E95"/>
    <w:rsid w:val="00D4006B"/>
    <w:rsid w:val="00D4036F"/>
    <w:rsid w:val="00D40B68"/>
    <w:rsid w:val="00D40D23"/>
    <w:rsid w:val="00D41259"/>
    <w:rsid w:val="00D43D1A"/>
    <w:rsid w:val="00D43D7F"/>
    <w:rsid w:val="00D43F0E"/>
    <w:rsid w:val="00D44131"/>
    <w:rsid w:val="00D44144"/>
    <w:rsid w:val="00D442CC"/>
    <w:rsid w:val="00D444E2"/>
    <w:rsid w:val="00D44AFF"/>
    <w:rsid w:val="00D44B0D"/>
    <w:rsid w:val="00D44C2A"/>
    <w:rsid w:val="00D452A6"/>
    <w:rsid w:val="00D45311"/>
    <w:rsid w:val="00D455C0"/>
    <w:rsid w:val="00D4693B"/>
    <w:rsid w:val="00D46DFB"/>
    <w:rsid w:val="00D470CA"/>
    <w:rsid w:val="00D47D8A"/>
    <w:rsid w:val="00D5080C"/>
    <w:rsid w:val="00D51181"/>
    <w:rsid w:val="00D5124A"/>
    <w:rsid w:val="00D51450"/>
    <w:rsid w:val="00D514B3"/>
    <w:rsid w:val="00D51A9A"/>
    <w:rsid w:val="00D5218F"/>
    <w:rsid w:val="00D53EA9"/>
    <w:rsid w:val="00D54C44"/>
    <w:rsid w:val="00D55B05"/>
    <w:rsid w:val="00D55B73"/>
    <w:rsid w:val="00D55CA8"/>
    <w:rsid w:val="00D56A09"/>
    <w:rsid w:val="00D60608"/>
    <w:rsid w:val="00D607CA"/>
    <w:rsid w:val="00D60A00"/>
    <w:rsid w:val="00D61B47"/>
    <w:rsid w:val="00D61BC2"/>
    <w:rsid w:val="00D61E53"/>
    <w:rsid w:val="00D6246D"/>
    <w:rsid w:val="00D62A9B"/>
    <w:rsid w:val="00D67523"/>
    <w:rsid w:val="00D70CFD"/>
    <w:rsid w:val="00D7123A"/>
    <w:rsid w:val="00D719A7"/>
    <w:rsid w:val="00D71F09"/>
    <w:rsid w:val="00D721AF"/>
    <w:rsid w:val="00D722F5"/>
    <w:rsid w:val="00D728FD"/>
    <w:rsid w:val="00D72D7E"/>
    <w:rsid w:val="00D736C4"/>
    <w:rsid w:val="00D73D0A"/>
    <w:rsid w:val="00D7429C"/>
    <w:rsid w:val="00D74410"/>
    <w:rsid w:val="00D746FE"/>
    <w:rsid w:val="00D74AB1"/>
    <w:rsid w:val="00D74AE3"/>
    <w:rsid w:val="00D74BB0"/>
    <w:rsid w:val="00D75E09"/>
    <w:rsid w:val="00D75FD8"/>
    <w:rsid w:val="00D76867"/>
    <w:rsid w:val="00D769C8"/>
    <w:rsid w:val="00D76D89"/>
    <w:rsid w:val="00D76E23"/>
    <w:rsid w:val="00D7742A"/>
    <w:rsid w:val="00D77F1A"/>
    <w:rsid w:val="00D804D9"/>
    <w:rsid w:val="00D80E2A"/>
    <w:rsid w:val="00D80F92"/>
    <w:rsid w:val="00D81543"/>
    <w:rsid w:val="00D82236"/>
    <w:rsid w:val="00D823AA"/>
    <w:rsid w:val="00D82E1D"/>
    <w:rsid w:val="00D833BB"/>
    <w:rsid w:val="00D8367C"/>
    <w:rsid w:val="00D83B53"/>
    <w:rsid w:val="00D84558"/>
    <w:rsid w:val="00D86395"/>
    <w:rsid w:val="00D86493"/>
    <w:rsid w:val="00D8763D"/>
    <w:rsid w:val="00D90EAB"/>
    <w:rsid w:val="00D91244"/>
    <w:rsid w:val="00D91ED2"/>
    <w:rsid w:val="00D92223"/>
    <w:rsid w:val="00D92D02"/>
    <w:rsid w:val="00D92F9C"/>
    <w:rsid w:val="00D9324E"/>
    <w:rsid w:val="00D93770"/>
    <w:rsid w:val="00D938AD"/>
    <w:rsid w:val="00D93F20"/>
    <w:rsid w:val="00D940AA"/>
    <w:rsid w:val="00D946D0"/>
    <w:rsid w:val="00D9484C"/>
    <w:rsid w:val="00D94D8C"/>
    <w:rsid w:val="00D94DAD"/>
    <w:rsid w:val="00D9510F"/>
    <w:rsid w:val="00D952A1"/>
    <w:rsid w:val="00D95FF8"/>
    <w:rsid w:val="00D96DA6"/>
    <w:rsid w:val="00D97229"/>
    <w:rsid w:val="00D9754D"/>
    <w:rsid w:val="00D978ED"/>
    <w:rsid w:val="00DA053F"/>
    <w:rsid w:val="00DA0E54"/>
    <w:rsid w:val="00DA14CA"/>
    <w:rsid w:val="00DA20A4"/>
    <w:rsid w:val="00DA21A0"/>
    <w:rsid w:val="00DA3CAB"/>
    <w:rsid w:val="00DA3CCC"/>
    <w:rsid w:val="00DA3D83"/>
    <w:rsid w:val="00DA40F7"/>
    <w:rsid w:val="00DA4255"/>
    <w:rsid w:val="00DA57B6"/>
    <w:rsid w:val="00DA5A49"/>
    <w:rsid w:val="00DA68AB"/>
    <w:rsid w:val="00DA7BBC"/>
    <w:rsid w:val="00DA7C25"/>
    <w:rsid w:val="00DB0113"/>
    <w:rsid w:val="00DB0129"/>
    <w:rsid w:val="00DB024A"/>
    <w:rsid w:val="00DB04AA"/>
    <w:rsid w:val="00DB12A6"/>
    <w:rsid w:val="00DB171A"/>
    <w:rsid w:val="00DB1D24"/>
    <w:rsid w:val="00DB26CB"/>
    <w:rsid w:val="00DB286E"/>
    <w:rsid w:val="00DB2EF1"/>
    <w:rsid w:val="00DB3F48"/>
    <w:rsid w:val="00DB4E34"/>
    <w:rsid w:val="00DB54E6"/>
    <w:rsid w:val="00DB5608"/>
    <w:rsid w:val="00DB59EC"/>
    <w:rsid w:val="00DB66C3"/>
    <w:rsid w:val="00DB7626"/>
    <w:rsid w:val="00DC0008"/>
    <w:rsid w:val="00DC00CE"/>
    <w:rsid w:val="00DC0461"/>
    <w:rsid w:val="00DC06D4"/>
    <w:rsid w:val="00DC1DE1"/>
    <w:rsid w:val="00DC23DC"/>
    <w:rsid w:val="00DC275D"/>
    <w:rsid w:val="00DC3100"/>
    <w:rsid w:val="00DC341A"/>
    <w:rsid w:val="00DC34FA"/>
    <w:rsid w:val="00DC3C64"/>
    <w:rsid w:val="00DC3F9C"/>
    <w:rsid w:val="00DC4DAB"/>
    <w:rsid w:val="00DC544C"/>
    <w:rsid w:val="00DC54DB"/>
    <w:rsid w:val="00DC5FC0"/>
    <w:rsid w:val="00DC63B7"/>
    <w:rsid w:val="00DC671B"/>
    <w:rsid w:val="00DC67BA"/>
    <w:rsid w:val="00DC6A45"/>
    <w:rsid w:val="00DC6CDD"/>
    <w:rsid w:val="00DC75A4"/>
    <w:rsid w:val="00DD01EB"/>
    <w:rsid w:val="00DD073A"/>
    <w:rsid w:val="00DD09A8"/>
    <w:rsid w:val="00DD2717"/>
    <w:rsid w:val="00DD2BAB"/>
    <w:rsid w:val="00DD40FC"/>
    <w:rsid w:val="00DD424C"/>
    <w:rsid w:val="00DD4C26"/>
    <w:rsid w:val="00DD5204"/>
    <w:rsid w:val="00DD58A0"/>
    <w:rsid w:val="00DD5C35"/>
    <w:rsid w:val="00DD6B6F"/>
    <w:rsid w:val="00DD6C9F"/>
    <w:rsid w:val="00DD72FA"/>
    <w:rsid w:val="00DD75BA"/>
    <w:rsid w:val="00DD7D99"/>
    <w:rsid w:val="00DD7F02"/>
    <w:rsid w:val="00DE00C5"/>
    <w:rsid w:val="00DE0121"/>
    <w:rsid w:val="00DE0270"/>
    <w:rsid w:val="00DE0ADB"/>
    <w:rsid w:val="00DE19FE"/>
    <w:rsid w:val="00DE1CC3"/>
    <w:rsid w:val="00DE1FE3"/>
    <w:rsid w:val="00DE23E4"/>
    <w:rsid w:val="00DE3211"/>
    <w:rsid w:val="00DE382E"/>
    <w:rsid w:val="00DE430D"/>
    <w:rsid w:val="00DE4C6D"/>
    <w:rsid w:val="00DE514A"/>
    <w:rsid w:val="00DE5AC8"/>
    <w:rsid w:val="00DE78DA"/>
    <w:rsid w:val="00DF008F"/>
    <w:rsid w:val="00DF0110"/>
    <w:rsid w:val="00DF04CC"/>
    <w:rsid w:val="00DF0A4A"/>
    <w:rsid w:val="00DF0E77"/>
    <w:rsid w:val="00DF1135"/>
    <w:rsid w:val="00DF15B6"/>
    <w:rsid w:val="00DF2B65"/>
    <w:rsid w:val="00DF3FC2"/>
    <w:rsid w:val="00DF4636"/>
    <w:rsid w:val="00DF4756"/>
    <w:rsid w:val="00DF5564"/>
    <w:rsid w:val="00DF55B4"/>
    <w:rsid w:val="00DF574C"/>
    <w:rsid w:val="00DF5EF4"/>
    <w:rsid w:val="00DF5F6A"/>
    <w:rsid w:val="00DF67CB"/>
    <w:rsid w:val="00DF6CE0"/>
    <w:rsid w:val="00DF7257"/>
    <w:rsid w:val="00DF7B87"/>
    <w:rsid w:val="00DF7CF7"/>
    <w:rsid w:val="00DF7E60"/>
    <w:rsid w:val="00DF7F01"/>
    <w:rsid w:val="00E004F7"/>
    <w:rsid w:val="00E00A1B"/>
    <w:rsid w:val="00E0193E"/>
    <w:rsid w:val="00E025DB"/>
    <w:rsid w:val="00E02786"/>
    <w:rsid w:val="00E0302D"/>
    <w:rsid w:val="00E03BC0"/>
    <w:rsid w:val="00E03DDB"/>
    <w:rsid w:val="00E03ED3"/>
    <w:rsid w:val="00E041B9"/>
    <w:rsid w:val="00E04770"/>
    <w:rsid w:val="00E0529C"/>
    <w:rsid w:val="00E057EE"/>
    <w:rsid w:val="00E05DD3"/>
    <w:rsid w:val="00E07306"/>
    <w:rsid w:val="00E1014D"/>
    <w:rsid w:val="00E1041B"/>
    <w:rsid w:val="00E1053E"/>
    <w:rsid w:val="00E10A6C"/>
    <w:rsid w:val="00E11B08"/>
    <w:rsid w:val="00E11DBF"/>
    <w:rsid w:val="00E1218E"/>
    <w:rsid w:val="00E1248F"/>
    <w:rsid w:val="00E1251D"/>
    <w:rsid w:val="00E1387B"/>
    <w:rsid w:val="00E13E9F"/>
    <w:rsid w:val="00E14C16"/>
    <w:rsid w:val="00E151AE"/>
    <w:rsid w:val="00E15683"/>
    <w:rsid w:val="00E1580F"/>
    <w:rsid w:val="00E15E23"/>
    <w:rsid w:val="00E17363"/>
    <w:rsid w:val="00E1739D"/>
    <w:rsid w:val="00E1778E"/>
    <w:rsid w:val="00E178FE"/>
    <w:rsid w:val="00E17A2F"/>
    <w:rsid w:val="00E17A9B"/>
    <w:rsid w:val="00E2144B"/>
    <w:rsid w:val="00E215C7"/>
    <w:rsid w:val="00E21646"/>
    <w:rsid w:val="00E2195D"/>
    <w:rsid w:val="00E21A61"/>
    <w:rsid w:val="00E21D5B"/>
    <w:rsid w:val="00E22D8B"/>
    <w:rsid w:val="00E23449"/>
    <w:rsid w:val="00E23E99"/>
    <w:rsid w:val="00E24B76"/>
    <w:rsid w:val="00E24E5B"/>
    <w:rsid w:val="00E2597D"/>
    <w:rsid w:val="00E25FD1"/>
    <w:rsid w:val="00E26549"/>
    <w:rsid w:val="00E26657"/>
    <w:rsid w:val="00E26955"/>
    <w:rsid w:val="00E270C4"/>
    <w:rsid w:val="00E27F0C"/>
    <w:rsid w:val="00E27F96"/>
    <w:rsid w:val="00E3035F"/>
    <w:rsid w:val="00E30AF6"/>
    <w:rsid w:val="00E30D37"/>
    <w:rsid w:val="00E30F3F"/>
    <w:rsid w:val="00E31780"/>
    <w:rsid w:val="00E31B5F"/>
    <w:rsid w:val="00E32AAD"/>
    <w:rsid w:val="00E33205"/>
    <w:rsid w:val="00E332E0"/>
    <w:rsid w:val="00E337C2"/>
    <w:rsid w:val="00E33A40"/>
    <w:rsid w:val="00E35680"/>
    <w:rsid w:val="00E360AC"/>
    <w:rsid w:val="00E3763A"/>
    <w:rsid w:val="00E3797A"/>
    <w:rsid w:val="00E37E6B"/>
    <w:rsid w:val="00E40B4E"/>
    <w:rsid w:val="00E40D68"/>
    <w:rsid w:val="00E410A3"/>
    <w:rsid w:val="00E41A27"/>
    <w:rsid w:val="00E420D0"/>
    <w:rsid w:val="00E42684"/>
    <w:rsid w:val="00E427D6"/>
    <w:rsid w:val="00E429B7"/>
    <w:rsid w:val="00E43202"/>
    <w:rsid w:val="00E434A2"/>
    <w:rsid w:val="00E43CC6"/>
    <w:rsid w:val="00E443F8"/>
    <w:rsid w:val="00E4449B"/>
    <w:rsid w:val="00E44565"/>
    <w:rsid w:val="00E45123"/>
    <w:rsid w:val="00E457A6"/>
    <w:rsid w:val="00E458C8"/>
    <w:rsid w:val="00E45AAD"/>
    <w:rsid w:val="00E45BB1"/>
    <w:rsid w:val="00E45FDB"/>
    <w:rsid w:val="00E46656"/>
    <w:rsid w:val="00E46ED0"/>
    <w:rsid w:val="00E46F20"/>
    <w:rsid w:val="00E46F33"/>
    <w:rsid w:val="00E47363"/>
    <w:rsid w:val="00E47A6E"/>
    <w:rsid w:val="00E47B42"/>
    <w:rsid w:val="00E47E45"/>
    <w:rsid w:val="00E50008"/>
    <w:rsid w:val="00E500B8"/>
    <w:rsid w:val="00E5047B"/>
    <w:rsid w:val="00E514A1"/>
    <w:rsid w:val="00E51668"/>
    <w:rsid w:val="00E51995"/>
    <w:rsid w:val="00E5298F"/>
    <w:rsid w:val="00E52FB2"/>
    <w:rsid w:val="00E530E7"/>
    <w:rsid w:val="00E532EB"/>
    <w:rsid w:val="00E53A76"/>
    <w:rsid w:val="00E54407"/>
    <w:rsid w:val="00E54C0A"/>
    <w:rsid w:val="00E57732"/>
    <w:rsid w:val="00E57DFC"/>
    <w:rsid w:val="00E61013"/>
    <w:rsid w:val="00E6147A"/>
    <w:rsid w:val="00E615B4"/>
    <w:rsid w:val="00E61BA9"/>
    <w:rsid w:val="00E6211E"/>
    <w:rsid w:val="00E639D3"/>
    <w:rsid w:val="00E63D29"/>
    <w:rsid w:val="00E63E00"/>
    <w:rsid w:val="00E6425C"/>
    <w:rsid w:val="00E64C7D"/>
    <w:rsid w:val="00E651DD"/>
    <w:rsid w:val="00E652FE"/>
    <w:rsid w:val="00E657BD"/>
    <w:rsid w:val="00E65A17"/>
    <w:rsid w:val="00E65AA5"/>
    <w:rsid w:val="00E679AA"/>
    <w:rsid w:val="00E67BC9"/>
    <w:rsid w:val="00E67CB1"/>
    <w:rsid w:val="00E67CC1"/>
    <w:rsid w:val="00E707D6"/>
    <w:rsid w:val="00E70CE8"/>
    <w:rsid w:val="00E71ABF"/>
    <w:rsid w:val="00E72D85"/>
    <w:rsid w:val="00E72DB0"/>
    <w:rsid w:val="00E7378A"/>
    <w:rsid w:val="00E74CA6"/>
    <w:rsid w:val="00E75338"/>
    <w:rsid w:val="00E75452"/>
    <w:rsid w:val="00E7582A"/>
    <w:rsid w:val="00E762C8"/>
    <w:rsid w:val="00E767FE"/>
    <w:rsid w:val="00E76982"/>
    <w:rsid w:val="00E772CD"/>
    <w:rsid w:val="00E776DB"/>
    <w:rsid w:val="00E776E2"/>
    <w:rsid w:val="00E779C7"/>
    <w:rsid w:val="00E8029F"/>
    <w:rsid w:val="00E8242F"/>
    <w:rsid w:val="00E8303E"/>
    <w:rsid w:val="00E836FC"/>
    <w:rsid w:val="00E840C9"/>
    <w:rsid w:val="00E8430E"/>
    <w:rsid w:val="00E84514"/>
    <w:rsid w:val="00E847C1"/>
    <w:rsid w:val="00E84B42"/>
    <w:rsid w:val="00E85121"/>
    <w:rsid w:val="00E85243"/>
    <w:rsid w:val="00E86FF9"/>
    <w:rsid w:val="00E904B0"/>
    <w:rsid w:val="00E90958"/>
    <w:rsid w:val="00E90ABE"/>
    <w:rsid w:val="00E9183A"/>
    <w:rsid w:val="00E92699"/>
    <w:rsid w:val="00E94443"/>
    <w:rsid w:val="00E956DC"/>
    <w:rsid w:val="00E95F14"/>
    <w:rsid w:val="00E960BE"/>
    <w:rsid w:val="00E967BC"/>
    <w:rsid w:val="00E96E92"/>
    <w:rsid w:val="00E97335"/>
    <w:rsid w:val="00EA0242"/>
    <w:rsid w:val="00EA08A6"/>
    <w:rsid w:val="00EA08C2"/>
    <w:rsid w:val="00EA1525"/>
    <w:rsid w:val="00EA1A00"/>
    <w:rsid w:val="00EA1DA0"/>
    <w:rsid w:val="00EA2684"/>
    <w:rsid w:val="00EA30BB"/>
    <w:rsid w:val="00EA3119"/>
    <w:rsid w:val="00EA32D1"/>
    <w:rsid w:val="00EA3DE6"/>
    <w:rsid w:val="00EA61EA"/>
    <w:rsid w:val="00EA6CFA"/>
    <w:rsid w:val="00EB02C4"/>
    <w:rsid w:val="00EB0526"/>
    <w:rsid w:val="00EB055F"/>
    <w:rsid w:val="00EB0737"/>
    <w:rsid w:val="00EB1DCA"/>
    <w:rsid w:val="00EB2215"/>
    <w:rsid w:val="00EB2330"/>
    <w:rsid w:val="00EB2387"/>
    <w:rsid w:val="00EB270F"/>
    <w:rsid w:val="00EB3875"/>
    <w:rsid w:val="00EB3A3C"/>
    <w:rsid w:val="00EB414A"/>
    <w:rsid w:val="00EB5A96"/>
    <w:rsid w:val="00EB5D11"/>
    <w:rsid w:val="00EB5D61"/>
    <w:rsid w:val="00EB6510"/>
    <w:rsid w:val="00EB66E9"/>
    <w:rsid w:val="00EB7A7B"/>
    <w:rsid w:val="00EB7BE6"/>
    <w:rsid w:val="00EC04CC"/>
    <w:rsid w:val="00EC11FB"/>
    <w:rsid w:val="00EC144F"/>
    <w:rsid w:val="00EC20B3"/>
    <w:rsid w:val="00EC2220"/>
    <w:rsid w:val="00EC28A6"/>
    <w:rsid w:val="00EC3667"/>
    <w:rsid w:val="00EC4335"/>
    <w:rsid w:val="00EC4F09"/>
    <w:rsid w:val="00EC50A2"/>
    <w:rsid w:val="00EC5DD3"/>
    <w:rsid w:val="00EC6949"/>
    <w:rsid w:val="00EC69AB"/>
    <w:rsid w:val="00ED08E4"/>
    <w:rsid w:val="00ED0BA0"/>
    <w:rsid w:val="00ED1073"/>
    <w:rsid w:val="00ED2019"/>
    <w:rsid w:val="00ED208E"/>
    <w:rsid w:val="00ED253B"/>
    <w:rsid w:val="00ED2F79"/>
    <w:rsid w:val="00ED3419"/>
    <w:rsid w:val="00ED3712"/>
    <w:rsid w:val="00ED3CA1"/>
    <w:rsid w:val="00ED3EFC"/>
    <w:rsid w:val="00ED45B3"/>
    <w:rsid w:val="00ED4D87"/>
    <w:rsid w:val="00ED4F5A"/>
    <w:rsid w:val="00ED53FE"/>
    <w:rsid w:val="00ED5F14"/>
    <w:rsid w:val="00ED6BF7"/>
    <w:rsid w:val="00ED6E9E"/>
    <w:rsid w:val="00ED7777"/>
    <w:rsid w:val="00ED799F"/>
    <w:rsid w:val="00ED7DC0"/>
    <w:rsid w:val="00EE0135"/>
    <w:rsid w:val="00EE0320"/>
    <w:rsid w:val="00EE0DA3"/>
    <w:rsid w:val="00EE0FE6"/>
    <w:rsid w:val="00EE162B"/>
    <w:rsid w:val="00EE20B5"/>
    <w:rsid w:val="00EE2ADC"/>
    <w:rsid w:val="00EE2DF4"/>
    <w:rsid w:val="00EE2FC8"/>
    <w:rsid w:val="00EE323D"/>
    <w:rsid w:val="00EE37BE"/>
    <w:rsid w:val="00EE38DE"/>
    <w:rsid w:val="00EE3D98"/>
    <w:rsid w:val="00EE3DB8"/>
    <w:rsid w:val="00EE3E9E"/>
    <w:rsid w:val="00EE482C"/>
    <w:rsid w:val="00EE5FE7"/>
    <w:rsid w:val="00EE6085"/>
    <w:rsid w:val="00EE70F6"/>
    <w:rsid w:val="00EE7669"/>
    <w:rsid w:val="00EE7C5C"/>
    <w:rsid w:val="00EF00F9"/>
    <w:rsid w:val="00EF0963"/>
    <w:rsid w:val="00EF1046"/>
    <w:rsid w:val="00EF2B9B"/>
    <w:rsid w:val="00EF2E4C"/>
    <w:rsid w:val="00EF43B1"/>
    <w:rsid w:val="00EF4A05"/>
    <w:rsid w:val="00EF4F22"/>
    <w:rsid w:val="00EF4F28"/>
    <w:rsid w:val="00EF530C"/>
    <w:rsid w:val="00EF6C1C"/>
    <w:rsid w:val="00EF6D0F"/>
    <w:rsid w:val="00EF6F74"/>
    <w:rsid w:val="00EF72B8"/>
    <w:rsid w:val="00EF72EE"/>
    <w:rsid w:val="00EF736C"/>
    <w:rsid w:val="00EF738E"/>
    <w:rsid w:val="00EF7607"/>
    <w:rsid w:val="00EF77CB"/>
    <w:rsid w:val="00F007C4"/>
    <w:rsid w:val="00F01C50"/>
    <w:rsid w:val="00F01EE5"/>
    <w:rsid w:val="00F022E2"/>
    <w:rsid w:val="00F02EEB"/>
    <w:rsid w:val="00F0441E"/>
    <w:rsid w:val="00F04D1C"/>
    <w:rsid w:val="00F04FF8"/>
    <w:rsid w:val="00F05026"/>
    <w:rsid w:val="00F05057"/>
    <w:rsid w:val="00F059D5"/>
    <w:rsid w:val="00F0626E"/>
    <w:rsid w:val="00F064BA"/>
    <w:rsid w:val="00F07949"/>
    <w:rsid w:val="00F07A15"/>
    <w:rsid w:val="00F1028A"/>
    <w:rsid w:val="00F1109B"/>
    <w:rsid w:val="00F115F7"/>
    <w:rsid w:val="00F11B6F"/>
    <w:rsid w:val="00F13C1E"/>
    <w:rsid w:val="00F13FED"/>
    <w:rsid w:val="00F14186"/>
    <w:rsid w:val="00F14781"/>
    <w:rsid w:val="00F14AED"/>
    <w:rsid w:val="00F1595E"/>
    <w:rsid w:val="00F159BF"/>
    <w:rsid w:val="00F15A21"/>
    <w:rsid w:val="00F15ABF"/>
    <w:rsid w:val="00F15AE8"/>
    <w:rsid w:val="00F17C28"/>
    <w:rsid w:val="00F17E3C"/>
    <w:rsid w:val="00F17F99"/>
    <w:rsid w:val="00F201F6"/>
    <w:rsid w:val="00F205BA"/>
    <w:rsid w:val="00F20BF0"/>
    <w:rsid w:val="00F2106A"/>
    <w:rsid w:val="00F214BC"/>
    <w:rsid w:val="00F22C35"/>
    <w:rsid w:val="00F23BE1"/>
    <w:rsid w:val="00F23D98"/>
    <w:rsid w:val="00F24F78"/>
    <w:rsid w:val="00F26C57"/>
    <w:rsid w:val="00F27179"/>
    <w:rsid w:val="00F27225"/>
    <w:rsid w:val="00F30118"/>
    <w:rsid w:val="00F3057B"/>
    <w:rsid w:val="00F30FFC"/>
    <w:rsid w:val="00F3114F"/>
    <w:rsid w:val="00F31AD0"/>
    <w:rsid w:val="00F31E64"/>
    <w:rsid w:val="00F325A9"/>
    <w:rsid w:val="00F325CC"/>
    <w:rsid w:val="00F32F2E"/>
    <w:rsid w:val="00F34056"/>
    <w:rsid w:val="00F34864"/>
    <w:rsid w:val="00F34D56"/>
    <w:rsid w:val="00F34DA5"/>
    <w:rsid w:val="00F350EE"/>
    <w:rsid w:val="00F357DE"/>
    <w:rsid w:val="00F35846"/>
    <w:rsid w:val="00F35998"/>
    <w:rsid w:val="00F35F88"/>
    <w:rsid w:val="00F3612E"/>
    <w:rsid w:val="00F36789"/>
    <w:rsid w:val="00F36D50"/>
    <w:rsid w:val="00F37066"/>
    <w:rsid w:val="00F37126"/>
    <w:rsid w:val="00F37FE8"/>
    <w:rsid w:val="00F40247"/>
    <w:rsid w:val="00F4067B"/>
    <w:rsid w:val="00F42D34"/>
    <w:rsid w:val="00F4348C"/>
    <w:rsid w:val="00F43D15"/>
    <w:rsid w:val="00F44C76"/>
    <w:rsid w:val="00F45E44"/>
    <w:rsid w:val="00F45FDE"/>
    <w:rsid w:val="00F460A2"/>
    <w:rsid w:val="00F462E2"/>
    <w:rsid w:val="00F46BC7"/>
    <w:rsid w:val="00F46D94"/>
    <w:rsid w:val="00F47331"/>
    <w:rsid w:val="00F4766F"/>
    <w:rsid w:val="00F506D9"/>
    <w:rsid w:val="00F5080F"/>
    <w:rsid w:val="00F508C3"/>
    <w:rsid w:val="00F51A89"/>
    <w:rsid w:val="00F51FCB"/>
    <w:rsid w:val="00F52664"/>
    <w:rsid w:val="00F52C57"/>
    <w:rsid w:val="00F5363A"/>
    <w:rsid w:val="00F5378C"/>
    <w:rsid w:val="00F53801"/>
    <w:rsid w:val="00F54381"/>
    <w:rsid w:val="00F544B8"/>
    <w:rsid w:val="00F555F5"/>
    <w:rsid w:val="00F55809"/>
    <w:rsid w:val="00F56641"/>
    <w:rsid w:val="00F56834"/>
    <w:rsid w:val="00F60236"/>
    <w:rsid w:val="00F602FC"/>
    <w:rsid w:val="00F609E7"/>
    <w:rsid w:val="00F60D5A"/>
    <w:rsid w:val="00F61881"/>
    <w:rsid w:val="00F6238E"/>
    <w:rsid w:val="00F623B4"/>
    <w:rsid w:val="00F626F6"/>
    <w:rsid w:val="00F628E8"/>
    <w:rsid w:val="00F62E6D"/>
    <w:rsid w:val="00F63590"/>
    <w:rsid w:val="00F63817"/>
    <w:rsid w:val="00F63D33"/>
    <w:rsid w:val="00F63FF1"/>
    <w:rsid w:val="00F659B9"/>
    <w:rsid w:val="00F65B99"/>
    <w:rsid w:val="00F65F5F"/>
    <w:rsid w:val="00F66439"/>
    <w:rsid w:val="00F66454"/>
    <w:rsid w:val="00F66E29"/>
    <w:rsid w:val="00F6772E"/>
    <w:rsid w:val="00F704D9"/>
    <w:rsid w:val="00F70507"/>
    <w:rsid w:val="00F718C7"/>
    <w:rsid w:val="00F723E7"/>
    <w:rsid w:val="00F729B3"/>
    <w:rsid w:val="00F72F9B"/>
    <w:rsid w:val="00F73A76"/>
    <w:rsid w:val="00F73DD1"/>
    <w:rsid w:val="00F746B6"/>
    <w:rsid w:val="00F74844"/>
    <w:rsid w:val="00F74F11"/>
    <w:rsid w:val="00F75140"/>
    <w:rsid w:val="00F75218"/>
    <w:rsid w:val="00F75CE6"/>
    <w:rsid w:val="00F75E73"/>
    <w:rsid w:val="00F76419"/>
    <w:rsid w:val="00F76660"/>
    <w:rsid w:val="00F767EA"/>
    <w:rsid w:val="00F76DD4"/>
    <w:rsid w:val="00F7717C"/>
    <w:rsid w:val="00F7737E"/>
    <w:rsid w:val="00F77609"/>
    <w:rsid w:val="00F77B1E"/>
    <w:rsid w:val="00F807D8"/>
    <w:rsid w:val="00F80E07"/>
    <w:rsid w:val="00F8105F"/>
    <w:rsid w:val="00F8180B"/>
    <w:rsid w:val="00F8186A"/>
    <w:rsid w:val="00F81C4F"/>
    <w:rsid w:val="00F81FAC"/>
    <w:rsid w:val="00F821AD"/>
    <w:rsid w:val="00F83147"/>
    <w:rsid w:val="00F8344F"/>
    <w:rsid w:val="00F834ED"/>
    <w:rsid w:val="00F83810"/>
    <w:rsid w:val="00F839EF"/>
    <w:rsid w:val="00F844BA"/>
    <w:rsid w:val="00F84E54"/>
    <w:rsid w:val="00F85248"/>
    <w:rsid w:val="00F861A0"/>
    <w:rsid w:val="00F864C2"/>
    <w:rsid w:val="00F86C15"/>
    <w:rsid w:val="00F86D83"/>
    <w:rsid w:val="00F8721C"/>
    <w:rsid w:val="00F90726"/>
    <w:rsid w:val="00F90A07"/>
    <w:rsid w:val="00F90DF1"/>
    <w:rsid w:val="00F91A39"/>
    <w:rsid w:val="00F91EFE"/>
    <w:rsid w:val="00F92945"/>
    <w:rsid w:val="00F92BFE"/>
    <w:rsid w:val="00F92D97"/>
    <w:rsid w:val="00F93369"/>
    <w:rsid w:val="00F93D26"/>
    <w:rsid w:val="00F93F44"/>
    <w:rsid w:val="00F94CBB"/>
    <w:rsid w:val="00F9515B"/>
    <w:rsid w:val="00F9682D"/>
    <w:rsid w:val="00F96ACA"/>
    <w:rsid w:val="00F96E0A"/>
    <w:rsid w:val="00F970F3"/>
    <w:rsid w:val="00F9781C"/>
    <w:rsid w:val="00F97882"/>
    <w:rsid w:val="00FA0C4B"/>
    <w:rsid w:val="00FA1BA8"/>
    <w:rsid w:val="00FA20D6"/>
    <w:rsid w:val="00FA20F9"/>
    <w:rsid w:val="00FA2560"/>
    <w:rsid w:val="00FA25C8"/>
    <w:rsid w:val="00FA29B9"/>
    <w:rsid w:val="00FA2CA9"/>
    <w:rsid w:val="00FA3181"/>
    <w:rsid w:val="00FA3438"/>
    <w:rsid w:val="00FA3493"/>
    <w:rsid w:val="00FA3664"/>
    <w:rsid w:val="00FA48C3"/>
    <w:rsid w:val="00FA4983"/>
    <w:rsid w:val="00FA4E24"/>
    <w:rsid w:val="00FA59A0"/>
    <w:rsid w:val="00FA5BA2"/>
    <w:rsid w:val="00FA5E37"/>
    <w:rsid w:val="00FA659B"/>
    <w:rsid w:val="00FA671D"/>
    <w:rsid w:val="00FA6FC1"/>
    <w:rsid w:val="00FB0485"/>
    <w:rsid w:val="00FB0A0C"/>
    <w:rsid w:val="00FB0C99"/>
    <w:rsid w:val="00FB123D"/>
    <w:rsid w:val="00FB1719"/>
    <w:rsid w:val="00FB18FF"/>
    <w:rsid w:val="00FB209B"/>
    <w:rsid w:val="00FB39A3"/>
    <w:rsid w:val="00FB48FC"/>
    <w:rsid w:val="00FB4DC6"/>
    <w:rsid w:val="00FB5813"/>
    <w:rsid w:val="00FB63ED"/>
    <w:rsid w:val="00FB6874"/>
    <w:rsid w:val="00FB7170"/>
    <w:rsid w:val="00FB717E"/>
    <w:rsid w:val="00FB7725"/>
    <w:rsid w:val="00FC0247"/>
    <w:rsid w:val="00FC037C"/>
    <w:rsid w:val="00FC0A0D"/>
    <w:rsid w:val="00FC0A8B"/>
    <w:rsid w:val="00FC15A1"/>
    <w:rsid w:val="00FC2371"/>
    <w:rsid w:val="00FC23C7"/>
    <w:rsid w:val="00FC2F1E"/>
    <w:rsid w:val="00FC3234"/>
    <w:rsid w:val="00FC39D0"/>
    <w:rsid w:val="00FC605E"/>
    <w:rsid w:val="00FC6DB2"/>
    <w:rsid w:val="00FC6FB4"/>
    <w:rsid w:val="00FC712B"/>
    <w:rsid w:val="00FC716F"/>
    <w:rsid w:val="00FC73DF"/>
    <w:rsid w:val="00FC76CD"/>
    <w:rsid w:val="00FC77C2"/>
    <w:rsid w:val="00FC7DD4"/>
    <w:rsid w:val="00FD028A"/>
    <w:rsid w:val="00FD10A9"/>
    <w:rsid w:val="00FD2B87"/>
    <w:rsid w:val="00FD3760"/>
    <w:rsid w:val="00FD3786"/>
    <w:rsid w:val="00FD3988"/>
    <w:rsid w:val="00FD3B33"/>
    <w:rsid w:val="00FD4935"/>
    <w:rsid w:val="00FD4AD2"/>
    <w:rsid w:val="00FD4D98"/>
    <w:rsid w:val="00FD5204"/>
    <w:rsid w:val="00FD5FED"/>
    <w:rsid w:val="00FD614C"/>
    <w:rsid w:val="00FD62D8"/>
    <w:rsid w:val="00FD6AE9"/>
    <w:rsid w:val="00FD6C3C"/>
    <w:rsid w:val="00FE0355"/>
    <w:rsid w:val="00FE03DE"/>
    <w:rsid w:val="00FE0619"/>
    <w:rsid w:val="00FE102A"/>
    <w:rsid w:val="00FE176B"/>
    <w:rsid w:val="00FE1959"/>
    <w:rsid w:val="00FE2BE4"/>
    <w:rsid w:val="00FE3061"/>
    <w:rsid w:val="00FE32B3"/>
    <w:rsid w:val="00FE37F3"/>
    <w:rsid w:val="00FE43E3"/>
    <w:rsid w:val="00FE4AF5"/>
    <w:rsid w:val="00FE4B19"/>
    <w:rsid w:val="00FE569C"/>
    <w:rsid w:val="00FE5A56"/>
    <w:rsid w:val="00FE5CD8"/>
    <w:rsid w:val="00FE5E4C"/>
    <w:rsid w:val="00FE5F5A"/>
    <w:rsid w:val="00FE61DF"/>
    <w:rsid w:val="00FE7A0A"/>
    <w:rsid w:val="00FF07CA"/>
    <w:rsid w:val="00FF0C79"/>
    <w:rsid w:val="00FF140E"/>
    <w:rsid w:val="00FF17F6"/>
    <w:rsid w:val="00FF1F9A"/>
    <w:rsid w:val="00FF2A0D"/>
    <w:rsid w:val="00FF2BF1"/>
    <w:rsid w:val="00FF2CF8"/>
    <w:rsid w:val="00FF31F2"/>
    <w:rsid w:val="00FF36BE"/>
    <w:rsid w:val="00FF36F0"/>
    <w:rsid w:val="00FF3A80"/>
    <w:rsid w:val="00FF3EC0"/>
    <w:rsid w:val="00FF546D"/>
    <w:rsid w:val="00FF55D4"/>
    <w:rsid w:val="00FF5671"/>
    <w:rsid w:val="00FF5997"/>
    <w:rsid w:val="00FF5CF8"/>
    <w:rsid w:val="00FF64A1"/>
    <w:rsid w:val="00FF6F67"/>
    <w:rsid w:val="00FF74C3"/>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mso-width-relative:margin;mso-height-relative:margin;v-text-anchor:bottom" fill="f" fillcolor="white" stroke="f">
      <v:fill color="white" on="f"/>
      <v:stroke weight=".5pt" on="f"/>
      <v:textbox inset="0,0,0,0"/>
    </o:shapedefaults>
    <o:shapelayout v:ext="edit">
      <o:idmap v:ext="edit" data="2"/>
    </o:shapelayout>
  </w:shapeDefaults>
  <w:decimalSymbol w:val="."/>
  <w:listSeparator w:val=","/>
  <w14:docId w14:val="42D95D8A"/>
  <w15:docId w15:val="{15D87F5D-46E0-48B1-B4E8-50801ABD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6234F"/>
    <w:pPr>
      <w:spacing w:after="200" w:line="276" w:lineRule="auto"/>
    </w:pPr>
    <w:rPr>
      <w:rFonts w:cs="Arial"/>
      <w:sz w:val="21"/>
      <w:szCs w:val="21"/>
    </w:rPr>
  </w:style>
  <w:style w:type="paragraph" w:styleId="Heading1">
    <w:name w:val="heading 1"/>
    <w:basedOn w:val="Normal"/>
    <w:next w:val="Normal"/>
    <w:link w:val="Heading1Char"/>
    <w:uiPriority w:val="9"/>
    <w:qFormat/>
    <w:rsid w:val="001C5683"/>
    <w:pPr>
      <w:keepNext/>
      <w:spacing w:after="180" w:line="240" w:lineRule="auto"/>
      <w:outlineLvl w:val="0"/>
    </w:pPr>
    <w:rPr>
      <w:bCs/>
      <w:noProof/>
      <w:color w:val="262626" w:themeColor="text1" w:themeTint="D9"/>
      <w:kern w:val="32"/>
      <w:sz w:val="40"/>
      <w:szCs w:val="40"/>
      <w:lang w:eastAsia="en-US"/>
    </w:rPr>
  </w:style>
  <w:style w:type="paragraph" w:styleId="Heading2">
    <w:name w:val="heading 2"/>
    <w:basedOn w:val="Normal"/>
    <w:next w:val="Normal"/>
    <w:link w:val="Heading2Char"/>
    <w:uiPriority w:val="9"/>
    <w:qFormat/>
    <w:rsid w:val="00392640"/>
    <w:pPr>
      <w:keepNext/>
      <w:spacing w:after="120" w:line="240" w:lineRule="auto"/>
      <w:outlineLvl w:val="1"/>
    </w:pPr>
    <w:rPr>
      <w:rFonts w:eastAsia="Calibri"/>
      <w:bCs/>
      <w:iCs/>
      <w:color w:val="595959" w:themeColor="text1" w:themeTint="A6"/>
      <w:sz w:val="32"/>
      <w:szCs w:val="32"/>
      <w:lang w:eastAsia="en-US"/>
    </w:rPr>
  </w:style>
  <w:style w:type="paragraph" w:styleId="Heading3">
    <w:name w:val="heading 3"/>
    <w:basedOn w:val="Normal"/>
    <w:next w:val="Normal"/>
    <w:link w:val="Heading3Char"/>
    <w:uiPriority w:val="9"/>
    <w:qFormat/>
    <w:rsid w:val="00215CB4"/>
    <w:pPr>
      <w:spacing w:after="120" w:line="240" w:lineRule="auto"/>
      <w:outlineLvl w:val="2"/>
    </w:pPr>
    <w:rPr>
      <w:bCs/>
      <w:sz w:val="26"/>
      <w:szCs w:val="26"/>
      <w:lang w:eastAsia="en-US"/>
    </w:rPr>
  </w:style>
  <w:style w:type="paragraph" w:styleId="Heading4">
    <w:name w:val="heading 4"/>
    <w:basedOn w:val="BodyText"/>
    <w:next w:val="Normal"/>
    <w:link w:val="Heading4Char"/>
    <w:uiPriority w:val="9"/>
    <w:unhideWhenUsed/>
    <w:qFormat/>
    <w:rsid w:val="00D21656"/>
    <w:pPr>
      <w:spacing w:after="40"/>
      <w:outlineLvl w:val="3"/>
    </w:pPr>
    <w:rPr>
      <w:rFonts w:eastAsia="Calibri"/>
      <w:b/>
      <w:sz w:val="23"/>
      <w:szCs w:val="23"/>
      <w:lang w:val="en-US" w:eastAsia="en-US"/>
    </w:rPr>
  </w:style>
  <w:style w:type="paragraph" w:styleId="Heading5">
    <w:name w:val="heading 5"/>
    <w:basedOn w:val="BodyText"/>
    <w:next w:val="Normal"/>
    <w:link w:val="Heading5Char"/>
    <w:uiPriority w:val="9"/>
    <w:unhideWhenUsed/>
    <w:qFormat/>
    <w:rsid w:val="00D21656"/>
    <w:pPr>
      <w:spacing w:after="40"/>
      <w:outlineLvl w:val="4"/>
    </w:pPr>
    <w:rPr>
      <w:rFonts w:eastAsia="Calibri"/>
      <w:b/>
      <w:i/>
      <w:lang w:val="en-US" w:eastAsia="en-US"/>
    </w:rPr>
  </w:style>
  <w:style w:type="paragraph" w:styleId="Heading6">
    <w:name w:val="heading 6"/>
    <w:basedOn w:val="Normal"/>
    <w:next w:val="Normal"/>
    <w:link w:val="Heading6Char"/>
    <w:uiPriority w:val="9"/>
    <w:unhideWhenUsed/>
    <w:qFormat/>
    <w:rsid w:val="009712CC"/>
    <w:pPr>
      <w:spacing w:before="240" w:after="60"/>
      <w:outlineLvl w:val="5"/>
    </w:pPr>
    <w:rPr>
      <w:rFonts w:cs="Times New Roman"/>
      <w:bCs/>
      <w:szCs w:val="22"/>
    </w:rPr>
  </w:style>
  <w:style w:type="paragraph" w:styleId="Heading7">
    <w:name w:val="heading 7"/>
    <w:basedOn w:val="TableFigure"/>
    <w:next w:val="Normal"/>
    <w:link w:val="Heading7Char"/>
    <w:uiPriority w:val="1"/>
    <w:unhideWhenUsed/>
    <w:qFormat/>
    <w:locked/>
    <w:rsid w:val="00E32AAD"/>
    <w:pPr>
      <w:outlineLvl w:val="6"/>
    </w:pPr>
    <w:rPr>
      <w:sz w:val="21"/>
      <w:szCs w:val="21"/>
    </w:rPr>
  </w:style>
  <w:style w:type="paragraph" w:styleId="Heading8">
    <w:name w:val="heading 8"/>
    <w:basedOn w:val="Normal"/>
    <w:next w:val="Normal"/>
    <w:link w:val="Heading8Char"/>
    <w:uiPriority w:val="1"/>
    <w:unhideWhenUsed/>
    <w:qFormat/>
    <w:locked/>
    <w:rsid w:val="008A10C1"/>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1"/>
    <w:unhideWhenUsed/>
    <w:qFormat/>
    <w:locked/>
    <w:rsid w:val="008A10C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92640"/>
    <w:rPr>
      <w:rFonts w:eastAsia="Calibri" w:cs="Arial"/>
      <w:bCs/>
      <w:iCs/>
      <w:color w:val="595959" w:themeColor="text1" w:themeTint="A6"/>
      <w:sz w:val="32"/>
      <w:szCs w:val="32"/>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uiPriority w:val="9"/>
    <w:rsid w:val="001C5683"/>
    <w:rPr>
      <w:rFonts w:cs="Arial"/>
      <w:bCs/>
      <w:noProof/>
      <w:color w:val="262626" w:themeColor="text1" w:themeTint="D9"/>
      <w:kern w:val="32"/>
      <w:sz w:val="40"/>
      <w:szCs w:val="40"/>
      <w:lang w:eastAsia="en-US"/>
    </w:rPr>
  </w:style>
  <w:style w:type="character" w:customStyle="1" w:styleId="Heading3Char">
    <w:name w:val="Heading 3 Char"/>
    <w:link w:val="Heading3"/>
    <w:uiPriority w:val="9"/>
    <w:rsid w:val="00215CB4"/>
    <w:rPr>
      <w:rFonts w:cs="Arial"/>
      <w:bCs/>
      <w:sz w:val="26"/>
      <w:szCs w:val="26"/>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uiPriority w:val="1"/>
    <w:qFormat/>
    <w:rsid w:val="00EE3D98"/>
  </w:style>
  <w:style w:type="character" w:customStyle="1" w:styleId="BodyTextChar">
    <w:name w:val="Body Text Char"/>
    <w:link w:val="BodyText"/>
    <w:uiPriority w:val="1"/>
    <w:rsid w:val="00EE3D98"/>
    <w:rPr>
      <w:rFonts w:ascii="Arial" w:hAnsi="Arial" w:cs="Arial"/>
      <w:sz w:val="21"/>
      <w:szCs w:val="21"/>
      <w:lang w:val="en-US"/>
    </w:rPr>
  </w:style>
  <w:style w:type="paragraph" w:styleId="Footer">
    <w:name w:val="footer"/>
    <w:basedOn w:val="Normal"/>
    <w:link w:val="FooterChar"/>
    <w:uiPriority w:val="99"/>
    <w:rsid w:val="00AD2753"/>
    <w:pPr>
      <w:tabs>
        <w:tab w:val="center" w:pos="4153"/>
        <w:tab w:val="right" w:pos="9639"/>
        <w:tab w:val="right" w:pos="14601"/>
      </w:tabs>
    </w:pPr>
    <w:rPr>
      <w:noProof/>
      <w:sz w:val="16"/>
      <w:szCs w:val="16"/>
    </w:rPr>
  </w:style>
  <w:style w:type="character" w:customStyle="1" w:styleId="FooterChar">
    <w:name w:val="Footer Char"/>
    <w:link w:val="Footer"/>
    <w:uiPriority w:val="99"/>
    <w:rsid w:val="00AD2753"/>
    <w:rPr>
      <w:rFonts w:cs="Arial"/>
      <w:noProof/>
      <w:sz w:val="16"/>
      <w:szCs w:val="16"/>
    </w:rPr>
  </w:style>
  <w:style w:type="paragraph" w:styleId="Header">
    <w:name w:val="header"/>
    <w:basedOn w:val="Normal"/>
    <w:link w:val="HeaderChar"/>
    <w:uiPriority w:val="99"/>
    <w:rsid w:val="009F5922"/>
    <w:pPr>
      <w:tabs>
        <w:tab w:val="center" w:pos="4153"/>
        <w:tab w:val="right" w:pos="8306"/>
      </w:tabs>
    </w:pPr>
    <w:rPr>
      <w:noProof/>
      <w:color w:val="7F7F7F" w:themeColor="text1" w:themeTint="80"/>
      <w:sz w:val="20"/>
    </w:rPr>
  </w:style>
  <w:style w:type="character" w:customStyle="1" w:styleId="HeaderChar">
    <w:name w:val="Header Char"/>
    <w:link w:val="Header"/>
    <w:uiPriority w:val="99"/>
    <w:rsid w:val="009F5922"/>
    <w:rPr>
      <w:rFonts w:cs="Arial"/>
      <w:noProof/>
      <w:color w:val="7F7F7F" w:themeColor="text1" w:themeTint="80"/>
      <w:szCs w:val="21"/>
      <w:lang w:val="en-US"/>
    </w:rPr>
  </w:style>
  <w:style w:type="paragraph" w:styleId="ListBullet">
    <w:name w:val="List Bullet"/>
    <w:basedOn w:val="Normal"/>
    <w:qFormat/>
    <w:rsid w:val="00F27225"/>
    <w:pPr>
      <w:numPr>
        <w:numId w:val="1"/>
      </w:numPr>
      <w:spacing w:after="120"/>
      <w:contextualSpacing/>
    </w:pPr>
  </w:style>
  <w:style w:type="paragraph" w:styleId="ListBullet2">
    <w:name w:val="List Bullet 2"/>
    <w:basedOn w:val="ListBullet"/>
    <w:qFormat/>
    <w:rsid w:val="00F27225"/>
    <w:pPr>
      <w:numPr>
        <w:numId w:val="0"/>
      </w:numPr>
    </w:pPr>
  </w:style>
  <w:style w:type="paragraph" w:styleId="ListNumber">
    <w:name w:val="List Number"/>
    <w:basedOn w:val="Normal"/>
    <w:rsid w:val="00F27225"/>
    <w:pPr>
      <w:numPr>
        <w:numId w:val="3"/>
      </w:numPr>
      <w:spacing w:after="120"/>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uiPriority w:val="9"/>
    <w:rsid w:val="00D21656"/>
    <w:rPr>
      <w:rFonts w:eastAsia="Calibri" w:cs="Arial"/>
      <w:b/>
      <w:sz w:val="23"/>
      <w:szCs w:val="23"/>
      <w:lang w:val="en-US" w:eastAsia="en-US"/>
    </w:rPr>
  </w:style>
  <w:style w:type="character" w:styleId="IntenseReference">
    <w:name w:val="Intense Reference"/>
    <w:uiPriority w:val="32"/>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814EBE"/>
    <w:pPr>
      <w:shd w:val="clear" w:color="auto" w:fill="7F7F7F"/>
      <w:ind w:left="142"/>
    </w:pPr>
    <w:rPr>
      <w:rFonts w:cs="Arial"/>
      <w:color w:val="FFFFFF"/>
      <w:sz w:val="21"/>
      <w:szCs w:val="21"/>
      <w:lang w:val="en-US"/>
    </w:rPr>
  </w:style>
  <w:style w:type="paragraph" w:customStyle="1" w:styleId="Tabletext">
    <w:name w:val="Table text"/>
    <w:uiPriority w:val="99"/>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qFormat/>
    <w:rsid w:val="009C7777"/>
    <w:pPr>
      <w:tabs>
        <w:tab w:val="right" w:pos="10348"/>
      </w:tabs>
      <w:spacing w:before="120" w:after="0"/>
    </w:pPr>
    <w:rPr>
      <w:rFonts w:eastAsia="Calibri"/>
      <w:b/>
      <w:bCs/>
      <w:noProof/>
      <w:sz w:val="24"/>
      <w:szCs w:val="24"/>
    </w:rPr>
  </w:style>
  <w:style w:type="paragraph" w:styleId="TOC2">
    <w:name w:val="toc 2"/>
    <w:basedOn w:val="Normal"/>
    <w:next w:val="Normal"/>
    <w:autoRedefine/>
    <w:uiPriority w:val="39"/>
    <w:qFormat/>
    <w:rsid w:val="00B00C91"/>
    <w:pPr>
      <w:tabs>
        <w:tab w:val="right" w:pos="10348"/>
      </w:tabs>
      <w:spacing w:before="60" w:after="0"/>
      <w:ind w:left="210"/>
    </w:pPr>
    <w:rPr>
      <w:noProof/>
      <w:sz w:val="22"/>
      <w:szCs w:val="22"/>
    </w:rPr>
  </w:style>
  <w:style w:type="paragraph" w:styleId="TOC3">
    <w:name w:val="toc 3"/>
    <w:basedOn w:val="Normal"/>
    <w:next w:val="Normal"/>
    <w:autoRedefine/>
    <w:uiPriority w:val="39"/>
    <w:qFormat/>
    <w:rsid w:val="0033276A"/>
    <w:pPr>
      <w:spacing w:after="0"/>
      <w:ind w:left="420"/>
    </w:pPr>
    <w:rPr>
      <w:rFonts w:asciiTheme="minorHAnsi" w:hAnsiTheme="minorHAnsi"/>
      <w:sz w:val="20"/>
      <w:szCs w:val="20"/>
    </w:rPr>
  </w:style>
  <w:style w:type="paragraph" w:styleId="TOCHeading">
    <w:name w:val="TOC Heading"/>
    <w:next w:val="Normal"/>
    <w:uiPriority w:val="39"/>
    <w:unhideWhenUsed/>
    <w:qFormat/>
    <w:rsid w:val="00A62D66"/>
    <w:pPr>
      <w:pageBreakBefore/>
      <w:spacing w:after="180" w:line="276" w:lineRule="auto"/>
    </w:pPr>
    <w:rPr>
      <w:rFonts w:cs="Arial"/>
      <w:bCs/>
      <w:iCs/>
      <w:noProof/>
      <w:color w:val="000000" w:themeColor="text1"/>
      <w:sz w:val="36"/>
      <w:szCs w:val="36"/>
    </w:rPr>
  </w:style>
  <w:style w:type="character" w:styleId="Hyperlink">
    <w:name w:val="Hyperlink"/>
    <w:uiPriority w:val="99"/>
    <w:unhideWhenUsed/>
    <w:rsid w:val="00E1387B"/>
    <w:rPr>
      <w:color w:val="0000FF"/>
      <w:u w:val="single"/>
    </w:rPr>
  </w:style>
  <w:style w:type="character" w:styleId="Strong">
    <w:name w:val="Strong"/>
    <w:uiPriority w:val="22"/>
    <w:qFormat/>
    <w:rsid w:val="00A320B9"/>
    <w:rPr>
      <w:b/>
      <w:bCs/>
    </w:rPr>
  </w:style>
  <w:style w:type="table" w:styleId="TableGrid">
    <w:name w:val="Table Grid"/>
    <w:basedOn w:val="TableNormal"/>
    <w:uiPriority w:val="39"/>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4"/>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E1387B"/>
    <w:pPr>
      <w:spacing w:after="500"/>
    </w:pPr>
    <w:rPr>
      <w:rFonts w:cs="Arial"/>
      <w:bCs/>
      <w:color w:val="FFFFFF"/>
      <w:kern w:val="32"/>
      <w:sz w:val="60"/>
      <w:szCs w:val="60"/>
      <w:lang w:val="en-US"/>
    </w:rPr>
  </w:style>
  <w:style w:type="paragraph" w:customStyle="1" w:styleId="Coverpageyear">
    <w:name w:val="Cover page: year"/>
    <w:qFormat/>
    <w:rsid w:val="00E1387B"/>
    <w:pPr>
      <w:spacing w:after="120"/>
    </w:pPr>
    <w:rPr>
      <w:rFonts w:cs="Arial"/>
      <w:color w:val="FFFFFF"/>
      <w:sz w:val="28"/>
      <w:szCs w:val="28"/>
    </w:rPr>
  </w:style>
  <w:style w:type="numbering" w:customStyle="1" w:styleId="Headings">
    <w:name w:val="Headings"/>
    <w:uiPriority w:val="99"/>
    <w:rsid w:val="00AC7596"/>
    <w:pPr>
      <w:numPr>
        <w:numId w:val="5"/>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9A76C8"/>
    <w:rPr>
      <w:i/>
    </w:rPr>
  </w:style>
  <w:style w:type="character" w:customStyle="1" w:styleId="Heading5Char">
    <w:name w:val="Heading 5 Char"/>
    <w:link w:val="Heading5"/>
    <w:uiPriority w:val="9"/>
    <w:rsid w:val="00D21656"/>
    <w:rPr>
      <w:rFonts w:eastAsia="Calibri" w:cs="Arial"/>
      <w:b/>
      <w:i/>
      <w:sz w:val="21"/>
      <w:szCs w:val="21"/>
      <w:lang w:val="en-US" w:eastAsia="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6902E5"/>
    <w:pPr>
      <w:pBdr>
        <w:top w:val="single" w:sz="2" w:space="1" w:color="5C215E"/>
        <w:bottom w:val="single" w:sz="2" w:space="1" w:color="5C215E"/>
      </w:pBdr>
      <w:spacing w:before="300" w:after="300"/>
      <w:ind w:right="126"/>
    </w:pPr>
    <w:rPr>
      <w:i/>
      <w:color w:val="55C5CA"/>
      <w:sz w:val="24"/>
      <w:szCs w:val="24"/>
    </w:rPr>
  </w:style>
  <w:style w:type="character" w:customStyle="1" w:styleId="Heading6Char">
    <w:name w:val="Heading 6 Char"/>
    <w:link w:val="Heading6"/>
    <w:uiPriority w:val="1"/>
    <w:rsid w:val="009712CC"/>
    <w:rPr>
      <w:bCs/>
      <w:sz w:val="21"/>
      <w:szCs w:val="22"/>
    </w:rPr>
  </w:style>
  <w:style w:type="character" w:customStyle="1" w:styleId="Heading7Char">
    <w:name w:val="Heading 7 Char"/>
    <w:link w:val="Heading7"/>
    <w:uiPriority w:val="1"/>
    <w:rsid w:val="00E32AAD"/>
    <w:rPr>
      <w:rFonts w:cs="Arial"/>
      <w:i/>
      <w:color w:val="7F7F7F"/>
      <w:sz w:val="21"/>
      <w:szCs w:val="21"/>
      <w:lang w:val="en-US"/>
    </w:rPr>
  </w:style>
  <w:style w:type="character" w:customStyle="1" w:styleId="Heading8Char">
    <w:name w:val="Heading 8 Char"/>
    <w:link w:val="Heading8"/>
    <w:uiPriority w:val="1"/>
    <w:rsid w:val="008A10C1"/>
    <w:rPr>
      <w:rFonts w:ascii="Calibri" w:hAnsi="Calibri"/>
      <w:i/>
      <w:iCs/>
      <w:sz w:val="24"/>
      <w:szCs w:val="24"/>
    </w:rPr>
  </w:style>
  <w:style w:type="character" w:customStyle="1" w:styleId="Heading9Char">
    <w:name w:val="Heading 9 Char"/>
    <w:link w:val="Heading9"/>
    <w:uiPriority w:val="1"/>
    <w:rsid w:val="008A10C1"/>
    <w:rPr>
      <w:rFonts w:ascii="Cambria" w:hAnsi="Cambria"/>
      <w:sz w:val="22"/>
      <w:szCs w:val="22"/>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6"/>
      </w:numPr>
      <w:tabs>
        <w:tab w:val="left" w:pos="1134"/>
      </w:tabs>
      <w:autoSpaceDE w:val="0"/>
      <w:autoSpaceDN w:val="0"/>
      <w:adjustRightInd w:val="0"/>
      <w:spacing w:after="0" w:line="240" w:lineRule="auto"/>
      <w:ind w:left="1134" w:hanging="567"/>
    </w:pPr>
    <w:rPr>
      <w:color w:val="000000"/>
      <w:sz w:val="22"/>
      <w:szCs w:val="22"/>
    </w:rPr>
  </w:style>
  <w:style w:type="paragraph" w:styleId="ListParagraph">
    <w:name w:val="List Paragraph"/>
    <w:aliases w:val="List Paragraph1,List Paragraph11,Recommendation,Bullet point,Bulleted List,NAST Quote,List Paragraph Number,Bulleted Para,NFP GP Bulleted List,bullet point list,L,Bullet points,Content descriptions,Bullet Point,List Paragraph2,Dot pt,列出段落"/>
    <w:basedOn w:val="Normal"/>
    <w:link w:val="ListParagraphChar"/>
    <w:uiPriority w:val="34"/>
    <w:qFormat/>
    <w:rsid w:val="00EC50A2"/>
    <w:pPr>
      <w:ind w:left="720"/>
      <w:contextualSpacing/>
    </w:pPr>
  </w:style>
  <w:style w:type="paragraph" w:customStyle="1" w:styleId="TableParagraph">
    <w:name w:val="Table Paragraph"/>
    <w:basedOn w:val="Normal"/>
    <w:uiPriority w:val="1"/>
    <w:qFormat/>
    <w:rsid w:val="00D53EA9"/>
    <w:pPr>
      <w:widowControl w:val="0"/>
      <w:spacing w:after="0" w:line="240" w:lineRule="auto"/>
    </w:pPr>
    <w:rPr>
      <w:rFonts w:ascii="Calibri" w:eastAsia="Calibri" w:hAnsi="Calibri" w:cs="Times New Roman"/>
      <w:sz w:val="22"/>
      <w:szCs w:val="22"/>
      <w:lang w:eastAsia="en-US"/>
    </w:rPr>
  </w:style>
  <w:style w:type="numbering" w:customStyle="1" w:styleId="NoList1">
    <w:name w:val="No List1"/>
    <w:next w:val="NoList"/>
    <w:uiPriority w:val="99"/>
    <w:semiHidden/>
    <w:unhideWhenUsed/>
    <w:rsid w:val="002C51CF"/>
  </w:style>
  <w:style w:type="numbering" w:customStyle="1" w:styleId="NoList2">
    <w:name w:val="No List2"/>
    <w:next w:val="NoList"/>
    <w:uiPriority w:val="99"/>
    <w:semiHidden/>
    <w:unhideWhenUsed/>
    <w:rsid w:val="00FB48FC"/>
  </w:style>
  <w:style w:type="numbering" w:customStyle="1" w:styleId="NoList3">
    <w:name w:val="No List3"/>
    <w:next w:val="NoList"/>
    <w:uiPriority w:val="99"/>
    <w:semiHidden/>
    <w:unhideWhenUsed/>
    <w:rsid w:val="00926340"/>
  </w:style>
  <w:style w:type="table" w:customStyle="1" w:styleId="TableGrid1">
    <w:name w:val="Table Grid1"/>
    <w:basedOn w:val="TableNormal"/>
    <w:next w:val="TableGrid"/>
    <w:uiPriority w:val="39"/>
    <w:rsid w:val="007F6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0B34FA"/>
    <w:pPr>
      <w:spacing w:after="0"/>
      <w:ind w:left="630"/>
    </w:pPr>
    <w:rPr>
      <w:rFonts w:asciiTheme="minorHAnsi" w:hAnsiTheme="minorHAnsi"/>
      <w:sz w:val="20"/>
      <w:szCs w:val="20"/>
    </w:rPr>
  </w:style>
  <w:style w:type="paragraph" w:styleId="TOC5">
    <w:name w:val="toc 5"/>
    <w:basedOn w:val="Normal"/>
    <w:next w:val="Normal"/>
    <w:autoRedefine/>
    <w:uiPriority w:val="39"/>
    <w:unhideWhenUsed/>
    <w:locked/>
    <w:rsid w:val="000B34FA"/>
    <w:pPr>
      <w:spacing w:after="0"/>
      <w:ind w:left="840"/>
    </w:pPr>
    <w:rPr>
      <w:rFonts w:asciiTheme="minorHAnsi" w:hAnsiTheme="minorHAnsi"/>
      <w:sz w:val="20"/>
      <w:szCs w:val="20"/>
    </w:rPr>
  </w:style>
  <w:style w:type="paragraph" w:styleId="TOC6">
    <w:name w:val="toc 6"/>
    <w:basedOn w:val="Normal"/>
    <w:next w:val="Normal"/>
    <w:autoRedefine/>
    <w:uiPriority w:val="39"/>
    <w:unhideWhenUsed/>
    <w:locked/>
    <w:rsid w:val="000B34FA"/>
    <w:pPr>
      <w:spacing w:after="0"/>
      <w:ind w:left="1050"/>
    </w:pPr>
    <w:rPr>
      <w:rFonts w:asciiTheme="minorHAnsi" w:hAnsiTheme="minorHAnsi"/>
      <w:sz w:val="20"/>
      <w:szCs w:val="20"/>
    </w:rPr>
  </w:style>
  <w:style w:type="paragraph" w:styleId="TOC7">
    <w:name w:val="toc 7"/>
    <w:basedOn w:val="Normal"/>
    <w:next w:val="Normal"/>
    <w:autoRedefine/>
    <w:uiPriority w:val="39"/>
    <w:unhideWhenUsed/>
    <w:locked/>
    <w:rsid w:val="000B34FA"/>
    <w:pPr>
      <w:spacing w:after="0"/>
      <w:ind w:left="1260"/>
    </w:pPr>
    <w:rPr>
      <w:rFonts w:asciiTheme="minorHAnsi" w:hAnsiTheme="minorHAnsi"/>
      <w:sz w:val="20"/>
      <w:szCs w:val="20"/>
    </w:rPr>
  </w:style>
  <w:style w:type="paragraph" w:styleId="TOC8">
    <w:name w:val="toc 8"/>
    <w:basedOn w:val="Normal"/>
    <w:next w:val="Normal"/>
    <w:autoRedefine/>
    <w:uiPriority w:val="39"/>
    <w:unhideWhenUsed/>
    <w:locked/>
    <w:rsid w:val="000B34FA"/>
    <w:pPr>
      <w:spacing w:after="0"/>
      <w:ind w:left="1470"/>
    </w:pPr>
    <w:rPr>
      <w:rFonts w:asciiTheme="minorHAnsi" w:hAnsiTheme="minorHAnsi"/>
      <w:sz w:val="20"/>
      <w:szCs w:val="20"/>
    </w:rPr>
  </w:style>
  <w:style w:type="paragraph" w:styleId="TOC9">
    <w:name w:val="toc 9"/>
    <w:basedOn w:val="Normal"/>
    <w:next w:val="Normal"/>
    <w:autoRedefine/>
    <w:uiPriority w:val="39"/>
    <w:unhideWhenUsed/>
    <w:locked/>
    <w:rsid w:val="000B34FA"/>
    <w:pPr>
      <w:spacing w:after="0"/>
      <w:ind w:left="1680"/>
    </w:pPr>
    <w:rPr>
      <w:rFonts w:asciiTheme="minorHAnsi" w:hAnsiTheme="minorHAnsi"/>
      <w:sz w:val="20"/>
      <w:szCs w:val="20"/>
    </w:rPr>
  </w:style>
  <w:style w:type="paragraph" w:styleId="NormalWeb">
    <w:name w:val="Normal (Web)"/>
    <w:basedOn w:val="Normal"/>
    <w:uiPriority w:val="99"/>
    <w:semiHidden/>
    <w:unhideWhenUsed/>
    <w:locked/>
    <w:rsid w:val="00421255"/>
    <w:pPr>
      <w:spacing w:before="120" w:after="24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locked/>
    <w:rsid w:val="00E05DD3"/>
    <w:rPr>
      <w:sz w:val="16"/>
      <w:szCs w:val="16"/>
    </w:rPr>
  </w:style>
  <w:style w:type="paragraph" w:styleId="CommentText">
    <w:name w:val="annotation text"/>
    <w:basedOn w:val="Normal"/>
    <w:link w:val="CommentTextChar"/>
    <w:uiPriority w:val="99"/>
    <w:unhideWhenUsed/>
    <w:locked/>
    <w:rsid w:val="00E05DD3"/>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05DD3"/>
    <w:rPr>
      <w:rFonts w:asciiTheme="minorHAnsi" w:eastAsiaTheme="minorHAnsi" w:hAnsiTheme="minorHAnsi" w:cstheme="minorBidi"/>
      <w:lang w:eastAsia="en-US"/>
    </w:rPr>
  </w:style>
  <w:style w:type="table" w:customStyle="1" w:styleId="TableGrid2">
    <w:name w:val="Table Grid2"/>
    <w:basedOn w:val="TableNormal"/>
    <w:next w:val="TableGrid"/>
    <w:uiPriority w:val="39"/>
    <w:rsid w:val="00995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4B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E0619"/>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161D6A"/>
    <w:pPr>
      <w:spacing w:after="200"/>
    </w:pPr>
    <w:rPr>
      <w:rFonts w:ascii="Arial" w:eastAsia="Times New Roman" w:hAnsi="Arial" w:cs="Arial"/>
      <w:b/>
      <w:bCs/>
      <w:lang w:val="en-US" w:eastAsia="en-AU"/>
    </w:rPr>
  </w:style>
  <w:style w:type="character" w:customStyle="1" w:styleId="CommentSubjectChar">
    <w:name w:val="Comment Subject Char"/>
    <w:basedOn w:val="CommentTextChar"/>
    <w:link w:val="CommentSubject"/>
    <w:uiPriority w:val="99"/>
    <w:semiHidden/>
    <w:rsid w:val="00161D6A"/>
    <w:rPr>
      <w:rFonts w:asciiTheme="minorHAnsi" w:eastAsiaTheme="minorHAnsi" w:hAnsiTheme="minorHAnsi" w:cs="Arial"/>
      <w:b/>
      <w:bCs/>
      <w:lang w:val="en-US" w:eastAsia="en-US"/>
    </w:rPr>
  </w:style>
  <w:style w:type="paragraph" w:styleId="Revision">
    <w:name w:val="Revision"/>
    <w:hidden/>
    <w:uiPriority w:val="99"/>
    <w:semiHidden/>
    <w:rsid w:val="00EB3875"/>
    <w:rPr>
      <w:rFonts w:cs="Arial"/>
      <w:sz w:val="21"/>
      <w:szCs w:val="21"/>
    </w:rPr>
  </w:style>
  <w:style w:type="numbering" w:customStyle="1" w:styleId="NoList4">
    <w:name w:val="No List4"/>
    <w:next w:val="NoList"/>
    <w:uiPriority w:val="99"/>
    <w:semiHidden/>
    <w:unhideWhenUsed/>
    <w:rsid w:val="00F86D83"/>
  </w:style>
  <w:style w:type="paragraph" w:customStyle="1" w:styleId="Default">
    <w:name w:val="Default"/>
    <w:rsid w:val="00B610F0"/>
    <w:pPr>
      <w:autoSpaceDE w:val="0"/>
      <w:autoSpaceDN w:val="0"/>
      <w:adjustRightInd w:val="0"/>
    </w:pPr>
    <w:rPr>
      <w:rFonts w:cs="Arial"/>
      <w:color w:val="000000"/>
      <w:sz w:val="24"/>
      <w:szCs w:val="24"/>
    </w:rPr>
  </w:style>
  <w:style w:type="character" w:styleId="FootnoteReference">
    <w:name w:val="footnote reference"/>
    <w:basedOn w:val="DefaultParagraphFont"/>
    <w:uiPriority w:val="99"/>
    <w:semiHidden/>
    <w:unhideWhenUsed/>
    <w:rsid w:val="00831F08"/>
    <w:rPr>
      <w:vertAlign w:val="superscript"/>
    </w:rPr>
  </w:style>
  <w:style w:type="character" w:customStyle="1" w:styleId="UnresolvedMention1">
    <w:name w:val="Unresolved Mention1"/>
    <w:basedOn w:val="DefaultParagraphFont"/>
    <w:uiPriority w:val="99"/>
    <w:semiHidden/>
    <w:unhideWhenUsed/>
    <w:rsid w:val="00FA0C4B"/>
    <w:rPr>
      <w:color w:val="605E5C"/>
      <w:shd w:val="clear" w:color="auto" w:fill="E1DFDD"/>
    </w:rPr>
  </w:style>
  <w:style w:type="numbering" w:customStyle="1" w:styleId="NoList5">
    <w:name w:val="No List5"/>
    <w:next w:val="NoList"/>
    <w:uiPriority w:val="99"/>
    <w:semiHidden/>
    <w:unhideWhenUsed/>
    <w:rsid w:val="00C90D37"/>
  </w:style>
  <w:style w:type="numbering" w:customStyle="1" w:styleId="NoList6">
    <w:name w:val="No List6"/>
    <w:next w:val="NoList"/>
    <w:uiPriority w:val="99"/>
    <w:semiHidden/>
    <w:unhideWhenUsed/>
    <w:rsid w:val="001426EA"/>
  </w:style>
  <w:style w:type="numbering" w:customStyle="1" w:styleId="NoList7">
    <w:name w:val="No List7"/>
    <w:next w:val="NoList"/>
    <w:uiPriority w:val="99"/>
    <w:semiHidden/>
    <w:unhideWhenUsed/>
    <w:rsid w:val="001426EA"/>
  </w:style>
  <w:style w:type="numbering" w:customStyle="1" w:styleId="NoList8">
    <w:name w:val="No List8"/>
    <w:next w:val="NoList"/>
    <w:uiPriority w:val="99"/>
    <w:semiHidden/>
    <w:unhideWhenUsed/>
    <w:rsid w:val="00A31C9B"/>
  </w:style>
  <w:style w:type="paragraph" w:customStyle="1" w:styleId="Paragraph">
    <w:name w:val="Paragraph"/>
    <w:basedOn w:val="Normal"/>
    <w:qFormat/>
    <w:rsid w:val="00C36502"/>
    <w:pPr>
      <w:overflowPunct w:val="0"/>
      <w:autoSpaceDE w:val="0"/>
      <w:autoSpaceDN w:val="0"/>
      <w:adjustRightInd w:val="0"/>
      <w:spacing w:line="240" w:lineRule="auto"/>
      <w:ind w:left="567" w:hanging="567"/>
    </w:pPr>
    <w:rPr>
      <w:rFonts w:cs="Times New Roman"/>
      <w:sz w:val="22"/>
      <w:szCs w:val="20"/>
      <w:lang w:eastAsia="en-US"/>
    </w:rPr>
  </w:style>
  <w:style w:type="character" w:styleId="Emphasis">
    <w:name w:val="Emphasis"/>
    <w:basedOn w:val="DefaultParagraphFont"/>
    <w:uiPriority w:val="20"/>
    <w:qFormat/>
    <w:locked/>
    <w:rsid w:val="00CA7961"/>
    <w:rPr>
      <w:i/>
      <w:iCs/>
    </w:rPr>
  </w:style>
  <w:style w:type="table" w:customStyle="1" w:styleId="TableGrid4">
    <w:name w:val="Table Grid4"/>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0E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qFormat/>
    <w:rsid w:val="00C5313E"/>
    <w:pPr>
      <w:numPr>
        <w:numId w:val="7"/>
      </w:numPr>
      <w:spacing w:after="113"/>
      <w:ind w:left="360"/>
    </w:pPr>
    <w:rPr>
      <w:rFonts w:eastAsiaTheme="minorHAnsi" w:cs="Arial"/>
      <w:sz w:val="22"/>
      <w:szCs w:val="22"/>
      <w:lang w:eastAsia="en-US"/>
    </w:rPr>
  </w:style>
  <w:style w:type="paragraph" w:customStyle="1" w:styleId="Tablebody">
    <w:name w:val="Table body"/>
    <w:basedOn w:val="Normal"/>
    <w:qFormat/>
    <w:rsid w:val="00886227"/>
    <w:pPr>
      <w:spacing w:after="227" w:line="240" w:lineRule="auto"/>
    </w:pPr>
    <w:rPr>
      <w:rFonts w:eastAsiaTheme="minorHAnsi"/>
      <w:sz w:val="20"/>
      <w:szCs w:val="20"/>
      <w:lang w:eastAsia="en-US"/>
    </w:rPr>
  </w:style>
  <w:style w:type="table" w:customStyle="1" w:styleId="TableGrid7">
    <w:name w:val="Table Grid7"/>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844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7D2"/>
    <w:rPr>
      <w:color w:val="605E5C"/>
      <w:shd w:val="clear" w:color="auto" w:fill="E1DFDD"/>
    </w:rPr>
  </w:style>
  <w:style w:type="character" w:customStyle="1" w:styleId="ListParagraphChar">
    <w:name w:val="List Paragraph Char"/>
    <w:aliases w:val="List Paragraph1 Char,List Paragraph11 Char,Recommendation Char,Bullet point Char,Bulleted List Char,NAST Quote Char,List Paragraph Number Char,Bulleted Para Char,NFP GP Bulleted List Char,bullet point list Char,L Char,Dot pt Char"/>
    <w:link w:val="ListParagraph"/>
    <w:uiPriority w:val="34"/>
    <w:locked/>
    <w:rsid w:val="00C448A9"/>
    <w:rPr>
      <w:rFonts w:cs="Arial"/>
      <w:sz w:val="21"/>
      <w:szCs w:val="21"/>
    </w:rPr>
  </w:style>
  <w:style w:type="paragraph" w:customStyle="1" w:styleId="PortfolioBullet">
    <w:name w:val="Portfolio_Bullet"/>
    <w:basedOn w:val="Normal"/>
    <w:rsid w:val="007E08FD"/>
    <w:pPr>
      <w:keepLines/>
      <w:numPr>
        <w:numId w:val="8"/>
      </w:numPr>
      <w:spacing w:after="240" w:line="240" w:lineRule="auto"/>
      <w:jc w:val="both"/>
    </w:pPr>
    <w:rPr>
      <w:rFonts w:cs="Times New Roman"/>
      <w:sz w:val="22"/>
      <w:szCs w:val="20"/>
      <w:lang w:eastAsia="en-US"/>
    </w:rPr>
  </w:style>
  <w:style w:type="paragraph" w:customStyle="1" w:styleId="PortfolioBullet2">
    <w:name w:val="Portfolio_Bullet2"/>
    <w:basedOn w:val="Normal"/>
    <w:rsid w:val="007E08FD"/>
    <w:pPr>
      <w:keepLines/>
      <w:numPr>
        <w:ilvl w:val="1"/>
        <w:numId w:val="8"/>
      </w:numPr>
      <w:spacing w:after="240" w:line="240" w:lineRule="auto"/>
      <w:jc w:val="both"/>
    </w:pPr>
    <w:rPr>
      <w:rFonts w:cs="Times New Roman"/>
      <w:sz w:val="22"/>
      <w:szCs w:val="20"/>
      <w:lang w:eastAsia="en-US"/>
    </w:rPr>
  </w:style>
  <w:style w:type="paragraph" w:customStyle="1" w:styleId="PortfolioBullet3">
    <w:name w:val="Portfolio_Bullet3"/>
    <w:basedOn w:val="Normal"/>
    <w:rsid w:val="007E08FD"/>
    <w:pPr>
      <w:keepLines/>
      <w:numPr>
        <w:ilvl w:val="2"/>
        <w:numId w:val="8"/>
      </w:numPr>
      <w:spacing w:after="240" w:line="240" w:lineRule="auto"/>
      <w:jc w:val="both"/>
    </w:pPr>
    <w:rPr>
      <w:rFonts w:cs="Times New Roman"/>
      <w:sz w:val="22"/>
      <w:szCs w:val="20"/>
      <w:lang w:eastAsia="en-US"/>
    </w:rPr>
  </w:style>
  <w:style w:type="character" w:customStyle="1" w:styleId="normaltextrun1">
    <w:name w:val="normaltextrun1"/>
    <w:basedOn w:val="DefaultParagraphFont"/>
    <w:rsid w:val="00A1591D"/>
  </w:style>
  <w:style w:type="paragraph" w:customStyle="1" w:styleId="paragraph0">
    <w:name w:val="paragraph"/>
    <w:basedOn w:val="Normal"/>
    <w:rsid w:val="00A1591D"/>
    <w:pPr>
      <w:spacing w:after="0" w:line="240" w:lineRule="auto"/>
    </w:pPr>
    <w:rPr>
      <w:rFonts w:ascii="Times New Roman" w:hAnsi="Times New Roman" w:cs="Times New Roman"/>
      <w:sz w:val="24"/>
      <w:szCs w:val="24"/>
    </w:rPr>
  </w:style>
  <w:style w:type="character" w:customStyle="1" w:styleId="eop">
    <w:name w:val="eop"/>
    <w:basedOn w:val="DefaultParagraphFont"/>
    <w:rsid w:val="00A1591D"/>
  </w:style>
  <w:style w:type="paragraph" w:styleId="FootnoteText">
    <w:name w:val="footnote text"/>
    <w:basedOn w:val="Normal"/>
    <w:link w:val="FootnoteTextChar"/>
    <w:uiPriority w:val="99"/>
    <w:semiHidden/>
    <w:unhideWhenUsed/>
    <w:rsid w:val="00A1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91D"/>
    <w:rPr>
      <w:rFonts w:cs="Arial"/>
    </w:rPr>
  </w:style>
  <w:style w:type="numbering" w:customStyle="1" w:styleId="NoList9">
    <w:name w:val="No List9"/>
    <w:next w:val="NoList"/>
    <w:uiPriority w:val="99"/>
    <w:semiHidden/>
    <w:unhideWhenUsed/>
    <w:rsid w:val="000B582A"/>
  </w:style>
  <w:style w:type="table" w:customStyle="1" w:styleId="Tablestyle-header1">
    <w:name w:val="Table style - header1"/>
    <w:basedOn w:val="TableNormal"/>
    <w:uiPriority w:val="99"/>
    <w:rsid w:val="000B582A"/>
    <w:tblPr/>
  </w:style>
  <w:style w:type="table" w:customStyle="1" w:styleId="TableGrid13">
    <w:name w:val="Table Grid13"/>
    <w:basedOn w:val="TableNormal"/>
    <w:next w:val="TableGrid"/>
    <w:locked/>
    <w:rsid w:val="000B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582A"/>
  </w:style>
  <w:style w:type="numbering" w:customStyle="1" w:styleId="NoList21">
    <w:name w:val="No List21"/>
    <w:next w:val="NoList"/>
    <w:uiPriority w:val="99"/>
    <w:semiHidden/>
    <w:unhideWhenUsed/>
    <w:rsid w:val="000B582A"/>
  </w:style>
  <w:style w:type="numbering" w:customStyle="1" w:styleId="NoList31">
    <w:name w:val="No List31"/>
    <w:next w:val="NoList"/>
    <w:uiPriority w:val="99"/>
    <w:semiHidden/>
    <w:unhideWhenUsed/>
    <w:rsid w:val="000B582A"/>
  </w:style>
  <w:style w:type="table" w:customStyle="1" w:styleId="TableGrid14">
    <w:name w:val="Table Grid14"/>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B582A"/>
  </w:style>
  <w:style w:type="numbering" w:customStyle="1" w:styleId="NoList51">
    <w:name w:val="No List51"/>
    <w:next w:val="NoList"/>
    <w:uiPriority w:val="99"/>
    <w:semiHidden/>
    <w:unhideWhenUsed/>
    <w:rsid w:val="000B582A"/>
  </w:style>
  <w:style w:type="numbering" w:customStyle="1" w:styleId="NoList61">
    <w:name w:val="No List61"/>
    <w:next w:val="NoList"/>
    <w:uiPriority w:val="99"/>
    <w:semiHidden/>
    <w:unhideWhenUsed/>
    <w:rsid w:val="000B582A"/>
  </w:style>
  <w:style w:type="numbering" w:customStyle="1" w:styleId="NoList71">
    <w:name w:val="No List71"/>
    <w:next w:val="NoList"/>
    <w:uiPriority w:val="99"/>
    <w:semiHidden/>
    <w:unhideWhenUsed/>
    <w:rsid w:val="000B582A"/>
  </w:style>
  <w:style w:type="numbering" w:customStyle="1" w:styleId="NoList81">
    <w:name w:val="No List81"/>
    <w:next w:val="NoList"/>
    <w:uiPriority w:val="99"/>
    <w:semiHidden/>
    <w:unhideWhenUsed/>
    <w:rsid w:val="000B582A"/>
  </w:style>
  <w:style w:type="table" w:customStyle="1" w:styleId="TableGrid41">
    <w:name w:val="Table Grid4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qFormat/>
    <w:rsid w:val="0049054E"/>
    <w:rPr>
      <w:rFonts w:eastAsiaTheme="minorHAnsi" w:cs="Arial"/>
      <w:b/>
      <w:sz w:val="56"/>
      <w:szCs w:val="56"/>
      <w:lang w:eastAsia="en-US"/>
    </w:rPr>
  </w:style>
  <w:style w:type="paragraph" w:customStyle="1" w:styleId="H2">
    <w:name w:val="H2"/>
    <w:qFormat/>
    <w:rsid w:val="0049054E"/>
    <w:rPr>
      <w:rFonts w:eastAsiaTheme="minorHAnsi" w:cs="Arial"/>
      <w:b/>
      <w:sz w:val="32"/>
      <w:szCs w:val="32"/>
      <w:lang w:eastAsia="en-US"/>
    </w:rPr>
  </w:style>
  <w:style w:type="paragraph" w:customStyle="1" w:styleId="Bulletsindented">
    <w:name w:val="Bullets indented"/>
    <w:next w:val="Normal"/>
    <w:qFormat/>
    <w:rsid w:val="0049054E"/>
    <w:pPr>
      <w:ind w:left="1440" w:hanging="360"/>
    </w:pPr>
    <w:rPr>
      <w:rFonts w:eastAsiaTheme="minorHAnsi" w:cs="Arial"/>
      <w:sz w:val="22"/>
      <w:szCs w:val="22"/>
      <w:lang w:eastAsia="en-US"/>
    </w:rPr>
  </w:style>
  <w:style w:type="paragraph" w:customStyle="1" w:styleId="BasicParagraph">
    <w:name w:val="[Basic Paragraph]"/>
    <w:basedOn w:val="Normal"/>
    <w:uiPriority w:val="99"/>
    <w:rsid w:val="009E4C5F"/>
    <w:pPr>
      <w:autoSpaceDE w:val="0"/>
      <w:autoSpaceDN w:val="0"/>
      <w:adjustRightInd w:val="0"/>
      <w:spacing w:after="0" w:line="220" w:lineRule="atLeast"/>
      <w:textAlignment w:val="center"/>
    </w:pPr>
    <w:rPr>
      <w:rFonts w:ascii="MetaPro-Norm" w:eastAsia="Calibri" w:hAnsi="MetaPro-Norm" w:cs="MetaPro-Norm"/>
      <w:color w:val="000000"/>
      <w:sz w:val="18"/>
      <w:szCs w:val="18"/>
      <w:lang w:val="en-US" w:eastAsia="en-US"/>
    </w:rPr>
  </w:style>
  <w:style w:type="numbering" w:customStyle="1" w:styleId="NoList10">
    <w:name w:val="No List10"/>
    <w:next w:val="NoList"/>
    <w:uiPriority w:val="99"/>
    <w:semiHidden/>
    <w:unhideWhenUsed/>
    <w:rsid w:val="00AD5FC1"/>
  </w:style>
  <w:style w:type="paragraph" w:customStyle="1" w:styleId="Pa32">
    <w:name w:val="Pa32"/>
    <w:basedOn w:val="Default"/>
    <w:next w:val="Default"/>
    <w:uiPriority w:val="99"/>
    <w:rsid w:val="00C06A25"/>
    <w:pPr>
      <w:spacing w:line="201" w:lineRule="atLeast"/>
    </w:pPr>
    <w:rPr>
      <w:rFonts w:ascii="MetaPro-Bold" w:hAnsi="MetaPro-Bold" w:cs="Times New Roman"/>
      <w:color w:val="auto"/>
      <w:lang w:val="en-GB"/>
    </w:rPr>
  </w:style>
  <w:style w:type="paragraph" w:styleId="NoSpacing">
    <w:name w:val="No Spacing"/>
    <w:link w:val="NoSpacingChar"/>
    <w:uiPriority w:val="1"/>
    <w:qFormat/>
    <w:locked/>
    <w:rsid w:val="00C06A25"/>
    <w:rPr>
      <w:rFonts w:cs="Arial"/>
      <w:sz w:val="21"/>
      <w:szCs w:val="21"/>
    </w:rPr>
  </w:style>
  <w:style w:type="paragraph" w:customStyle="1" w:styleId="Pa33">
    <w:name w:val="Pa33"/>
    <w:basedOn w:val="Default"/>
    <w:next w:val="Default"/>
    <w:uiPriority w:val="99"/>
    <w:rsid w:val="00C06A25"/>
    <w:pPr>
      <w:spacing w:line="161" w:lineRule="atLeast"/>
    </w:pPr>
    <w:rPr>
      <w:rFonts w:ascii="MetaPro-Light" w:hAnsi="MetaPro-Light" w:cs="Times New Roman"/>
      <w:color w:val="auto"/>
      <w:lang w:val="en-GB"/>
    </w:rPr>
  </w:style>
  <w:style w:type="paragraph" w:customStyle="1" w:styleId="Chart">
    <w:name w:val="Chart"/>
    <w:qFormat/>
    <w:rsid w:val="00B93580"/>
    <w:pPr>
      <w:jc w:val="center"/>
    </w:pPr>
    <w:rPr>
      <w:rFonts w:cs="Arial"/>
      <w:color w:val="FFFFFF" w:themeColor="background1"/>
      <w:sz w:val="18"/>
      <w:szCs w:val="18"/>
    </w:rPr>
  </w:style>
  <w:style w:type="paragraph" w:customStyle="1" w:styleId="H1notlinked">
    <w:name w:val="H1 not linked"/>
    <w:qFormat/>
    <w:rsid w:val="00496BF5"/>
    <w:pPr>
      <w:spacing w:after="200"/>
    </w:pPr>
    <w:rPr>
      <w:rFonts w:eastAsia="Calibri" w:cs="Arial"/>
      <w:bCs/>
      <w:noProof/>
      <w:color w:val="262626" w:themeColor="text1" w:themeTint="D9"/>
      <w:kern w:val="32"/>
      <w:sz w:val="40"/>
      <w:szCs w:val="40"/>
      <w:lang w:eastAsia="en-US"/>
    </w:rPr>
  </w:style>
  <w:style w:type="numbering" w:customStyle="1" w:styleId="NoList12">
    <w:name w:val="No List12"/>
    <w:next w:val="NoList"/>
    <w:uiPriority w:val="99"/>
    <w:semiHidden/>
    <w:unhideWhenUsed/>
    <w:rsid w:val="00AC2714"/>
  </w:style>
  <w:style w:type="paragraph" w:customStyle="1" w:styleId="NoteIndent">
    <w:name w:val="Note Indent"/>
    <w:basedOn w:val="Normal"/>
    <w:uiPriority w:val="22"/>
    <w:qFormat/>
    <w:rsid w:val="00096BE4"/>
    <w:pPr>
      <w:numPr>
        <w:numId w:val="27"/>
      </w:numPr>
      <w:tabs>
        <w:tab w:val="left" w:pos="357"/>
      </w:tabs>
      <w:spacing w:before="60" w:after="60" w:line="264" w:lineRule="auto"/>
    </w:pPr>
    <w:rPr>
      <w:rFonts w:eastAsiaTheme="minorHAnsi" w:cstheme="minorBidi"/>
      <w:sz w:val="16"/>
      <w:szCs w:val="18"/>
      <w:lang w:eastAsia="en-US"/>
    </w:rPr>
  </w:style>
  <w:style w:type="character" w:customStyle="1" w:styleId="Italics">
    <w:name w:val="Italics"/>
    <w:basedOn w:val="DefaultParagraphFont"/>
    <w:uiPriority w:val="1"/>
    <w:qFormat/>
    <w:rsid w:val="00096BE4"/>
    <w:rPr>
      <w:i/>
    </w:rPr>
  </w:style>
  <w:style w:type="character" w:customStyle="1" w:styleId="Superscript">
    <w:name w:val="Superscript"/>
    <w:basedOn w:val="DefaultParagraphFont"/>
    <w:uiPriority w:val="1"/>
    <w:qFormat/>
    <w:rsid w:val="00096BE4"/>
    <w:rPr>
      <w:vertAlign w:val="superscript"/>
    </w:rPr>
  </w:style>
  <w:style w:type="paragraph" w:customStyle="1" w:styleId="CM131">
    <w:name w:val="CM131"/>
    <w:basedOn w:val="Default"/>
    <w:next w:val="Default"/>
    <w:uiPriority w:val="99"/>
    <w:rsid w:val="00BF0604"/>
    <w:rPr>
      <w:rFonts w:ascii="MetaPro-LightIta" w:hAnsi="MetaPro-LightIta" w:cs="Times New Roman"/>
      <w:color w:val="auto"/>
    </w:rPr>
  </w:style>
  <w:style w:type="paragraph" w:customStyle="1" w:styleId="ARINTROPARA">
    <w:name w:val="AR INTRO PARA"/>
    <w:basedOn w:val="BodyText"/>
    <w:qFormat/>
    <w:rsid w:val="009005AB"/>
    <w:pPr>
      <w:widowControl w:val="0"/>
      <w:suppressAutoHyphens/>
      <w:spacing w:after="240" w:line="288" w:lineRule="auto"/>
    </w:pPr>
    <w:rPr>
      <w:rFonts w:eastAsia="Arial" w:cstheme="minorBidi"/>
      <w:color w:val="C00000"/>
      <w:sz w:val="24"/>
      <w:szCs w:val="24"/>
      <w:lang w:val="en-US" w:eastAsia="en-US"/>
    </w:rPr>
  </w:style>
  <w:style w:type="table" w:customStyle="1" w:styleId="TableGrid101">
    <w:name w:val="Table Grid101"/>
    <w:basedOn w:val="TableNormal"/>
    <w:next w:val="TableGrid"/>
    <w:uiPriority w:val="39"/>
    <w:rsid w:val="00C77E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419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537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537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B63F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34E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34E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23E99"/>
    <w:rPr>
      <w:rFonts w:cs="Arial"/>
      <w:sz w:val="21"/>
      <w:szCs w:val="21"/>
    </w:rPr>
  </w:style>
  <w:style w:type="numbering" w:customStyle="1" w:styleId="NoList13">
    <w:name w:val="No List13"/>
    <w:next w:val="NoList"/>
    <w:uiPriority w:val="99"/>
    <w:semiHidden/>
    <w:unhideWhenUsed/>
    <w:rsid w:val="00B9311E"/>
  </w:style>
  <w:style w:type="table" w:customStyle="1" w:styleId="TableGrid19">
    <w:name w:val="Table Grid19"/>
    <w:basedOn w:val="TableNormal"/>
    <w:next w:val="TableGrid"/>
    <w:uiPriority w:val="39"/>
    <w:rsid w:val="00B9311E"/>
    <w:rPr>
      <w:rFonts w:eastAsia="PMingLiU" w:cs="Arial"/>
      <w:color w:val="000000"/>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BF101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50">
      <w:bodyDiv w:val="1"/>
      <w:marLeft w:val="0"/>
      <w:marRight w:val="0"/>
      <w:marTop w:val="0"/>
      <w:marBottom w:val="0"/>
      <w:divBdr>
        <w:top w:val="none" w:sz="0" w:space="0" w:color="auto"/>
        <w:left w:val="none" w:sz="0" w:space="0" w:color="auto"/>
        <w:bottom w:val="none" w:sz="0" w:space="0" w:color="auto"/>
        <w:right w:val="none" w:sz="0" w:space="0" w:color="auto"/>
      </w:divBdr>
    </w:div>
    <w:div w:id="82915713">
      <w:bodyDiv w:val="1"/>
      <w:marLeft w:val="0"/>
      <w:marRight w:val="0"/>
      <w:marTop w:val="0"/>
      <w:marBottom w:val="0"/>
      <w:divBdr>
        <w:top w:val="none" w:sz="0" w:space="0" w:color="auto"/>
        <w:left w:val="none" w:sz="0" w:space="0" w:color="auto"/>
        <w:bottom w:val="none" w:sz="0" w:space="0" w:color="auto"/>
        <w:right w:val="none" w:sz="0" w:space="0" w:color="auto"/>
      </w:divBdr>
    </w:div>
    <w:div w:id="94404039">
      <w:bodyDiv w:val="1"/>
      <w:marLeft w:val="0"/>
      <w:marRight w:val="0"/>
      <w:marTop w:val="0"/>
      <w:marBottom w:val="0"/>
      <w:divBdr>
        <w:top w:val="none" w:sz="0" w:space="0" w:color="auto"/>
        <w:left w:val="none" w:sz="0" w:space="0" w:color="auto"/>
        <w:bottom w:val="none" w:sz="0" w:space="0" w:color="auto"/>
        <w:right w:val="none" w:sz="0" w:space="0" w:color="auto"/>
      </w:divBdr>
    </w:div>
    <w:div w:id="104159672">
      <w:bodyDiv w:val="1"/>
      <w:marLeft w:val="0"/>
      <w:marRight w:val="0"/>
      <w:marTop w:val="0"/>
      <w:marBottom w:val="0"/>
      <w:divBdr>
        <w:top w:val="none" w:sz="0" w:space="0" w:color="auto"/>
        <w:left w:val="none" w:sz="0" w:space="0" w:color="auto"/>
        <w:bottom w:val="none" w:sz="0" w:space="0" w:color="auto"/>
        <w:right w:val="none" w:sz="0" w:space="0" w:color="auto"/>
      </w:divBdr>
      <w:divsChild>
        <w:div w:id="1397362629">
          <w:marLeft w:val="0"/>
          <w:marRight w:val="0"/>
          <w:marTop w:val="0"/>
          <w:marBottom w:val="0"/>
          <w:divBdr>
            <w:top w:val="none" w:sz="0" w:space="0" w:color="auto"/>
            <w:left w:val="none" w:sz="0" w:space="0" w:color="auto"/>
            <w:bottom w:val="none" w:sz="0" w:space="0" w:color="auto"/>
            <w:right w:val="none" w:sz="0" w:space="0" w:color="auto"/>
          </w:divBdr>
          <w:divsChild>
            <w:div w:id="841894582">
              <w:marLeft w:val="0"/>
              <w:marRight w:val="0"/>
              <w:marTop w:val="0"/>
              <w:marBottom w:val="0"/>
              <w:divBdr>
                <w:top w:val="none" w:sz="0" w:space="0" w:color="auto"/>
                <w:left w:val="none" w:sz="0" w:space="0" w:color="auto"/>
                <w:bottom w:val="none" w:sz="0" w:space="0" w:color="auto"/>
                <w:right w:val="none" w:sz="0" w:space="0" w:color="auto"/>
              </w:divBdr>
              <w:divsChild>
                <w:div w:id="576328073">
                  <w:marLeft w:val="0"/>
                  <w:marRight w:val="0"/>
                  <w:marTop w:val="0"/>
                  <w:marBottom w:val="0"/>
                  <w:divBdr>
                    <w:top w:val="none" w:sz="0" w:space="0" w:color="auto"/>
                    <w:left w:val="none" w:sz="0" w:space="0" w:color="auto"/>
                    <w:bottom w:val="none" w:sz="0" w:space="0" w:color="auto"/>
                    <w:right w:val="none" w:sz="0" w:space="0" w:color="auto"/>
                  </w:divBdr>
                  <w:divsChild>
                    <w:div w:id="144901121">
                      <w:marLeft w:val="0"/>
                      <w:marRight w:val="0"/>
                      <w:marTop w:val="0"/>
                      <w:marBottom w:val="0"/>
                      <w:divBdr>
                        <w:top w:val="none" w:sz="0" w:space="0" w:color="auto"/>
                        <w:left w:val="none" w:sz="0" w:space="0" w:color="auto"/>
                        <w:bottom w:val="none" w:sz="0" w:space="0" w:color="auto"/>
                        <w:right w:val="none" w:sz="0" w:space="0" w:color="auto"/>
                      </w:divBdr>
                      <w:divsChild>
                        <w:div w:id="277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31282">
      <w:bodyDiv w:val="1"/>
      <w:marLeft w:val="0"/>
      <w:marRight w:val="0"/>
      <w:marTop w:val="0"/>
      <w:marBottom w:val="0"/>
      <w:divBdr>
        <w:top w:val="none" w:sz="0" w:space="0" w:color="auto"/>
        <w:left w:val="none" w:sz="0" w:space="0" w:color="auto"/>
        <w:bottom w:val="none" w:sz="0" w:space="0" w:color="auto"/>
        <w:right w:val="none" w:sz="0" w:space="0" w:color="auto"/>
      </w:divBdr>
    </w:div>
    <w:div w:id="112867176">
      <w:bodyDiv w:val="1"/>
      <w:marLeft w:val="0"/>
      <w:marRight w:val="0"/>
      <w:marTop w:val="0"/>
      <w:marBottom w:val="0"/>
      <w:divBdr>
        <w:top w:val="none" w:sz="0" w:space="0" w:color="auto"/>
        <w:left w:val="none" w:sz="0" w:space="0" w:color="auto"/>
        <w:bottom w:val="none" w:sz="0" w:space="0" w:color="auto"/>
        <w:right w:val="none" w:sz="0" w:space="0" w:color="auto"/>
      </w:divBdr>
      <w:divsChild>
        <w:div w:id="1778527435">
          <w:marLeft w:val="0"/>
          <w:marRight w:val="0"/>
          <w:marTop w:val="0"/>
          <w:marBottom w:val="0"/>
          <w:divBdr>
            <w:top w:val="none" w:sz="0" w:space="0" w:color="auto"/>
            <w:left w:val="none" w:sz="0" w:space="0" w:color="auto"/>
            <w:bottom w:val="none" w:sz="0" w:space="0" w:color="auto"/>
            <w:right w:val="none" w:sz="0" w:space="0" w:color="auto"/>
          </w:divBdr>
          <w:divsChild>
            <w:div w:id="2067487323">
              <w:marLeft w:val="0"/>
              <w:marRight w:val="0"/>
              <w:marTop w:val="0"/>
              <w:marBottom w:val="0"/>
              <w:divBdr>
                <w:top w:val="none" w:sz="0" w:space="0" w:color="auto"/>
                <w:left w:val="none" w:sz="0" w:space="0" w:color="auto"/>
                <w:bottom w:val="none" w:sz="0" w:space="0" w:color="auto"/>
                <w:right w:val="none" w:sz="0" w:space="0" w:color="auto"/>
              </w:divBdr>
              <w:divsChild>
                <w:div w:id="212741246">
                  <w:marLeft w:val="0"/>
                  <w:marRight w:val="0"/>
                  <w:marTop w:val="0"/>
                  <w:marBottom w:val="0"/>
                  <w:divBdr>
                    <w:top w:val="none" w:sz="0" w:space="0" w:color="auto"/>
                    <w:left w:val="none" w:sz="0" w:space="0" w:color="auto"/>
                    <w:bottom w:val="none" w:sz="0" w:space="0" w:color="auto"/>
                    <w:right w:val="none" w:sz="0" w:space="0" w:color="auto"/>
                  </w:divBdr>
                  <w:divsChild>
                    <w:div w:id="1880048281">
                      <w:marLeft w:val="0"/>
                      <w:marRight w:val="0"/>
                      <w:marTop w:val="0"/>
                      <w:marBottom w:val="0"/>
                      <w:divBdr>
                        <w:top w:val="none" w:sz="0" w:space="0" w:color="auto"/>
                        <w:left w:val="none" w:sz="0" w:space="0" w:color="auto"/>
                        <w:bottom w:val="none" w:sz="0" w:space="0" w:color="auto"/>
                        <w:right w:val="none" w:sz="0" w:space="0" w:color="auto"/>
                      </w:divBdr>
                      <w:divsChild>
                        <w:div w:id="1430617647">
                          <w:marLeft w:val="340"/>
                          <w:marRight w:val="0"/>
                          <w:marTop w:val="300"/>
                          <w:marBottom w:val="120"/>
                          <w:divBdr>
                            <w:top w:val="none" w:sz="0" w:space="0" w:color="auto"/>
                            <w:left w:val="none" w:sz="0" w:space="0" w:color="auto"/>
                            <w:bottom w:val="none" w:sz="0" w:space="0" w:color="auto"/>
                            <w:right w:val="none" w:sz="0" w:space="0" w:color="auto"/>
                          </w:divBdr>
                          <w:divsChild>
                            <w:div w:id="2081950232">
                              <w:marLeft w:val="0"/>
                              <w:marRight w:val="0"/>
                              <w:marTop w:val="0"/>
                              <w:marBottom w:val="0"/>
                              <w:divBdr>
                                <w:top w:val="none" w:sz="0" w:space="0" w:color="auto"/>
                                <w:left w:val="none" w:sz="0" w:space="0" w:color="auto"/>
                                <w:bottom w:val="none" w:sz="0" w:space="0" w:color="auto"/>
                                <w:right w:val="none" w:sz="0" w:space="0" w:color="auto"/>
                              </w:divBdr>
                              <w:divsChild>
                                <w:div w:id="2491696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1250876">
                                      <w:blockQuote w:val="1"/>
                                      <w:marLeft w:val="600"/>
                                      <w:marRight w:val="0"/>
                                      <w:marTop w:val="120"/>
                                      <w:marBottom w:val="120"/>
                                      <w:divBdr>
                                        <w:top w:val="none" w:sz="0" w:space="0" w:color="auto"/>
                                        <w:left w:val="none" w:sz="0" w:space="0" w:color="auto"/>
                                        <w:bottom w:val="none" w:sz="0" w:space="0" w:color="auto"/>
                                        <w:right w:val="none" w:sz="0" w:space="0" w:color="auto"/>
                                      </w:divBdr>
                                    </w:div>
                                    <w:div w:id="11999693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4957">
      <w:bodyDiv w:val="1"/>
      <w:marLeft w:val="0"/>
      <w:marRight w:val="0"/>
      <w:marTop w:val="0"/>
      <w:marBottom w:val="0"/>
      <w:divBdr>
        <w:top w:val="none" w:sz="0" w:space="0" w:color="auto"/>
        <w:left w:val="none" w:sz="0" w:space="0" w:color="auto"/>
        <w:bottom w:val="none" w:sz="0" w:space="0" w:color="auto"/>
        <w:right w:val="none" w:sz="0" w:space="0" w:color="auto"/>
      </w:divBdr>
      <w:divsChild>
        <w:div w:id="1950308291">
          <w:marLeft w:val="0"/>
          <w:marRight w:val="0"/>
          <w:marTop w:val="0"/>
          <w:marBottom w:val="0"/>
          <w:divBdr>
            <w:top w:val="none" w:sz="0" w:space="0" w:color="auto"/>
            <w:left w:val="none" w:sz="0" w:space="0" w:color="auto"/>
            <w:bottom w:val="none" w:sz="0" w:space="0" w:color="auto"/>
            <w:right w:val="none" w:sz="0" w:space="0" w:color="auto"/>
          </w:divBdr>
          <w:divsChild>
            <w:div w:id="1650209034">
              <w:marLeft w:val="0"/>
              <w:marRight w:val="0"/>
              <w:marTop w:val="0"/>
              <w:marBottom w:val="0"/>
              <w:divBdr>
                <w:top w:val="none" w:sz="0" w:space="0" w:color="auto"/>
                <w:left w:val="none" w:sz="0" w:space="0" w:color="auto"/>
                <w:bottom w:val="none" w:sz="0" w:space="0" w:color="auto"/>
                <w:right w:val="none" w:sz="0" w:space="0" w:color="auto"/>
              </w:divBdr>
              <w:divsChild>
                <w:div w:id="258485761">
                  <w:marLeft w:val="0"/>
                  <w:marRight w:val="0"/>
                  <w:marTop w:val="0"/>
                  <w:marBottom w:val="0"/>
                  <w:divBdr>
                    <w:top w:val="none" w:sz="0" w:space="0" w:color="auto"/>
                    <w:left w:val="none" w:sz="0" w:space="0" w:color="auto"/>
                    <w:bottom w:val="none" w:sz="0" w:space="0" w:color="auto"/>
                    <w:right w:val="none" w:sz="0" w:space="0" w:color="auto"/>
                  </w:divBdr>
                  <w:divsChild>
                    <w:div w:id="2045476506">
                      <w:marLeft w:val="0"/>
                      <w:marRight w:val="0"/>
                      <w:marTop w:val="0"/>
                      <w:marBottom w:val="0"/>
                      <w:divBdr>
                        <w:top w:val="none" w:sz="0" w:space="0" w:color="auto"/>
                        <w:left w:val="none" w:sz="0" w:space="0" w:color="auto"/>
                        <w:bottom w:val="none" w:sz="0" w:space="0" w:color="auto"/>
                        <w:right w:val="none" w:sz="0" w:space="0" w:color="auto"/>
                      </w:divBdr>
                      <w:divsChild>
                        <w:div w:id="390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08720">
      <w:bodyDiv w:val="1"/>
      <w:marLeft w:val="0"/>
      <w:marRight w:val="0"/>
      <w:marTop w:val="0"/>
      <w:marBottom w:val="0"/>
      <w:divBdr>
        <w:top w:val="none" w:sz="0" w:space="0" w:color="auto"/>
        <w:left w:val="none" w:sz="0" w:space="0" w:color="auto"/>
        <w:bottom w:val="none" w:sz="0" w:space="0" w:color="auto"/>
        <w:right w:val="none" w:sz="0" w:space="0" w:color="auto"/>
      </w:divBdr>
      <w:divsChild>
        <w:div w:id="263996087">
          <w:marLeft w:val="0"/>
          <w:marRight w:val="0"/>
          <w:marTop w:val="0"/>
          <w:marBottom w:val="0"/>
          <w:divBdr>
            <w:top w:val="none" w:sz="0" w:space="0" w:color="auto"/>
            <w:left w:val="none" w:sz="0" w:space="0" w:color="auto"/>
            <w:bottom w:val="none" w:sz="0" w:space="0" w:color="auto"/>
            <w:right w:val="none" w:sz="0" w:space="0" w:color="auto"/>
          </w:divBdr>
          <w:divsChild>
            <w:div w:id="365713318">
              <w:marLeft w:val="0"/>
              <w:marRight w:val="0"/>
              <w:marTop w:val="0"/>
              <w:marBottom w:val="0"/>
              <w:divBdr>
                <w:top w:val="none" w:sz="0" w:space="0" w:color="auto"/>
                <w:left w:val="none" w:sz="0" w:space="0" w:color="auto"/>
                <w:bottom w:val="none" w:sz="0" w:space="0" w:color="auto"/>
                <w:right w:val="none" w:sz="0" w:space="0" w:color="auto"/>
              </w:divBdr>
              <w:divsChild>
                <w:div w:id="1717729919">
                  <w:marLeft w:val="0"/>
                  <w:marRight w:val="0"/>
                  <w:marTop w:val="0"/>
                  <w:marBottom w:val="0"/>
                  <w:divBdr>
                    <w:top w:val="none" w:sz="0" w:space="0" w:color="auto"/>
                    <w:left w:val="none" w:sz="0" w:space="0" w:color="auto"/>
                    <w:bottom w:val="none" w:sz="0" w:space="0" w:color="auto"/>
                    <w:right w:val="none" w:sz="0" w:space="0" w:color="auto"/>
                  </w:divBdr>
                  <w:divsChild>
                    <w:div w:id="2147040046">
                      <w:marLeft w:val="0"/>
                      <w:marRight w:val="0"/>
                      <w:marTop w:val="0"/>
                      <w:marBottom w:val="0"/>
                      <w:divBdr>
                        <w:top w:val="none" w:sz="0" w:space="0" w:color="auto"/>
                        <w:left w:val="none" w:sz="0" w:space="0" w:color="auto"/>
                        <w:bottom w:val="none" w:sz="0" w:space="0" w:color="auto"/>
                        <w:right w:val="none" w:sz="0" w:space="0" w:color="auto"/>
                      </w:divBdr>
                      <w:divsChild>
                        <w:div w:id="907764773">
                          <w:marLeft w:val="340"/>
                          <w:marRight w:val="0"/>
                          <w:marTop w:val="300"/>
                          <w:marBottom w:val="120"/>
                          <w:divBdr>
                            <w:top w:val="none" w:sz="0" w:space="0" w:color="auto"/>
                            <w:left w:val="none" w:sz="0" w:space="0" w:color="auto"/>
                            <w:bottom w:val="none" w:sz="0" w:space="0" w:color="auto"/>
                            <w:right w:val="none" w:sz="0" w:space="0" w:color="auto"/>
                          </w:divBdr>
                          <w:divsChild>
                            <w:div w:id="82378970">
                              <w:marLeft w:val="0"/>
                              <w:marRight w:val="0"/>
                              <w:marTop w:val="0"/>
                              <w:marBottom w:val="0"/>
                              <w:divBdr>
                                <w:top w:val="none" w:sz="0" w:space="0" w:color="auto"/>
                                <w:left w:val="none" w:sz="0" w:space="0" w:color="auto"/>
                                <w:bottom w:val="none" w:sz="0" w:space="0" w:color="auto"/>
                                <w:right w:val="none" w:sz="0" w:space="0" w:color="auto"/>
                              </w:divBdr>
                              <w:divsChild>
                                <w:div w:id="9532901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096301">
                                      <w:blockQuote w:val="1"/>
                                      <w:marLeft w:val="600"/>
                                      <w:marRight w:val="0"/>
                                      <w:marTop w:val="120"/>
                                      <w:marBottom w:val="120"/>
                                      <w:divBdr>
                                        <w:top w:val="none" w:sz="0" w:space="0" w:color="auto"/>
                                        <w:left w:val="none" w:sz="0" w:space="0" w:color="auto"/>
                                        <w:bottom w:val="none" w:sz="0" w:space="0" w:color="auto"/>
                                        <w:right w:val="none" w:sz="0" w:space="0" w:color="auto"/>
                                      </w:divBdr>
                                    </w:div>
                                    <w:div w:id="971716650">
                                      <w:blockQuote w:val="1"/>
                                      <w:marLeft w:val="600"/>
                                      <w:marRight w:val="0"/>
                                      <w:marTop w:val="120"/>
                                      <w:marBottom w:val="120"/>
                                      <w:divBdr>
                                        <w:top w:val="none" w:sz="0" w:space="0" w:color="auto"/>
                                        <w:left w:val="none" w:sz="0" w:space="0" w:color="auto"/>
                                        <w:bottom w:val="none" w:sz="0" w:space="0" w:color="auto"/>
                                        <w:right w:val="none" w:sz="0" w:space="0" w:color="auto"/>
                                      </w:divBdr>
                                    </w:div>
                                    <w:div w:id="1079713437">
                                      <w:blockQuote w:val="1"/>
                                      <w:marLeft w:val="600"/>
                                      <w:marRight w:val="0"/>
                                      <w:marTop w:val="120"/>
                                      <w:marBottom w:val="120"/>
                                      <w:divBdr>
                                        <w:top w:val="none" w:sz="0" w:space="0" w:color="auto"/>
                                        <w:left w:val="none" w:sz="0" w:space="0" w:color="auto"/>
                                        <w:bottom w:val="none" w:sz="0" w:space="0" w:color="auto"/>
                                        <w:right w:val="none" w:sz="0" w:space="0" w:color="auto"/>
                                      </w:divBdr>
                                    </w:div>
                                    <w:div w:id="1522471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045305">
      <w:bodyDiv w:val="1"/>
      <w:marLeft w:val="0"/>
      <w:marRight w:val="0"/>
      <w:marTop w:val="0"/>
      <w:marBottom w:val="0"/>
      <w:divBdr>
        <w:top w:val="none" w:sz="0" w:space="0" w:color="auto"/>
        <w:left w:val="none" w:sz="0" w:space="0" w:color="auto"/>
        <w:bottom w:val="none" w:sz="0" w:space="0" w:color="auto"/>
        <w:right w:val="none" w:sz="0" w:space="0" w:color="auto"/>
      </w:divBdr>
    </w:div>
    <w:div w:id="239481552">
      <w:bodyDiv w:val="1"/>
      <w:marLeft w:val="0"/>
      <w:marRight w:val="0"/>
      <w:marTop w:val="0"/>
      <w:marBottom w:val="0"/>
      <w:divBdr>
        <w:top w:val="none" w:sz="0" w:space="0" w:color="auto"/>
        <w:left w:val="none" w:sz="0" w:space="0" w:color="auto"/>
        <w:bottom w:val="none" w:sz="0" w:space="0" w:color="auto"/>
        <w:right w:val="none" w:sz="0" w:space="0" w:color="auto"/>
      </w:divBdr>
    </w:div>
    <w:div w:id="251553190">
      <w:bodyDiv w:val="1"/>
      <w:marLeft w:val="0"/>
      <w:marRight w:val="0"/>
      <w:marTop w:val="0"/>
      <w:marBottom w:val="0"/>
      <w:divBdr>
        <w:top w:val="none" w:sz="0" w:space="0" w:color="auto"/>
        <w:left w:val="none" w:sz="0" w:space="0" w:color="auto"/>
        <w:bottom w:val="none" w:sz="0" w:space="0" w:color="auto"/>
        <w:right w:val="none" w:sz="0" w:space="0" w:color="auto"/>
      </w:divBdr>
    </w:div>
    <w:div w:id="289556923">
      <w:bodyDiv w:val="1"/>
      <w:marLeft w:val="0"/>
      <w:marRight w:val="0"/>
      <w:marTop w:val="0"/>
      <w:marBottom w:val="0"/>
      <w:divBdr>
        <w:top w:val="none" w:sz="0" w:space="0" w:color="auto"/>
        <w:left w:val="none" w:sz="0" w:space="0" w:color="auto"/>
        <w:bottom w:val="none" w:sz="0" w:space="0" w:color="auto"/>
        <w:right w:val="none" w:sz="0" w:space="0" w:color="auto"/>
      </w:divBdr>
    </w:div>
    <w:div w:id="301158129">
      <w:bodyDiv w:val="1"/>
      <w:marLeft w:val="0"/>
      <w:marRight w:val="0"/>
      <w:marTop w:val="0"/>
      <w:marBottom w:val="0"/>
      <w:divBdr>
        <w:top w:val="none" w:sz="0" w:space="0" w:color="auto"/>
        <w:left w:val="none" w:sz="0" w:space="0" w:color="auto"/>
        <w:bottom w:val="none" w:sz="0" w:space="0" w:color="auto"/>
        <w:right w:val="none" w:sz="0" w:space="0" w:color="auto"/>
      </w:divBdr>
    </w:div>
    <w:div w:id="315496053">
      <w:bodyDiv w:val="1"/>
      <w:marLeft w:val="0"/>
      <w:marRight w:val="0"/>
      <w:marTop w:val="0"/>
      <w:marBottom w:val="0"/>
      <w:divBdr>
        <w:top w:val="none" w:sz="0" w:space="0" w:color="auto"/>
        <w:left w:val="none" w:sz="0" w:space="0" w:color="auto"/>
        <w:bottom w:val="none" w:sz="0" w:space="0" w:color="auto"/>
        <w:right w:val="none" w:sz="0" w:space="0" w:color="auto"/>
      </w:divBdr>
    </w:div>
    <w:div w:id="379326179">
      <w:bodyDiv w:val="1"/>
      <w:marLeft w:val="0"/>
      <w:marRight w:val="0"/>
      <w:marTop w:val="0"/>
      <w:marBottom w:val="0"/>
      <w:divBdr>
        <w:top w:val="none" w:sz="0" w:space="0" w:color="auto"/>
        <w:left w:val="none" w:sz="0" w:space="0" w:color="auto"/>
        <w:bottom w:val="none" w:sz="0" w:space="0" w:color="auto"/>
        <w:right w:val="none" w:sz="0" w:space="0" w:color="auto"/>
      </w:divBdr>
    </w:div>
    <w:div w:id="387145628">
      <w:bodyDiv w:val="1"/>
      <w:marLeft w:val="0"/>
      <w:marRight w:val="0"/>
      <w:marTop w:val="0"/>
      <w:marBottom w:val="0"/>
      <w:divBdr>
        <w:top w:val="none" w:sz="0" w:space="0" w:color="auto"/>
        <w:left w:val="none" w:sz="0" w:space="0" w:color="auto"/>
        <w:bottom w:val="none" w:sz="0" w:space="0" w:color="auto"/>
        <w:right w:val="none" w:sz="0" w:space="0" w:color="auto"/>
      </w:divBdr>
    </w:div>
    <w:div w:id="389038005">
      <w:bodyDiv w:val="1"/>
      <w:marLeft w:val="0"/>
      <w:marRight w:val="0"/>
      <w:marTop w:val="0"/>
      <w:marBottom w:val="0"/>
      <w:divBdr>
        <w:top w:val="none" w:sz="0" w:space="0" w:color="auto"/>
        <w:left w:val="none" w:sz="0" w:space="0" w:color="auto"/>
        <w:bottom w:val="none" w:sz="0" w:space="0" w:color="auto"/>
        <w:right w:val="none" w:sz="0" w:space="0" w:color="auto"/>
      </w:divBdr>
    </w:div>
    <w:div w:id="401029405">
      <w:bodyDiv w:val="1"/>
      <w:marLeft w:val="0"/>
      <w:marRight w:val="0"/>
      <w:marTop w:val="0"/>
      <w:marBottom w:val="0"/>
      <w:divBdr>
        <w:top w:val="none" w:sz="0" w:space="0" w:color="auto"/>
        <w:left w:val="none" w:sz="0" w:space="0" w:color="auto"/>
        <w:bottom w:val="none" w:sz="0" w:space="0" w:color="auto"/>
        <w:right w:val="none" w:sz="0" w:space="0" w:color="auto"/>
      </w:divBdr>
      <w:divsChild>
        <w:div w:id="1577127951">
          <w:marLeft w:val="0"/>
          <w:marRight w:val="0"/>
          <w:marTop w:val="0"/>
          <w:marBottom w:val="0"/>
          <w:divBdr>
            <w:top w:val="none" w:sz="0" w:space="0" w:color="auto"/>
            <w:left w:val="none" w:sz="0" w:space="0" w:color="auto"/>
            <w:bottom w:val="none" w:sz="0" w:space="0" w:color="auto"/>
            <w:right w:val="none" w:sz="0" w:space="0" w:color="auto"/>
          </w:divBdr>
          <w:divsChild>
            <w:div w:id="805315305">
              <w:marLeft w:val="0"/>
              <w:marRight w:val="0"/>
              <w:marTop w:val="0"/>
              <w:marBottom w:val="0"/>
              <w:divBdr>
                <w:top w:val="none" w:sz="0" w:space="0" w:color="auto"/>
                <w:left w:val="none" w:sz="0" w:space="0" w:color="auto"/>
                <w:bottom w:val="none" w:sz="0" w:space="0" w:color="auto"/>
                <w:right w:val="none" w:sz="0" w:space="0" w:color="auto"/>
              </w:divBdr>
              <w:divsChild>
                <w:div w:id="1610773617">
                  <w:marLeft w:val="-375"/>
                  <w:marRight w:val="-375"/>
                  <w:marTop w:val="0"/>
                  <w:marBottom w:val="0"/>
                  <w:divBdr>
                    <w:top w:val="none" w:sz="0" w:space="0" w:color="auto"/>
                    <w:left w:val="none" w:sz="0" w:space="0" w:color="auto"/>
                    <w:bottom w:val="none" w:sz="0" w:space="0" w:color="auto"/>
                    <w:right w:val="none" w:sz="0" w:space="0" w:color="auto"/>
                  </w:divBdr>
                  <w:divsChild>
                    <w:div w:id="2044866099">
                      <w:marLeft w:val="0"/>
                      <w:marRight w:val="0"/>
                      <w:marTop w:val="450"/>
                      <w:marBottom w:val="0"/>
                      <w:divBdr>
                        <w:top w:val="none" w:sz="0" w:space="0" w:color="auto"/>
                        <w:left w:val="none" w:sz="0" w:space="0" w:color="auto"/>
                        <w:bottom w:val="none" w:sz="0" w:space="0" w:color="auto"/>
                        <w:right w:val="none" w:sz="0" w:space="0" w:color="auto"/>
                      </w:divBdr>
                      <w:divsChild>
                        <w:div w:id="1112481871">
                          <w:marLeft w:val="0"/>
                          <w:marRight w:val="0"/>
                          <w:marTop w:val="0"/>
                          <w:marBottom w:val="0"/>
                          <w:divBdr>
                            <w:top w:val="none" w:sz="0" w:space="0" w:color="auto"/>
                            <w:left w:val="none" w:sz="0" w:space="0" w:color="auto"/>
                            <w:bottom w:val="none" w:sz="0" w:space="0" w:color="auto"/>
                            <w:right w:val="none" w:sz="0" w:space="0" w:color="auto"/>
                          </w:divBdr>
                          <w:divsChild>
                            <w:div w:id="1556968618">
                              <w:marLeft w:val="0"/>
                              <w:marRight w:val="0"/>
                              <w:marTop w:val="0"/>
                              <w:marBottom w:val="0"/>
                              <w:divBdr>
                                <w:top w:val="none" w:sz="0" w:space="0" w:color="auto"/>
                                <w:left w:val="none" w:sz="0" w:space="0" w:color="auto"/>
                                <w:bottom w:val="none" w:sz="0" w:space="0" w:color="auto"/>
                                <w:right w:val="none" w:sz="0" w:space="0" w:color="auto"/>
                              </w:divBdr>
                              <w:divsChild>
                                <w:div w:id="761991445">
                                  <w:marLeft w:val="0"/>
                                  <w:marRight w:val="0"/>
                                  <w:marTop w:val="0"/>
                                  <w:marBottom w:val="0"/>
                                  <w:divBdr>
                                    <w:top w:val="none" w:sz="0" w:space="0" w:color="auto"/>
                                    <w:left w:val="none" w:sz="0" w:space="0" w:color="auto"/>
                                    <w:bottom w:val="none" w:sz="0" w:space="0" w:color="auto"/>
                                    <w:right w:val="none" w:sz="0" w:space="0" w:color="auto"/>
                                  </w:divBdr>
                                  <w:divsChild>
                                    <w:div w:id="18525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8682">
      <w:bodyDiv w:val="1"/>
      <w:marLeft w:val="0"/>
      <w:marRight w:val="0"/>
      <w:marTop w:val="0"/>
      <w:marBottom w:val="0"/>
      <w:divBdr>
        <w:top w:val="none" w:sz="0" w:space="0" w:color="auto"/>
        <w:left w:val="none" w:sz="0" w:space="0" w:color="auto"/>
        <w:bottom w:val="none" w:sz="0" w:space="0" w:color="auto"/>
        <w:right w:val="none" w:sz="0" w:space="0" w:color="auto"/>
      </w:divBdr>
      <w:divsChild>
        <w:div w:id="1056733980">
          <w:marLeft w:val="0"/>
          <w:marRight w:val="0"/>
          <w:marTop w:val="0"/>
          <w:marBottom w:val="0"/>
          <w:divBdr>
            <w:top w:val="none" w:sz="0" w:space="0" w:color="auto"/>
            <w:left w:val="none" w:sz="0" w:space="0" w:color="auto"/>
            <w:bottom w:val="none" w:sz="0" w:space="0" w:color="auto"/>
            <w:right w:val="none" w:sz="0" w:space="0" w:color="auto"/>
          </w:divBdr>
          <w:divsChild>
            <w:div w:id="1056704801">
              <w:marLeft w:val="0"/>
              <w:marRight w:val="0"/>
              <w:marTop w:val="0"/>
              <w:marBottom w:val="0"/>
              <w:divBdr>
                <w:top w:val="none" w:sz="0" w:space="0" w:color="auto"/>
                <w:left w:val="none" w:sz="0" w:space="0" w:color="auto"/>
                <w:bottom w:val="none" w:sz="0" w:space="0" w:color="auto"/>
                <w:right w:val="none" w:sz="0" w:space="0" w:color="auto"/>
              </w:divBdr>
              <w:divsChild>
                <w:div w:id="1923565344">
                  <w:marLeft w:val="0"/>
                  <w:marRight w:val="0"/>
                  <w:marTop w:val="0"/>
                  <w:marBottom w:val="0"/>
                  <w:divBdr>
                    <w:top w:val="none" w:sz="0" w:space="0" w:color="auto"/>
                    <w:left w:val="none" w:sz="0" w:space="0" w:color="auto"/>
                    <w:bottom w:val="none" w:sz="0" w:space="0" w:color="auto"/>
                    <w:right w:val="none" w:sz="0" w:space="0" w:color="auto"/>
                  </w:divBdr>
                  <w:divsChild>
                    <w:div w:id="1293366812">
                      <w:marLeft w:val="0"/>
                      <w:marRight w:val="0"/>
                      <w:marTop w:val="0"/>
                      <w:marBottom w:val="0"/>
                      <w:divBdr>
                        <w:top w:val="none" w:sz="0" w:space="0" w:color="auto"/>
                        <w:left w:val="none" w:sz="0" w:space="0" w:color="auto"/>
                        <w:bottom w:val="none" w:sz="0" w:space="0" w:color="auto"/>
                        <w:right w:val="none" w:sz="0" w:space="0" w:color="auto"/>
                      </w:divBdr>
                      <w:divsChild>
                        <w:div w:id="1964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4536">
      <w:bodyDiv w:val="1"/>
      <w:marLeft w:val="0"/>
      <w:marRight w:val="0"/>
      <w:marTop w:val="0"/>
      <w:marBottom w:val="0"/>
      <w:divBdr>
        <w:top w:val="none" w:sz="0" w:space="0" w:color="auto"/>
        <w:left w:val="none" w:sz="0" w:space="0" w:color="auto"/>
        <w:bottom w:val="none" w:sz="0" w:space="0" w:color="auto"/>
        <w:right w:val="none" w:sz="0" w:space="0" w:color="auto"/>
      </w:divBdr>
    </w:div>
    <w:div w:id="425687910">
      <w:bodyDiv w:val="1"/>
      <w:marLeft w:val="0"/>
      <w:marRight w:val="0"/>
      <w:marTop w:val="0"/>
      <w:marBottom w:val="0"/>
      <w:divBdr>
        <w:top w:val="none" w:sz="0" w:space="0" w:color="auto"/>
        <w:left w:val="none" w:sz="0" w:space="0" w:color="auto"/>
        <w:bottom w:val="none" w:sz="0" w:space="0" w:color="auto"/>
        <w:right w:val="none" w:sz="0" w:space="0" w:color="auto"/>
      </w:divBdr>
    </w:div>
    <w:div w:id="437142696">
      <w:bodyDiv w:val="1"/>
      <w:marLeft w:val="0"/>
      <w:marRight w:val="0"/>
      <w:marTop w:val="0"/>
      <w:marBottom w:val="0"/>
      <w:divBdr>
        <w:top w:val="none" w:sz="0" w:space="0" w:color="auto"/>
        <w:left w:val="none" w:sz="0" w:space="0" w:color="auto"/>
        <w:bottom w:val="none" w:sz="0" w:space="0" w:color="auto"/>
        <w:right w:val="none" w:sz="0" w:space="0" w:color="auto"/>
      </w:divBdr>
    </w:div>
    <w:div w:id="449787313">
      <w:bodyDiv w:val="1"/>
      <w:marLeft w:val="0"/>
      <w:marRight w:val="0"/>
      <w:marTop w:val="0"/>
      <w:marBottom w:val="0"/>
      <w:divBdr>
        <w:top w:val="none" w:sz="0" w:space="0" w:color="auto"/>
        <w:left w:val="none" w:sz="0" w:space="0" w:color="auto"/>
        <w:bottom w:val="none" w:sz="0" w:space="0" w:color="auto"/>
        <w:right w:val="none" w:sz="0" w:space="0" w:color="auto"/>
      </w:divBdr>
    </w:div>
    <w:div w:id="506790973">
      <w:bodyDiv w:val="1"/>
      <w:marLeft w:val="0"/>
      <w:marRight w:val="0"/>
      <w:marTop w:val="0"/>
      <w:marBottom w:val="0"/>
      <w:divBdr>
        <w:top w:val="none" w:sz="0" w:space="0" w:color="auto"/>
        <w:left w:val="none" w:sz="0" w:space="0" w:color="auto"/>
        <w:bottom w:val="none" w:sz="0" w:space="0" w:color="auto"/>
        <w:right w:val="none" w:sz="0" w:space="0" w:color="auto"/>
      </w:divBdr>
    </w:div>
    <w:div w:id="508717855">
      <w:bodyDiv w:val="1"/>
      <w:marLeft w:val="0"/>
      <w:marRight w:val="0"/>
      <w:marTop w:val="0"/>
      <w:marBottom w:val="0"/>
      <w:divBdr>
        <w:top w:val="none" w:sz="0" w:space="0" w:color="auto"/>
        <w:left w:val="none" w:sz="0" w:space="0" w:color="auto"/>
        <w:bottom w:val="none" w:sz="0" w:space="0" w:color="auto"/>
        <w:right w:val="none" w:sz="0" w:space="0" w:color="auto"/>
      </w:divBdr>
    </w:div>
    <w:div w:id="520516471">
      <w:bodyDiv w:val="1"/>
      <w:marLeft w:val="0"/>
      <w:marRight w:val="0"/>
      <w:marTop w:val="0"/>
      <w:marBottom w:val="0"/>
      <w:divBdr>
        <w:top w:val="none" w:sz="0" w:space="0" w:color="auto"/>
        <w:left w:val="none" w:sz="0" w:space="0" w:color="auto"/>
        <w:bottom w:val="none" w:sz="0" w:space="0" w:color="auto"/>
        <w:right w:val="none" w:sz="0" w:space="0" w:color="auto"/>
      </w:divBdr>
    </w:div>
    <w:div w:id="533613713">
      <w:bodyDiv w:val="1"/>
      <w:marLeft w:val="0"/>
      <w:marRight w:val="0"/>
      <w:marTop w:val="0"/>
      <w:marBottom w:val="0"/>
      <w:divBdr>
        <w:top w:val="none" w:sz="0" w:space="0" w:color="auto"/>
        <w:left w:val="none" w:sz="0" w:space="0" w:color="auto"/>
        <w:bottom w:val="none" w:sz="0" w:space="0" w:color="auto"/>
        <w:right w:val="none" w:sz="0" w:space="0" w:color="auto"/>
      </w:divBdr>
    </w:div>
    <w:div w:id="563225222">
      <w:bodyDiv w:val="1"/>
      <w:marLeft w:val="0"/>
      <w:marRight w:val="0"/>
      <w:marTop w:val="0"/>
      <w:marBottom w:val="0"/>
      <w:divBdr>
        <w:top w:val="none" w:sz="0" w:space="0" w:color="auto"/>
        <w:left w:val="none" w:sz="0" w:space="0" w:color="auto"/>
        <w:bottom w:val="none" w:sz="0" w:space="0" w:color="auto"/>
        <w:right w:val="none" w:sz="0" w:space="0" w:color="auto"/>
      </w:divBdr>
    </w:div>
    <w:div w:id="568658209">
      <w:bodyDiv w:val="1"/>
      <w:marLeft w:val="0"/>
      <w:marRight w:val="0"/>
      <w:marTop w:val="0"/>
      <w:marBottom w:val="0"/>
      <w:divBdr>
        <w:top w:val="none" w:sz="0" w:space="0" w:color="auto"/>
        <w:left w:val="none" w:sz="0" w:space="0" w:color="auto"/>
        <w:bottom w:val="none" w:sz="0" w:space="0" w:color="auto"/>
        <w:right w:val="none" w:sz="0" w:space="0" w:color="auto"/>
      </w:divBdr>
    </w:div>
    <w:div w:id="578903744">
      <w:bodyDiv w:val="1"/>
      <w:marLeft w:val="0"/>
      <w:marRight w:val="0"/>
      <w:marTop w:val="0"/>
      <w:marBottom w:val="0"/>
      <w:divBdr>
        <w:top w:val="none" w:sz="0" w:space="0" w:color="auto"/>
        <w:left w:val="none" w:sz="0" w:space="0" w:color="auto"/>
        <w:bottom w:val="none" w:sz="0" w:space="0" w:color="auto"/>
        <w:right w:val="none" w:sz="0" w:space="0" w:color="auto"/>
      </w:divBdr>
    </w:div>
    <w:div w:id="750589164">
      <w:bodyDiv w:val="1"/>
      <w:marLeft w:val="0"/>
      <w:marRight w:val="0"/>
      <w:marTop w:val="0"/>
      <w:marBottom w:val="0"/>
      <w:divBdr>
        <w:top w:val="none" w:sz="0" w:space="0" w:color="auto"/>
        <w:left w:val="none" w:sz="0" w:space="0" w:color="auto"/>
        <w:bottom w:val="none" w:sz="0" w:space="0" w:color="auto"/>
        <w:right w:val="none" w:sz="0" w:space="0" w:color="auto"/>
      </w:divBdr>
      <w:divsChild>
        <w:div w:id="2138793559">
          <w:marLeft w:val="0"/>
          <w:marRight w:val="0"/>
          <w:marTop w:val="0"/>
          <w:marBottom w:val="0"/>
          <w:divBdr>
            <w:top w:val="none" w:sz="0" w:space="0" w:color="auto"/>
            <w:left w:val="none" w:sz="0" w:space="0" w:color="auto"/>
            <w:bottom w:val="none" w:sz="0" w:space="0" w:color="auto"/>
            <w:right w:val="none" w:sz="0" w:space="0" w:color="auto"/>
          </w:divBdr>
          <w:divsChild>
            <w:div w:id="1697846397">
              <w:marLeft w:val="0"/>
              <w:marRight w:val="0"/>
              <w:marTop w:val="0"/>
              <w:marBottom w:val="0"/>
              <w:divBdr>
                <w:top w:val="none" w:sz="0" w:space="0" w:color="auto"/>
                <w:left w:val="none" w:sz="0" w:space="0" w:color="auto"/>
                <w:bottom w:val="none" w:sz="0" w:space="0" w:color="auto"/>
                <w:right w:val="none" w:sz="0" w:space="0" w:color="auto"/>
              </w:divBdr>
              <w:divsChild>
                <w:div w:id="382483926">
                  <w:marLeft w:val="0"/>
                  <w:marRight w:val="0"/>
                  <w:marTop w:val="0"/>
                  <w:marBottom w:val="0"/>
                  <w:divBdr>
                    <w:top w:val="none" w:sz="0" w:space="0" w:color="auto"/>
                    <w:left w:val="none" w:sz="0" w:space="0" w:color="auto"/>
                    <w:bottom w:val="none" w:sz="0" w:space="0" w:color="auto"/>
                    <w:right w:val="none" w:sz="0" w:space="0" w:color="auto"/>
                  </w:divBdr>
                  <w:divsChild>
                    <w:div w:id="354826">
                      <w:marLeft w:val="0"/>
                      <w:marRight w:val="0"/>
                      <w:marTop w:val="0"/>
                      <w:marBottom w:val="0"/>
                      <w:divBdr>
                        <w:top w:val="none" w:sz="0" w:space="0" w:color="auto"/>
                        <w:left w:val="none" w:sz="0" w:space="0" w:color="auto"/>
                        <w:bottom w:val="none" w:sz="0" w:space="0" w:color="auto"/>
                        <w:right w:val="none" w:sz="0" w:space="0" w:color="auto"/>
                      </w:divBdr>
                      <w:divsChild>
                        <w:div w:id="299844599">
                          <w:marLeft w:val="340"/>
                          <w:marRight w:val="0"/>
                          <w:marTop w:val="300"/>
                          <w:marBottom w:val="120"/>
                          <w:divBdr>
                            <w:top w:val="none" w:sz="0" w:space="0" w:color="auto"/>
                            <w:left w:val="none" w:sz="0" w:space="0" w:color="auto"/>
                            <w:bottom w:val="none" w:sz="0" w:space="0" w:color="auto"/>
                            <w:right w:val="none" w:sz="0" w:space="0" w:color="auto"/>
                          </w:divBdr>
                          <w:divsChild>
                            <w:div w:id="589046363">
                              <w:marLeft w:val="0"/>
                              <w:marRight w:val="0"/>
                              <w:marTop w:val="0"/>
                              <w:marBottom w:val="0"/>
                              <w:divBdr>
                                <w:top w:val="none" w:sz="0" w:space="0" w:color="auto"/>
                                <w:left w:val="none" w:sz="0" w:space="0" w:color="auto"/>
                                <w:bottom w:val="none" w:sz="0" w:space="0" w:color="auto"/>
                                <w:right w:val="none" w:sz="0" w:space="0" w:color="auto"/>
                              </w:divBdr>
                              <w:divsChild>
                                <w:div w:id="4721437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7775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492650">
                                          <w:blockQuote w:val="1"/>
                                          <w:marLeft w:val="600"/>
                                          <w:marRight w:val="0"/>
                                          <w:marTop w:val="120"/>
                                          <w:marBottom w:val="120"/>
                                          <w:divBdr>
                                            <w:top w:val="none" w:sz="0" w:space="0" w:color="auto"/>
                                            <w:left w:val="none" w:sz="0" w:space="0" w:color="auto"/>
                                            <w:bottom w:val="none" w:sz="0" w:space="0" w:color="auto"/>
                                            <w:right w:val="none" w:sz="0" w:space="0" w:color="auto"/>
                                          </w:divBdr>
                                        </w:div>
                                        <w:div w:id="1551840032">
                                          <w:blockQuote w:val="1"/>
                                          <w:marLeft w:val="600"/>
                                          <w:marRight w:val="0"/>
                                          <w:marTop w:val="120"/>
                                          <w:marBottom w:val="120"/>
                                          <w:divBdr>
                                            <w:top w:val="none" w:sz="0" w:space="0" w:color="auto"/>
                                            <w:left w:val="none" w:sz="0" w:space="0" w:color="auto"/>
                                            <w:bottom w:val="none" w:sz="0" w:space="0" w:color="auto"/>
                                            <w:right w:val="none" w:sz="0" w:space="0" w:color="auto"/>
                                          </w:divBdr>
                                        </w:div>
                                        <w:div w:id="18344451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939098">
                                              <w:blockQuote w:val="1"/>
                                              <w:marLeft w:val="600"/>
                                              <w:marRight w:val="0"/>
                                              <w:marTop w:val="120"/>
                                              <w:marBottom w:val="120"/>
                                              <w:divBdr>
                                                <w:top w:val="none" w:sz="0" w:space="0" w:color="auto"/>
                                                <w:left w:val="none" w:sz="0" w:space="0" w:color="auto"/>
                                                <w:bottom w:val="none" w:sz="0" w:space="0" w:color="auto"/>
                                                <w:right w:val="none" w:sz="0" w:space="0" w:color="auto"/>
                                              </w:divBdr>
                                            </w:div>
                                            <w:div w:id="18447792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61030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81940">
      <w:bodyDiv w:val="1"/>
      <w:marLeft w:val="0"/>
      <w:marRight w:val="0"/>
      <w:marTop w:val="0"/>
      <w:marBottom w:val="0"/>
      <w:divBdr>
        <w:top w:val="none" w:sz="0" w:space="0" w:color="auto"/>
        <w:left w:val="none" w:sz="0" w:space="0" w:color="auto"/>
        <w:bottom w:val="none" w:sz="0" w:space="0" w:color="auto"/>
        <w:right w:val="none" w:sz="0" w:space="0" w:color="auto"/>
      </w:divBdr>
    </w:div>
    <w:div w:id="836458164">
      <w:bodyDiv w:val="1"/>
      <w:marLeft w:val="0"/>
      <w:marRight w:val="0"/>
      <w:marTop w:val="0"/>
      <w:marBottom w:val="0"/>
      <w:divBdr>
        <w:top w:val="none" w:sz="0" w:space="0" w:color="auto"/>
        <w:left w:val="none" w:sz="0" w:space="0" w:color="auto"/>
        <w:bottom w:val="none" w:sz="0" w:space="0" w:color="auto"/>
        <w:right w:val="none" w:sz="0" w:space="0" w:color="auto"/>
      </w:divBdr>
    </w:div>
    <w:div w:id="883104174">
      <w:bodyDiv w:val="1"/>
      <w:marLeft w:val="0"/>
      <w:marRight w:val="0"/>
      <w:marTop w:val="0"/>
      <w:marBottom w:val="0"/>
      <w:divBdr>
        <w:top w:val="none" w:sz="0" w:space="0" w:color="auto"/>
        <w:left w:val="none" w:sz="0" w:space="0" w:color="auto"/>
        <w:bottom w:val="none" w:sz="0" w:space="0" w:color="auto"/>
        <w:right w:val="none" w:sz="0" w:space="0" w:color="auto"/>
      </w:divBdr>
    </w:div>
    <w:div w:id="887300485">
      <w:bodyDiv w:val="1"/>
      <w:marLeft w:val="0"/>
      <w:marRight w:val="0"/>
      <w:marTop w:val="0"/>
      <w:marBottom w:val="0"/>
      <w:divBdr>
        <w:top w:val="none" w:sz="0" w:space="0" w:color="auto"/>
        <w:left w:val="none" w:sz="0" w:space="0" w:color="auto"/>
        <w:bottom w:val="none" w:sz="0" w:space="0" w:color="auto"/>
        <w:right w:val="none" w:sz="0" w:space="0" w:color="auto"/>
      </w:divBdr>
    </w:div>
    <w:div w:id="901716891">
      <w:bodyDiv w:val="1"/>
      <w:marLeft w:val="0"/>
      <w:marRight w:val="0"/>
      <w:marTop w:val="0"/>
      <w:marBottom w:val="0"/>
      <w:divBdr>
        <w:top w:val="none" w:sz="0" w:space="0" w:color="auto"/>
        <w:left w:val="none" w:sz="0" w:space="0" w:color="auto"/>
        <w:bottom w:val="none" w:sz="0" w:space="0" w:color="auto"/>
        <w:right w:val="none" w:sz="0" w:space="0" w:color="auto"/>
      </w:divBdr>
    </w:div>
    <w:div w:id="903685926">
      <w:bodyDiv w:val="1"/>
      <w:marLeft w:val="0"/>
      <w:marRight w:val="0"/>
      <w:marTop w:val="0"/>
      <w:marBottom w:val="0"/>
      <w:divBdr>
        <w:top w:val="none" w:sz="0" w:space="0" w:color="auto"/>
        <w:left w:val="none" w:sz="0" w:space="0" w:color="auto"/>
        <w:bottom w:val="none" w:sz="0" w:space="0" w:color="auto"/>
        <w:right w:val="none" w:sz="0" w:space="0" w:color="auto"/>
      </w:divBdr>
    </w:div>
    <w:div w:id="948316685">
      <w:bodyDiv w:val="1"/>
      <w:marLeft w:val="0"/>
      <w:marRight w:val="0"/>
      <w:marTop w:val="0"/>
      <w:marBottom w:val="0"/>
      <w:divBdr>
        <w:top w:val="none" w:sz="0" w:space="0" w:color="auto"/>
        <w:left w:val="none" w:sz="0" w:space="0" w:color="auto"/>
        <w:bottom w:val="none" w:sz="0" w:space="0" w:color="auto"/>
        <w:right w:val="none" w:sz="0" w:space="0" w:color="auto"/>
      </w:divBdr>
    </w:div>
    <w:div w:id="948665624">
      <w:bodyDiv w:val="1"/>
      <w:marLeft w:val="0"/>
      <w:marRight w:val="0"/>
      <w:marTop w:val="0"/>
      <w:marBottom w:val="0"/>
      <w:divBdr>
        <w:top w:val="none" w:sz="0" w:space="0" w:color="auto"/>
        <w:left w:val="none" w:sz="0" w:space="0" w:color="auto"/>
        <w:bottom w:val="none" w:sz="0" w:space="0" w:color="auto"/>
        <w:right w:val="none" w:sz="0" w:space="0" w:color="auto"/>
      </w:divBdr>
    </w:div>
    <w:div w:id="974674503">
      <w:bodyDiv w:val="1"/>
      <w:marLeft w:val="0"/>
      <w:marRight w:val="0"/>
      <w:marTop w:val="0"/>
      <w:marBottom w:val="0"/>
      <w:divBdr>
        <w:top w:val="none" w:sz="0" w:space="0" w:color="auto"/>
        <w:left w:val="none" w:sz="0" w:space="0" w:color="auto"/>
        <w:bottom w:val="none" w:sz="0" w:space="0" w:color="auto"/>
        <w:right w:val="none" w:sz="0" w:space="0" w:color="auto"/>
      </w:divBdr>
    </w:div>
    <w:div w:id="1005403865">
      <w:bodyDiv w:val="1"/>
      <w:marLeft w:val="0"/>
      <w:marRight w:val="0"/>
      <w:marTop w:val="0"/>
      <w:marBottom w:val="0"/>
      <w:divBdr>
        <w:top w:val="none" w:sz="0" w:space="0" w:color="auto"/>
        <w:left w:val="none" w:sz="0" w:space="0" w:color="auto"/>
        <w:bottom w:val="none" w:sz="0" w:space="0" w:color="auto"/>
        <w:right w:val="none" w:sz="0" w:space="0" w:color="auto"/>
      </w:divBdr>
    </w:div>
    <w:div w:id="1021586793">
      <w:bodyDiv w:val="1"/>
      <w:marLeft w:val="0"/>
      <w:marRight w:val="0"/>
      <w:marTop w:val="0"/>
      <w:marBottom w:val="0"/>
      <w:divBdr>
        <w:top w:val="none" w:sz="0" w:space="0" w:color="auto"/>
        <w:left w:val="none" w:sz="0" w:space="0" w:color="auto"/>
        <w:bottom w:val="none" w:sz="0" w:space="0" w:color="auto"/>
        <w:right w:val="none" w:sz="0" w:space="0" w:color="auto"/>
      </w:divBdr>
    </w:div>
    <w:div w:id="1042636381">
      <w:bodyDiv w:val="1"/>
      <w:marLeft w:val="0"/>
      <w:marRight w:val="0"/>
      <w:marTop w:val="0"/>
      <w:marBottom w:val="0"/>
      <w:divBdr>
        <w:top w:val="none" w:sz="0" w:space="0" w:color="auto"/>
        <w:left w:val="none" w:sz="0" w:space="0" w:color="auto"/>
        <w:bottom w:val="none" w:sz="0" w:space="0" w:color="auto"/>
        <w:right w:val="none" w:sz="0" w:space="0" w:color="auto"/>
      </w:divBdr>
      <w:divsChild>
        <w:div w:id="1192260844">
          <w:marLeft w:val="0"/>
          <w:marRight w:val="0"/>
          <w:marTop w:val="0"/>
          <w:marBottom w:val="0"/>
          <w:divBdr>
            <w:top w:val="none" w:sz="0" w:space="0" w:color="auto"/>
            <w:left w:val="none" w:sz="0" w:space="0" w:color="auto"/>
            <w:bottom w:val="none" w:sz="0" w:space="0" w:color="auto"/>
            <w:right w:val="none" w:sz="0" w:space="0" w:color="auto"/>
          </w:divBdr>
          <w:divsChild>
            <w:div w:id="523830768">
              <w:marLeft w:val="0"/>
              <w:marRight w:val="0"/>
              <w:marTop w:val="0"/>
              <w:marBottom w:val="0"/>
              <w:divBdr>
                <w:top w:val="none" w:sz="0" w:space="0" w:color="auto"/>
                <w:left w:val="none" w:sz="0" w:space="0" w:color="auto"/>
                <w:bottom w:val="none" w:sz="0" w:space="0" w:color="auto"/>
                <w:right w:val="none" w:sz="0" w:space="0" w:color="auto"/>
              </w:divBdr>
              <w:divsChild>
                <w:div w:id="1315842292">
                  <w:marLeft w:val="0"/>
                  <w:marRight w:val="0"/>
                  <w:marTop w:val="0"/>
                  <w:marBottom w:val="0"/>
                  <w:divBdr>
                    <w:top w:val="none" w:sz="0" w:space="0" w:color="auto"/>
                    <w:left w:val="none" w:sz="0" w:space="0" w:color="auto"/>
                    <w:bottom w:val="none" w:sz="0" w:space="0" w:color="auto"/>
                    <w:right w:val="none" w:sz="0" w:space="0" w:color="auto"/>
                  </w:divBdr>
                  <w:divsChild>
                    <w:div w:id="130102665">
                      <w:marLeft w:val="0"/>
                      <w:marRight w:val="0"/>
                      <w:marTop w:val="0"/>
                      <w:marBottom w:val="0"/>
                      <w:divBdr>
                        <w:top w:val="none" w:sz="0" w:space="0" w:color="auto"/>
                        <w:left w:val="none" w:sz="0" w:space="0" w:color="auto"/>
                        <w:bottom w:val="none" w:sz="0" w:space="0" w:color="auto"/>
                        <w:right w:val="none" w:sz="0" w:space="0" w:color="auto"/>
                      </w:divBdr>
                      <w:divsChild>
                        <w:div w:id="1164928698">
                          <w:marLeft w:val="0"/>
                          <w:marRight w:val="0"/>
                          <w:marTop w:val="0"/>
                          <w:marBottom w:val="0"/>
                          <w:divBdr>
                            <w:top w:val="none" w:sz="0" w:space="0" w:color="auto"/>
                            <w:left w:val="none" w:sz="0" w:space="0" w:color="auto"/>
                            <w:bottom w:val="none" w:sz="0" w:space="0" w:color="auto"/>
                            <w:right w:val="none" w:sz="0" w:space="0" w:color="auto"/>
                          </w:divBdr>
                          <w:divsChild>
                            <w:div w:id="1926187372">
                              <w:marLeft w:val="36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02281">
      <w:bodyDiv w:val="1"/>
      <w:marLeft w:val="0"/>
      <w:marRight w:val="0"/>
      <w:marTop w:val="0"/>
      <w:marBottom w:val="0"/>
      <w:divBdr>
        <w:top w:val="none" w:sz="0" w:space="0" w:color="auto"/>
        <w:left w:val="none" w:sz="0" w:space="0" w:color="auto"/>
        <w:bottom w:val="none" w:sz="0" w:space="0" w:color="auto"/>
        <w:right w:val="none" w:sz="0" w:space="0" w:color="auto"/>
      </w:divBdr>
      <w:divsChild>
        <w:div w:id="1163935336">
          <w:marLeft w:val="0"/>
          <w:marRight w:val="0"/>
          <w:marTop w:val="0"/>
          <w:marBottom w:val="0"/>
          <w:divBdr>
            <w:top w:val="none" w:sz="0" w:space="0" w:color="auto"/>
            <w:left w:val="none" w:sz="0" w:space="0" w:color="auto"/>
            <w:bottom w:val="none" w:sz="0" w:space="0" w:color="auto"/>
            <w:right w:val="none" w:sz="0" w:space="0" w:color="auto"/>
          </w:divBdr>
          <w:divsChild>
            <w:div w:id="2904418">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0"/>
                  <w:divBdr>
                    <w:top w:val="none" w:sz="0" w:space="0" w:color="auto"/>
                    <w:left w:val="none" w:sz="0" w:space="0" w:color="auto"/>
                    <w:bottom w:val="none" w:sz="0" w:space="0" w:color="auto"/>
                    <w:right w:val="none" w:sz="0" w:space="0" w:color="auto"/>
                  </w:divBdr>
                  <w:divsChild>
                    <w:div w:id="1094593929">
                      <w:marLeft w:val="0"/>
                      <w:marRight w:val="0"/>
                      <w:marTop w:val="0"/>
                      <w:marBottom w:val="0"/>
                      <w:divBdr>
                        <w:top w:val="none" w:sz="0" w:space="0" w:color="auto"/>
                        <w:left w:val="none" w:sz="0" w:space="0" w:color="auto"/>
                        <w:bottom w:val="none" w:sz="0" w:space="0" w:color="auto"/>
                        <w:right w:val="none" w:sz="0" w:space="0" w:color="auto"/>
                      </w:divBdr>
                      <w:divsChild>
                        <w:div w:id="25523170">
                          <w:marLeft w:val="0"/>
                          <w:marRight w:val="0"/>
                          <w:marTop w:val="0"/>
                          <w:marBottom w:val="0"/>
                          <w:divBdr>
                            <w:top w:val="none" w:sz="0" w:space="0" w:color="auto"/>
                            <w:left w:val="none" w:sz="0" w:space="0" w:color="auto"/>
                            <w:bottom w:val="none" w:sz="0" w:space="0" w:color="auto"/>
                            <w:right w:val="none" w:sz="0" w:space="0" w:color="auto"/>
                          </w:divBdr>
                          <w:divsChild>
                            <w:div w:id="309555218">
                              <w:marLeft w:val="0"/>
                              <w:marRight w:val="0"/>
                              <w:marTop w:val="0"/>
                              <w:marBottom w:val="0"/>
                              <w:divBdr>
                                <w:top w:val="none" w:sz="0" w:space="0" w:color="auto"/>
                                <w:left w:val="none" w:sz="0" w:space="0" w:color="auto"/>
                                <w:bottom w:val="none" w:sz="0" w:space="0" w:color="auto"/>
                                <w:right w:val="none" w:sz="0" w:space="0" w:color="auto"/>
                              </w:divBdr>
                              <w:divsChild>
                                <w:div w:id="17331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3558">
      <w:bodyDiv w:val="1"/>
      <w:marLeft w:val="0"/>
      <w:marRight w:val="0"/>
      <w:marTop w:val="0"/>
      <w:marBottom w:val="0"/>
      <w:divBdr>
        <w:top w:val="none" w:sz="0" w:space="0" w:color="auto"/>
        <w:left w:val="none" w:sz="0" w:space="0" w:color="auto"/>
        <w:bottom w:val="none" w:sz="0" w:space="0" w:color="auto"/>
        <w:right w:val="none" w:sz="0" w:space="0" w:color="auto"/>
      </w:divBdr>
    </w:div>
    <w:div w:id="1092244069">
      <w:bodyDiv w:val="1"/>
      <w:marLeft w:val="0"/>
      <w:marRight w:val="0"/>
      <w:marTop w:val="0"/>
      <w:marBottom w:val="0"/>
      <w:divBdr>
        <w:top w:val="none" w:sz="0" w:space="0" w:color="auto"/>
        <w:left w:val="none" w:sz="0" w:space="0" w:color="auto"/>
        <w:bottom w:val="none" w:sz="0" w:space="0" w:color="auto"/>
        <w:right w:val="none" w:sz="0" w:space="0" w:color="auto"/>
      </w:divBdr>
    </w:div>
    <w:div w:id="1121725956">
      <w:bodyDiv w:val="1"/>
      <w:marLeft w:val="0"/>
      <w:marRight w:val="0"/>
      <w:marTop w:val="0"/>
      <w:marBottom w:val="0"/>
      <w:divBdr>
        <w:top w:val="none" w:sz="0" w:space="0" w:color="auto"/>
        <w:left w:val="none" w:sz="0" w:space="0" w:color="auto"/>
        <w:bottom w:val="none" w:sz="0" w:space="0" w:color="auto"/>
        <w:right w:val="none" w:sz="0" w:space="0" w:color="auto"/>
      </w:divBdr>
    </w:div>
    <w:div w:id="1159540851">
      <w:bodyDiv w:val="1"/>
      <w:marLeft w:val="0"/>
      <w:marRight w:val="0"/>
      <w:marTop w:val="0"/>
      <w:marBottom w:val="0"/>
      <w:divBdr>
        <w:top w:val="none" w:sz="0" w:space="0" w:color="auto"/>
        <w:left w:val="none" w:sz="0" w:space="0" w:color="auto"/>
        <w:bottom w:val="none" w:sz="0" w:space="0" w:color="auto"/>
        <w:right w:val="none" w:sz="0" w:space="0" w:color="auto"/>
      </w:divBdr>
    </w:div>
    <w:div w:id="1173639814">
      <w:bodyDiv w:val="1"/>
      <w:marLeft w:val="0"/>
      <w:marRight w:val="0"/>
      <w:marTop w:val="0"/>
      <w:marBottom w:val="0"/>
      <w:divBdr>
        <w:top w:val="none" w:sz="0" w:space="0" w:color="auto"/>
        <w:left w:val="none" w:sz="0" w:space="0" w:color="auto"/>
        <w:bottom w:val="none" w:sz="0" w:space="0" w:color="auto"/>
        <w:right w:val="none" w:sz="0" w:space="0" w:color="auto"/>
      </w:divBdr>
    </w:div>
    <w:div w:id="1173761293">
      <w:bodyDiv w:val="1"/>
      <w:marLeft w:val="0"/>
      <w:marRight w:val="0"/>
      <w:marTop w:val="0"/>
      <w:marBottom w:val="0"/>
      <w:divBdr>
        <w:top w:val="none" w:sz="0" w:space="0" w:color="auto"/>
        <w:left w:val="none" w:sz="0" w:space="0" w:color="auto"/>
        <w:bottom w:val="none" w:sz="0" w:space="0" w:color="auto"/>
        <w:right w:val="none" w:sz="0" w:space="0" w:color="auto"/>
      </w:divBdr>
    </w:div>
    <w:div w:id="1175727465">
      <w:bodyDiv w:val="1"/>
      <w:marLeft w:val="0"/>
      <w:marRight w:val="0"/>
      <w:marTop w:val="0"/>
      <w:marBottom w:val="0"/>
      <w:divBdr>
        <w:top w:val="none" w:sz="0" w:space="0" w:color="auto"/>
        <w:left w:val="none" w:sz="0" w:space="0" w:color="auto"/>
        <w:bottom w:val="none" w:sz="0" w:space="0" w:color="auto"/>
        <w:right w:val="none" w:sz="0" w:space="0" w:color="auto"/>
      </w:divBdr>
    </w:div>
    <w:div w:id="1204093774">
      <w:bodyDiv w:val="1"/>
      <w:marLeft w:val="0"/>
      <w:marRight w:val="0"/>
      <w:marTop w:val="0"/>
      <w:marBottom w:val="0"/>
      <w:divBdr>
        <w:top w:val="none" w:sz="0" w:space="0" w:color="auto"/>
        <w:left w:val="none" w:sz="0" w:space="0" w:color="auto"/>
        <w:bottom w:val="none" w:sz="0" w:space="0" w:color="auto"/>
        <w:right w:val="none" w:sz="0" w:space="0" w:color="auto"/>
      </w:divBdr>
    </w:div>
    <w:div w:id="1208761882">
      <w:bodyDiv w:val="1"/>
      <w:marLeft w:val="0"/>
      <w:marRight w:val="0"/>
      <w:marTop w:val="0"/>
      <w:marBottom w:val="0"/>
      <w:divBdr>
        <w:top w:val="none" w:sz="0" w:space="0" w:color="auto"/>
        <w:left w:val="none" w:sz="0" w:space="0" w:color="auto"/>
        <w:bottom w:val="none" w:sz="0" w:space="0" w:color="auto"/>
        <w:right w:val="none" w:sz="0" w:space="0" w:color="auto"/>
      </w:divBdr>
      <w:divsChild>
        <w:div w:id="1620407866">
          <w:marLeft w:val="0"/>
          <w:marRight w:val="0"/>
          <w:marTop w:val="0"/>
          <w:marBottom w:val="0"/>
          <w:divBdr>
            <w:top w:val="none" w:sz="0" w:space="0" w:color="auto"/>
            <w:left w:val="none" w:sz="0" w:space="0" w:color="auto"/>
            <w:bottom w:val="none" w:sz="0" w:space="0" w:color="auto"/>
            <w:right w:val="none" w:sz="0" w:space="0" w:color="auto"/>
          </w:divBdr>
          <w:divsChild>
            <w:div w:id="326325400">
              <w:marLeft w:val="0"/>
              <w:marRight w:val="0"/>
              <w:marTop w:val="0"/>
              <w:marBottom w:val="0"/>
              <w:divBdr>
                <w:top w:val="none" w:sz="0" w:space="0" w:color="auto"/>
                <w:left w:val="none" w:sz="0" w:space="0" w:color="auto"/>
                <w:bottom w:val="none" w:sz="0" w:space="0" w:color="auto"/>
                <w:right w:val="none" w:sz="0" w:space="0" w:color="auto"/>
              </w:divBdr>
              <w:divsChild>
                <w:div w:id="547566389">
                  <w:marLeft w:val="0"/>
                  <w:marRight w:val="0"/>
                  <w:marTop w:val="0"/>
                  <w:marBottom w:val="0"/>
                  <w:divBdr>
                    <w:top w:val="none" w:sz="0" w:space="0" w:color="auto"/>
                    <w:left w:val="none" w:sz="0" w:space="0" w:color="auto"/>
                    <w:bottom w:val="none" w:sz="0" w:space="0" w:color="auto"/>
                    <w:right w:val="none" w:sz="0" w:space="0" w:color="auto"/>
                  </w:divBdr>
                  <w:divsChild>
                    <w:div w:id="1513253980">
                      <w:marLeft w:val="0"/>
                      <w:marRight w:val="0"/>
                      <w:marTop w:val="0"/>
                      <w:marBottom w:val="0"/>
                      <w:divBdr>
                        <w:top w:val="none" w:sz="0" w:space="0" w:color="auto"/>
                        <w:left w:val="none" w:sz="0" w:space="0" w:color="auto"/>
                        <w:bottom w:val="none" w:sz="0" w:space="0" w:color="auto"/>
                        <w:right w:val="none" w:sz="0" w:space="0" w:color="auto"/>
                      </w:divBdr>
                      <w:divsChild>
                        <w:div w:id="1599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3016">
      <w:bodyDiv w:val="1"/>
      <w:marLeft w:val="0"/>
      <w:marRight w:val="0"/>
      <w:marTop w:val="0"/>
      <w:marBottom w:val="0"/>
      <w:divBdr>
        <w:top w:val="none" w:sz="0" w:space="0" w:color="auto"/>
        <w:left w:val="none" w:sz="0" w:space="0" w:color="auto"/>
        <w:bottom w:val="none" w:sz="0" w:space="0" w:color="auto"/>
        <w:right w:val="none" w:sz="0" w:space="0" w:color="auto"/>
      </w:divBdr>
      <w:divsChild>
        <w:div w:id="817266218">
          <w:marLeft w:val="0"/>
          <w:marRight w:val="0"/>
          <w:marTop w:val="0"/>
          <w:marBottom w:val="0"/>
          <w:divBdr>
            <w:top w:val="none" w:sz="0" w:space="0" w:color="auto"/>
            <w:left w:val="none" w:sz="0" w:space="0" w:color="auto"/>
            <w:bottom w:val="none" w:sz="0" w:space="0" w:color="auto"/>
            <w:right w:val="none" w:sz="0" w:space="0" w:color="auto"/>
          </w:divBdr>
          <w:divsChild>
            <w:div w:id="1015155190">
              <w:marLeft w:val="0"/>
              <w:marRight w:val="0"/>
              <w:marTop w:val="0"/>
              <w:marBottom w:val="0"/>
              <w:divBdr>
                <w:top w:val="none" w:sz="0" w:space="0" w:color="auto"/>
                <w:left w:val="none" w:sz="0" w:space="0" w:color="auto"/>
                <w:bottom w:val="none" w:sz="0" w:space="0" w:color="auto"/>
                <w:right w:val="none" w:sz="0" w:space="0" w:color="auto"/>
              </w:divBdr>
              <w:divsChild>
                <w:div w:id="771702706">
                  <w:marLeft w:val="0"/>
                  <w:marRight w:val="0"/>
                  <w:marTop w:val="0"/>
                  <w:marBottom w:val="0"/>
                  <w:divBdr>
                    <w:top w:val="none" w:sz="0" w:space="0" w:color="auto"/>
                    <w:left w:val="none" w:sz="0" w:space="0" w:color="auto"/>
                    <w:bottom w:val="none" w:sz="0" w:space="0" w:color="auto"/>
                    <w:right w:val="none" w:sz="0" w:space="0" w:color="auto"/>
                  </w:divBdr>
                  <w:divsChild>
                    <w:div w:id="583681293">
                      <w:marLeft w:val="0"/>
                      <w:marRight w:val="0"/>
                      <w:marTop w:val="0"/>
                      <w:marBottom w:val="0"/>
                      <w:divBdr>
                        <w:top w:val="none" w:sz="0" w:space="0" w:color="auto"/>
                        <w:left w:val="none" w:sz="0" w:space="0" w:color="auto"/>
                        <w:bottom w:val="none" w:sz="0" w:space="0" w:color="auto"/>
                        <w:right w:val="none" w:sz="0" w:space="0" w:color="auto"/>
                      </w:divBdr>
                      <w:divsChild>
                        <w:div w:id="265893476">
                          <w:marLeft w:val="340"/>
                          <w:marRight w:val="0"/>
                          <w:marTop w:val="300"/>
                          <w:marBottom w:val="120"/>
                          <w:divBdr>
                            <w:top w:val="none" w:sz="0" w:space="0" w:color="auto"/>
                            <w:left w:val="none" w:sz="0" w:space="0" w:color="auto"/>
                            <w:bottom w:val="none" w:sz="0" w:space="0" w:color="auto"/>
                            <w:right w:val="none" w:sz="0" w:space="0" w:color="auto"/>
                          </w:divBdr>
                          <w:divsChild>
                            <w:div w:id="1341198274">
                              <w:marLeft w:val="0"/>
                              <w:marRight w:val="0"/>
                              <w:marTop w:val="0"/>
                              <w:marBottom w:val="0"/>
                              <w:divBdr>
                                <w:top w:val="none" w:sz="0" w:space="0" w:color="auto"/>
                                <w:left w:val="none" w:sz="0" w:space="0" w:color="auto"/>
                                <w:bottom w:val="none" w:sz="0" w:space="0" w:color="auto"/>
                                <w:right w:val="none" w:sz="0" w:space="0" w:color="auto"/>
                              </w:divBdr>
                              <w:divsChild>
                                <w:div w:id="14676979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3705472">
                                      <w:blockQuote w:val="1"/>
                                      <w:marLeft w:val="600"/>
                                      <w:marRight w:val="0"/>
                                      <w:marTop w:val="120"/>
                                      <w:marBottom w:val="120"/>
                                      <w:divBdr>
                                        <w:top w:val="none" w:sz="0" w:space="0" w:color="auto"/>
                                        <w:left w:val="none" w:sz="0" w:space="0" w:color="auto"/>
                                        <w:bottom w:val="none" w:sz="0" w:space="0" w:color="auto"/>
                                        <w:right w:val="none" w:sz="0" w:space="0" w:color="auto"/>
                                      </w:divBdr>
                                    </w:div>
                                    <w:div w:id="638190383">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673">
                                      <w:blockQuote w:val="1"/>
                                      <w:marLeft w:val="600"/>
                                      <w:marRight w:val="0"/>
                                      <w:marTop w:val="120"/>
                                      <w:marBottom w:val="120"/>
                                      <w:divBdr>
                                        <w:top w:val="none" w:sz="0" w:space="0" w:color="auto"/>
                                        <w:left w:val="none" w:sz="0" w:space="0" w:color="auto"/>
                                        <w:bottom w:val="none" w:sz="0" w:space="0" w:color="auto"/>
                                        <w:right w:val="none" w:sz="0" w:space="0" w:color="auto"/>
                                      </w:divBdr>
                                    </w:div>
                                    <w:div w:id="9408018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295">
      <w:bodyDiv w:val="1"/>
      <w:marLeft w:val="0"/>
      <w:marRight w:val="0"/>
      <w:marTop w:val="0"/>
      <w:marBottom w:val="0"/>
      <w:divBdr>
        <w:top w:val="none" w:sz="0" w:space="0" w:color="auto"/>
        <w:left w:val="none" w:sz="0" w:space="0" w:color="auto"/>
        <w:bottom w:val="none" w:sz="0" w:space="0" w:color="auto"/>
        <w:right w:val="none" w:sz="0" w:space="0" w:color="auto"/>
      </w:divBdr>
    </w:div>
    <w:div w:id="1337273045">
      <w:bodyDiv w:val="1"/>
      <w:marLeft w:val="0"/>
      <w:marRight w:val="0"/>
      <w:marTop w:val="0"/>
      <w:marBottom w:val="0"/>
      <w:divBdr>
        <w:top w:val="none" w:sz="0" w:space="0" w:color="auto"/>
        <w:left w:val="none" w:sz="0" w:space="0" w:color="auto"/>
        <w:bottom w:val="none" w:sz="0" w:space="0" w:color="auto"/>
        <w:right w:val="none" w:sz="0" w:space="0" w:color="auto"/>
      </w:divBdr>
    </w:div>
    <w:div w:id="1350528133">
      <w:bodyDiv w:val="1"/>
      <w:marLeft w:val="0"/>
      <w:marRight w:val="0"/>
      <w:marTop w:val="0"/>
      <w:marBottom w:val="0"/>
      <w:divBdr>
        <w:top w:val="none" w:sz="0" w:space="0" w:color="auto"/>
        <w:left w:val="none" w:sz="0" w:space="0" w:color="auto"/>
        <w:bottom w:val="none" w:sz="0" w:space="0" w:color="auto"/>
        <w:right w:val="none" w:sz="0" w:space="0" w:color="auto"/>
      </w:divBdr>
    </w:div>
    <w:div w:id="136062065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7">
          <w:marLeft w:val="0"/>
          <w:marRight w:val="0"/>
          <w:marTop w:val="0"/>
          <w:marBottom w:val="0"/>
          <w:divBdr>
            <w:top w:val="none" w:sz="0" w:space="0" w:color="auto"/>
            <w:left w:val="none" w:sz="0" w:space="0" w:color="auto"/>
            <w:bottom w:val="none" w:sz="0" w:space="0" w:color="auto"/>
            <w:right w:val="none" w:sz="0" w:space="0" w:color="auto"/>
          </w:divBdr>
          <w:divsChild>
            <w:div w:id="2098473294">
              <w:marLeft w:val="0"/>
              <w:marRight w:val="0"/>
              <w:marTop w:val="0"/>
              <w:marBottom w:val="0"/>
              <w:divBdr>
                <w:top w:val="none" w:sz="0" w:space="0" w:color="auto"/>
                <w:left w:val="none" w:sz="0" w:space="0" w:color="auto"/>
                <w:bottom w:val="none" w:sz="0" w:space="0" w:color="auto"/>
                <w:right w:val="none" w:sz="0" w:space="0" w:color="auto"/>
              </w:divBdr>
              <w:divsChild>
                <w:div w:id="1537696484">
                  <w:marLeft w:val="0"/>
                  <w:marRight w:val="0"/>
                  <w:marTop w:val="0"/>
                  <w:marBottom w:val="0"/>
                  <w:divBdr>
                    <w:top w:val="none" w:sz="0" w:space="0" w:color="auto"/>
                    <w:left w:val="none" w:sz="0" w:space="0" w:color="auto"/>
                    <w:bottom w:val="none" w:sz="0" w:space="0" w:color="auto"/>
                    <w:right w:val="none" w:sz="0" w:space="0" w:color="auto"/>
                  </w:divBdr>
                  <w:divsChild>
                    <w:div w:id="261110967">
                      <w:marLeft w:val="0"/>
                      <w:marRight w:val="0"/>
                      <w:marTop w:val="0"/>
                      <w:marBottom w:val="0"/>
                      <w:divBdr>
                        <w:top w:val="none" w:sz="0" w:space="0" w:color="auto"/>
                        <w:left w:val="none" w:sz="0" w:space="0" w:color="auto"/>
                        <w:bottom w:val="none" w:sz="0" w:space="0" w:color="auto"/>
                        <w:right w:val="none" w:sz="0" w:space="0" w:color="auto"/>
                      </w:divBdr>
                      <w:divsChild>
                        <w:div w:id="1183594353">
                          <w:marLeft w:val="0"/>
                          <w:marRight w:val="0"/>
                          <w:marTop w:val="0"/>
                          <w:marBottom w:val="0"/>
                          <w:divBdr>
                            <w:top w:val="none" w:sz="0" w:space="0" w:color="auto"/>
                            <w:left w:val="none" w:sz="0" w:space="0" w:color="auto"/>
                            <w:bottom w:val="none" w:sz="0" w:space="0" w:color="auto"/>
                            <w:right w:val="none" w:sz="0" w:space="0" w:color="auto"/>
                          </w:divBdr>
                          <w:divsChild>
                            <w:div w:id="6374022">
                              <w:marLeft w:val="0"/>
                              <w:marRight w:val="0"/>
                              <w:marTop w:val="0"/>
                              <w:marBottom w:val="0"/>
                              <w:divBdr>
                                <w:top w:val="none" w:sz="0" w:space="0" w:color="auto"/>
                                <w:left w:val="none" w:sz="0" w:space="0" w:color="auto"/>
                                <w:bottom w:val="none" w:sz="0" w:space="0" w:color="auto"/>
                                <w:right w:val="none" w:sz="0" w:space="0" w:color="auto"/>
                              </w:divBdr>
                            </w:div>
                            <w:div w:id="601958219">
                              <w:marLeft w:val="0"/>
                              <w:marRight w:val="0"/>
                              <w:marTop w:val="0"/>
                              <w:marBottom w:val="0"/>
                              <w:divBdr>
                                <w:top w:val="none" w:sz="0" w:space="0" w:color="auto"/>
                                <w:left w:val="none" w:sz="0" w:space="0" w:color="auto"/>
                                <w:bottom w:val="none" w:sz="0" w:space="0" w:color="auto"/>
                                <w:right w:val="none" w:sz="0" w:space="0" w:color="auto"/>
                              </w:divBdr>
                            </w:div>
                            <w:div w:id="1170021295">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sChild>
                                <w:div w:id="2166459">
                                  <w:marLeft w:val="0"/>
                                  <w:marRight w:val="0"/>
                                  <w:marTop w:val="0"/>
                                  <w:marBottom w:val="0"/>
                                  <w:divBdr>
                                    <w:top w:val="none" w:sz="0" w:space="0" w:color="auto"/>
                                    <w:left w:val="none" w:sz="0" w:space="0" w:color="auto"/>
                                    <w:bottom w:val="none" w:sz="0" w:space="0" w:color="auto"/>
                                    <w:right w:val="none" w:sz="0" w:space="0" w:color="auto"/>
                                  </w:divBdr>
                                </w:div>
                                <w:div w:id="116919120">
                                  <w:marLeft w:val="0"/>
                                  <w:marRight w:val="0"/>
                                  <w:marTop w:val="0"/>
                                  <w:marBottom w:val="0"/>
                                  <w:divBdr>
                                    <w:top w:val="none" w:sz="0" w:space="0" w:color="auto"/>
                                    <w:left w:val="none" w:sz="0" w:space="0" w:color="auto"/>
                                    <w:bottom w:val="none" w:sz="0" w:space="0" w:color="auto"/>
                                    <w:right w:val="none" w:sz="0" w:space="0" w:color="auto"/>
                                  </w:divBdr>
                                </w:div>
                                <w:div w:id="133527624">
                                  <w:marLeft w:val="0"/>
                                  <w:marRight w:val="0"/>
                                  <w:marTop w:val="0"/>
                                  <w:marBottom w:val="0"/>
                                  <w:divBdr>
                                    <w:top w:val="none" w:sz="0" w:space="0" w:color="auto"/>
                                    <w:left w:val="none" w:sz="0" w:space="0" w:color="auto"/>
                                    <w:bottom w:val="none" w:sz="0" w:space="0" w:color="auto"/>
                                    <w:right w:val="none" w:sz="0" w:space="0" w:color="auto"/>
                                  </w:divBdr>
                                </w:div>
                                <w:div w:id="284774369">
                                  <w:marLeft w:val="0"/>
                                  <w:marRight w:val="0"/>
                                  <w:marTop w:val="0"/>
                                  <w:marBottom w:val="0"/>
                                  <w:divBdr>
                                    <w:top w:val="none" w:sz="0" w:space="0" w:color="auto"/>
                                    <w:left w:val="none" w:sz="0" w:space="0" w:color="auto"/>
                                    <w:bottom w:val="none" w:sz="0" w:space="0" w:color="auto"/>
                                    <w:right w:val="none" w:sz="0" w:space="0" w:color="auto"/>
                                  </w:divBdr>
                                </w:div>
                                <w:div w:id="327246613">
                                  <w:marLeft w:val="0"/>
                                  <w:marRight w:val="0"/>
                                  <w:marTop w:val="0"/>
                                  <w:marBottom w:val="0"/>
                                  <w:divBdr>
                                    <w:top w:val="none" w:sz="0" w:space="0" w:color="auto"/>
                                    <w:left w:val="none" w:sz="0" w:space="0" w:color="auto"/>
                                    <w:bottom w:val="none" w:sz="0" w:space="0" w:color="auto"/>
                                    <w:right w:val="none" w:sz="0" w:space="0" w:color="auto"/>
                                  </w:divBdr>
                                </w:div>
                                <w:div w:id="393745224">
                                  <w:marLeft w:val="0"/>
                                  <w:marRight w:val="0"/>
                                  <w:marTop w:val="0"/>
                                  <w:marBottom w:val="0"/>
                                  <w:divBdr>
                                    <w:top w:val="none" w:sz="0" w:space="0" w:color="auto"/>
                                    <w:left w:val="none" w:sz="0" w:space="0" w:color="auto"/>
                                    <w:bottom w:val="none" w:sz="0" w:space="0" w:color="auto"/>
                                    <w:right w:val="none" w:sz="0" w:space="0" w:color="auto"/>
                                  </w:divBdr>
                                </w:div>
                                <w:div w:id="837040308">
                                  <w:marLeft w:val="0"/>
                                  <w:marRight w:val="0"/>
                                  <w:marTop w:val="0"/>
                                  <w:marBottom w:val="0"/>
                                  <w:divBdr>
                                    <w:top w:val="none" w:sz="0" w:space="0" w:color="auto"/>
                                    <w:left w:val="none" w:sz="0" w:space="0" w:color="auto"/>
                                    <w:bottom w:val="none" w:sz="0" w:space="0" w:color="auto"/>
                                    <w:right w:val="none" w:sz="0" w:space="0" w:color="auto"/>
                                  </w:divBdr>
                                </w:div>
                                <w:div w:id="953364720">
                                  <w:marLeft w:val="0"/>
                                  <w:marRight w:val="0"/>
                                  <w:marTop w:val="0"/>
                                  <w:marBottom w:val="0"/>
                                  <w:divBdr>
                                    <w:top w:val="none" w:sz="0" w:space="0" w:color="auto"/>
                                    <w:left w:val="none" w:sz="0" w:space="0" w:color="auto"/>
                                    <w:bottom w:val="none" w:sz="0" w:space="0" w:color="auto"/>
                                    <w:right w:val="none" w:sz="0" w:space="0" w:color="auto"/>
                                  </w:divBdr>
                                </w:div>
                                <w:div w:id="1200779077">
                                  <w:marLeft w:val="0"/>
                                  <w:marRight w:val="0"/>
                                  <w:marTop w:val="0"/>
                                  <w:marBottom w:val="0"/>
                                  <w:divBdr>
                                    <w:top w:val="none" w:sz="0" w:space="0" w:color="auto"/>
                                    <w:left w:val="none" w:sz="0" w:space="0" w:color="auto"/>
                                    <w:bottom w:val="none" w:sz="0" w:space="0" w:color="auto"/>
                                    <w:right w:val="none" w:sz="0" w:space="0" w:color="auto"/>
                                  </w:divBdr>
                                </w:div>
                                <w:div w:id="1292247626">
                                  <w:marLeft w:val="0"/>
                                  <w:marRight w:val="0"/>
                                  <w:marTop w:val="0"/>
                                  <w:marBottom w:val="0"/>
                                  <w:divBdr>
                                    <w:top w:val="none" w:sz="0" w:space="0" w:color="auto"/>
                                    <w:left w:val="none" w:sz="0" w:space="0" w:color="auto"/>
                                    <w:bottom w:val="none" w:sz="0" w:space="0" w:color="auto"/>
                                    <w:right w:val="none" w:sz="0" w:space="0" w:color="auto"/>
                                  </w:divBdr>
                                </w:div>
                                <w:div w:id="1684211198">
                                  <w:marLeft w:val="0"/>
                                  <w:marRight w:val="0"/>
                                  <w:marTop w:val="0"/>
                                  <w:marBottom w:val="0"/>
                                  <w:divBdr>
                                    <w:top w:val="none" w:sz="0" w:space="0" w:color="auto"/>
                                    <w:left w:val="none" w:sz="0" w:space="0" w:color="auto"/>
                                    <w:bottom w:val="none" w:sz="0" w:space="0" w:color="auto"/>
                                    <w:right w:val="none" w:sz="0" w:space="0" w:color="auto"/>
                                  </w:divBdr>
                                </w:div>
                                <w:div w:id="1925190340">
                                  <w:marLeft w:val="0"/>
                                  <w:marRight w:val="0"/>
                                  <w:marTop w:val="0"/>
                                  <w:marBottom w:val="0"/>
                                  <w:divBdr>
                                    <w:top w:val="none" w:sz="0" w:space="0" w:color="auto"/>
                                    <w:left w:val="none" w:sz="0" w:space="0" w:color="auto"/>
                                    <w:bottom w:val="none" w:sz="0" w:space="0" w:color="auto"/>
                                    <w:right w:val="none" w:sz="0" w:space="0" w:color="auto"/>
                                  </w:divBdr>
                                </w:div>
                                <w:div w:id="2023509315">
                                  <w:marLeft w:val="0"/>
                                  <w:marRight w:val="0"/>
                                  <w:marTop w:val="0"/>
                                  <w:marBottom w:val="0"/>
                                  <w:divBdr>
                                    <w:top w:val="none" w:sz="0" w:space="0" w:color="auto"/>
                                    <w:left w:val="none" w:sz="0" w:space="0" w:color="auto"/>
                                    <w:bottom w:val="none" w:sz="0" w:space="0" w:color="auto"/>
                                    <w:right w:val="none" w:sz="0" w:space="0" w:color="auto"/>
                                  </w:divBdr>
                                </w:div>
                              </w:divsChild>
                            </w:div>
                            <w:div w:id="1986353483">
                              <w:marLeft w:val="0"/>
                              <w:marRight w:val="0"/>
                              <w:marTop w:val="0"/>
                              <w:marBottom w:val="0"/>
                              <w:divBdr>
                                <w:top w:val="none" w:sz="0" w:space="0" w:color="auto"/>
                                <w:left w:val="none" w:sz="0" w:space="0" w:color="auto"/>
                                <w:bottom w:val="none" w:sz="0" w:space="0" w:color="auto"/>
                                <w:right w:val="none" w:sz="0" w:space="0" w:color="auto"/>
                              </w:divBdr>
                              <w:divsChild>
                                <w:div w:id="5678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43505">
      <w:bodyDiv w:val="1"/>
      <w:marLeft w:val="0"/>
      <w:marRight w:val="0"/>
      <w:marTop w:val="0"/>
      <w:marBottom w:val="0"/>
      <w:divBdr>
        <w:top w:val="none" w:sz="0" w:space="0" w:color="auto"/>
        <w:left w:val="none" w:sz="0" w:space="0" w:color="auto"/>
        <w:bottom w:val="none" w:sz="0" w:space="0" w:color="auto"/>
        <w:right w:val="none" w:sz="0" w:space="0" w:color="auto"/>
      </w:divBdr>
    </w:div>
    <w:div w:id="1399669266">
      <w:bodyDiv w:val="1"/>
      <w:marLeft w:val="0"/>
      <w:marRight w:val="0"/>
      <w:marTop w:val="0"/>
      <w:marBottom w:val="0"/>
      <w:divBdr>
        <w:top w:val="none" w:sz="0" w:space="0" w:color="auto"/>
        <w:left w:val="none" w:sz="0" w:space="0" w:color="auto"/>
        <w:bottom w:val="none" w:sz="0" w:space="0" w:color="auto"/>
        <w:right w:val="none" w:sz="0" w:space="0" w:color="auto"/>
      </w:divBdr>
    </w:div>
    <w:div w:id="1404333142">
      <w:bodyDiv w:val="1"/>
      <w:marLeft w:val="0"/>
      <w:marRight w:val="0"/>
      <w:marTop w:val="0"/>
      <w:marBottom w:val="0"/>
      <w:divBdr>
        <w:top w:val="none" w:sz="0" w:space="0" w:color="auto"/>
        <w:left w:val="none" w:sz="0" w:space="0" w:color="auto"/>
        <w:bottom w:val="none" w:sz="0" w:space="0" w:color="auto"/>
        <w:right w:val="none" w:sz="0" w:space="0" w:color="auto"/>
      </w:divBdr>
      <w:divsChild>
        <w:div w:id="1380401479">
          <w:marLeft w:val="0"/>
          <w:marRight w:val="0"/>
          <w:marTop w:val="0"/>
          <w:marBottom w:val="0"/>
          <w:divBdr>
            <w:top w:val="none" w:sz="0" w:space="0" w:color="auto"/>
            <w:left w:val="none" w:sz="0" w:space="0" w:color="auto"/>
            <w:bottom w:val="none" w:sz="0" w:space="0" w:color="auto"/>
            <w:right w:val="none" w:sz="0" w:space="0" w:color="auto"/>
          </w:divBdr>
          <w:divsChild>
            <w:div w:id="1529760292">
              <w:marLeft w:val="0"/>
              <w:marRight w:val="0"/>
              <w:marTop w:val="0"/>
              <w:marBottom w:val="0"/>
              <w:divBdr>
                <w:top w:val="none" w:sz="0" w:space="0" w:color="auto"/>
                <w:left w:val="none" w:sz="0" w:space="0" w:color="auto"/>
                <w:bottom w:val="none" w:sz="0" w:space="0" w:color="auto"/>
                <w:right w:val="none" w:sz="0" w:space="0" w:color="auto"/>
              </w:divBdr>
              <w:divsChild>
                <w:div w:id="1251508125">
                  <w:marLeft w:val="0"/>
                  <w:marRight w:val="0"/>
                  <w:marTop w:val="0"/>
                  <w:marBottom w:val="0"/>
                  <w:divBdr>
                    <w:top w:val="none" w:sz="0" w:space="0" w:color="auto"/>
                    <w:left w:val="none" w:sz="0" w:space="0" w:color="auto"/>
                    <w:bottom w:val="none" w:sz="0" w:space="0" w:color="auto"/>
                    <w:right w:val="none" w:sz="0" w:space="0" w:color="auto"/>
                  </w:divBdr>
                  <w:divsChild>
                    <w:div w:id="264076492">
                      <w:marLeft w:val="0"/>
                      <w:marRight w:val="0"/>
                      <w:marTop w:val="0"/>
                      <w:marBottom w:val="0"/>
                      <w:divBdr>
                        <w:top w:val="none" w:sz="0" w:space="0" w:color="auto"/>
                        <w:left w:val="none" w:sz="0" w:space="0" w:color="auto"/>
                        <w:bottom w:val="none" w:sz="0" w:space="0" w:color="auto"/>
                        <w:right w:val="none" w:sz="0" w:space="0" w:color="auto"/>
                      </w:divBdr>
                      <w:divsChild>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2735">
      <w:bodyDiv w:val="1"/>
      <w:marLeft w:val="0"/>
      <w:marRight w:val="0"/>
      <w:marTop w:val="0"/>
      <w:marBottom w:val="0"/>
      <w:divBdr>
        <w:top w:val="none" w:sz="0" w:space="0" w:color="auto"/>
        <w:left w:val="none" w:sz="0" w:space="0" w:color="auto"/>
        <w:bottom w:val="none" w:sz="0" w:space="0" w:color="auto"/>
        <w:right w:val="none" w:sz="0" w:space="0" w:color="auto"/>
      </w:divBdr>
    </w:div>
    <w:div w:id="1531528343">
      <w:bodyDiv w:val="1"/>
      <w:marLeft w:val="0"/>
      <w:marRight w:val="0"/>
      <w:marTop w:val="0"/>
      <w:marBottom w:val="0"/>
      <w:divBdr>
        <w:top w:val="none" w:sz="0" w:space="0" w:color="auto"/>
        <w:left w:val="none" w:sz="0" w:space="0" w:color="auto"/>
        <w:bottom w:val="none" w:sz="0" w:space="0" w:color="auto"/>
        <w:right w:val="none" w:sz="0" w:space="0" w:color="auto"/>
      </w:divBdr>
    </w:div>
    <w:div w:id="1531603027">
      <w:bodyDiv w:val="1"/>
      <w:marLeft w:val="0"/>
      <w:marRight w:val="0"/>
      <w:marTop w:val="0"/>
      <w:marBottom w:val="0"/>
      <w:divBdr>
        <w:top w:val="none" w:sz="0" w:space="0" w:color="auto"/>
        <w:left w:val="none" w:sz="0" w:space="0" w:color="auto"/>
        <w:bottom w:val="none" w:sz="0" w:space="0" w:color="auto"/>
        <w:right w:val="none" w:sz="0" w:space="0" w:color="auto"/>
      </w:divBdr>
    </w:div>
    <w:div w:id="1535461151">
      <w:bodyDiv w:val="1"/>
      <w:marLeft w:val="0"/>
      <w:marRight w:val="0"/>
      <w:marTop w:val="0"/>
      <w:marBottom w:val="0"/>
      <w:divBdr>
        <w:top w:val="none" w:sz="0" w:space="0" w:color="auto"/>
        <w:left w:val="none" w:sz="0" w:space="0" w:color="auto"/>
        <w:bottom w:val="none" w:sz="0" w:space="0" w:color="auto"/>
        <w:right w:val="none" w:sz="0" w:space="0" w:color="auto"/>
      </w:divBdr>
    </w:div>
    <w:div w:id="1549948247">
      <w:bodyDiv w:val="1"/>
      <w:marLeft w:val="0"/>
      <w:marRight w:val="0"/>
      <w:marTop w:val="0"/>
      <w:marBottom w:val="0"/>
      <w:divBdr>
        <w:top w:val="none" w:sz="0" w:space="0" w:color="auto"/>
        <w:left w:val="none" w:sz="0" w:space="0" w:color="auto"/>
        <w:bottom w:val="none" w:sz="0" w:space="0" w:color="auto"/>
        <w:right w:val="none" w:sz="0" w:space="0" w:color="auto"/>
      </w:divBdr>
    </w:div>
    <w:div w:id="1551109943">
      <w:bodyDiv w:val="1"/>
      <w:marLeft w:val="0"/>
      <w:marRight w:val="0"/>
      <w:marTop w:val="0"/>
      <w:marBottom w:val="0"/>
      <w:divBdr>
        <w:top w:val="none" w:sz="0" w:space="0" w:color="auto"/>
        <w:left w:val="none" w:sz="0" w:space="0" w:color="auto"/>
        <w:bottom w:val="none" w:sz="0" w:space="0" w:color="auto"/>
        <w:right w:val="none" w:sz="0" w:space="0" w:color="auto"/>
      </w:divBdr>
    </w:div>
    <w:div w:id="1558660885">
      <w:bodyDiv w:val="1"/>
      <w:marLeft w:val="0"/>
      <w:marRight w:val="0"/>
      <w:marTop w:val="0"/>
      <w:marBottom w:val="0"/>
      <w:divBdr>
        <w:top w:val="none" w:sz="0" w:space="0" w:color="auto"/>
        <w:left w:val="none" w:sz="0" w:space="0" w:color="auto"/>
        <w:bottom w:val="none" w:sz="0" w:space="0" w:color="auto"/>
        <w:right w:val="none" w:sz="0" w:space="0" w:color="auto"/>
      </w:divBdr>
    </w:div>
    <w:div w:id="1599172099">
      <w:bodyDiv w:val="1"/>
      <w:marLeft w:val="0"/>
      <w:marRight w:val="0"/>
      <w:marTop w:val="0"/>
      <w:marBottom w:val="0"/>
      <w:divBdr>
        <w:top w:val="none" w:sz="0" w:space="0" w:color="auto"/>
        <w:left w:val="none" w:sz="0" w:space="0" w:color="auto"/>
        <w:bottom w:val="none" w:sz="0" w:space="0" w:color="auto"/>
        <w:right w:val="none" w:sz="0" w:space="0" w:color="auto"/>
      </w:divBdr>
    </w:div>
    <w:div w:id="1605533131">
      <w:bodyDiv w:val="1"/>
      <w:marLeft w:val="0"/>
      <w:marRight w:val="0"/>
      <w:marTop w:val="0"/>
      <w:marBottom w:val="0"/>
      <w:divBdr>
        <w:top w:val="none" w:sz="0" w:space="0" w:color="auto"/>
        <w:left w:val="none" w:sz="0" w:space="0" w:color="auto"/>
        <w:bottom w:val="none" w:sz="0" w:space="0" w:color="auto"/>
        <w:right w:val="none" w:sz="0" w:space="0" w:color="auto"/>
      </w:divBdr>
    </w:div>
    <w:div w:id="1607155355">
      <w:bodyDiv w:val="1"/>
      <w:marLeft w:val="0"/>
      <w:marRight w:val="0"/>
      <w:marTop w:val="0"/>
      <w:marBottom w:val="0"/>
      <w:divBdr>
        <w:top w:val="none" w:sz="0" w:space="0" w:color="auto"/>
        <w:left w:val="none" w:sz="0" w:space="0" w:color="auto"/>
        <w:bottom w:val="none" w:sz="0" w:space="0" w:color="auto"/>
        <w:right w:val="none" w:sz="0" w:space="0" w:color="auto"/>
      </w:divBdr>
    </w:div>
    <w:div w:id="1621841965">
      <w:bodyDiv w:val="1"/>
      <w:marLeft w:val="0"/>
      <w:marRight w:val="0"/>
      <w:marTop w:val="0"/>
      <w:marBottom w:val="0"/>
      <w:divBdr>
        <w:top w:val="none" w:sz="0" w:space="0" w:color="auto"/>
        <w:left w:val="none" w:sz="0" w:space="0" w:color="auto"/>
        <w:bottom w:val="none" w:sz="0" w:space="0" w:color="auto"/>
        <w:right w:val="none" w:sz="0" w:space="0" w:color="auto"/>
      </w:divBdr>
    </w:div>
    <w:div w:id="1622686273">
      <w:bodyDiv w:val="1"/>
      <w:marLeft w:val="0"/>
      <w:marRight w:val="0"/>
      <w:marTop w:val="0"/>
      <w:marBottom w:val="0"/>
      <w:divBdr>
        <w:top w:val="none" w:sz="0" w:space="0" w:color="auto"/>
        <w:left w:val="none" w:sz="0" w:space="0" w:color="auto"/>
        <w:bottom w:val="none" w:sz="0" w:space="0" w:color="auto"/>
        <w:right w:val="none" w:sz="0" w:space="0" w:color="auto"/>
      </w:divBdr>
    </w:div>
    <w:div w:id="1649937642">
      <w:bodyDiv w:val="1"/>
      <w:marLeft w:val="0"/>
      <w:marRight w:val="0"/>
      <w:marTop w:val="0"/>
      <w:marBottom w:val="0"/>
      <w:divBdr>
        <w:top w:val="none" w:sz="0" w:space="0" w:color="auto"/>
        <w:left w:val="none" w:sz="0" w:space="0" w:color="auto"/>
        <w:bottom w:val="none" w:sz="0" w:space="0" w:color="auto"/>
        <w:right w:val="none" w:sz="0" w:space="0" w:color="auto"/>
      </w:divBdr>
      <w:divsChild>
        <w:div w:id="256643699">
          <w:marLeft w:val="0"/>
          <w:marRight w:val="0"/>
          <w:marTop w:val="0"/>
          <w:marBottom w:val="0"/>
          <w:divBdr>
            <w:top w:val="none" w:sz="0" w:space="0" w:color="auto"/>
            <w:left w:val="none" w:sz="0" w:space="0" w:color="auto"/>
            <w:bottom w:val="none" w:sz="0" w:space="0" w:color="auto"/>
            <w:right w:val="none" w:sz="0" w:space="0" w:color="auto"/>
          </w:divBdr>
          <w:divsChild>
            <w:div w:id="1165629912">
              <w:marLeft w:val="0"/>
              <w:marRight w:val="0"/>
              <w:marTop w:val="0"/>
              <w:marBottom w:val="0"/>
              <w:divBdr>
                <w:top w:val="none" w:sz="0" w:space="0" w:color="auto"/>
                <w:left w:val="none" w:sz="0" w:space="0" w:color="auto"/>
                <w:bottom w:val="none" w:sz="0" w:space="0" w:color="auto"/>
                <w:right w:val="none" w:sz="0" w:space="0" w:color="auto"/>
              </w:divBdr>
              <w:divsChild>
                <w:div w:id="216671737">
                  <w:marLeft w:val="0"/>
                  <w:marRight w:val="0"/>
                  <w:marTop w:val="0"/>
                  <w:marBottom w:val="0"/>
                  <w:divBdr>
                    <w:top w:val="none" w:sz="0" w:space="0" w:color="auto"/>
                    <w:left w:val="none" w:sz="0" w:space="0" w:color="auto"/>
                    <w:bottom w:val="none" w:sz="0" w:space="0" w:color="auto"/>
                    <w:right w:val="none" w:sz="0" w:space="0" w:color="auto"/>
                  </w:divBdr>
                  <w:divsChild>
                    <w:div w:id="16347931">
                      <w:marLeft w:val="0"/>
                      <w:marRight w:val="0"/>
                      <w:marTop w:val="0"/>
                      <w:marBottom w:val="0"/>
                      <w:divBdr>
                        <w:top w:val="none" w:sz="0" w:space="0" w:color="auto"/>
                        <w:left w:val="none" w:sz="0" w:space="0" w:color="auto"/>
                        <w:bottom w:val="none" w:sz="0" w:space="0" w:color="auto"/>
                        <w:right w:val="none" w:sz="0" w:space="0" w:color="auto"/>
                      </w:divBdr>
                      <w:divsChild>
                        <w:div w:id="2077971001">
                          <w:marLeft w:val="340"/>
                          <w:marRight w:val="0"/>
                          <w:marTop w:val="300"/>
                          <w:marBottom w:val="120"/>
                          <w:divBdr>
                            <w:top w:val="none" w:sz="0" w:space="0" w:color="auto"/>
                            <w:left w:val="none" w:sz="0" w:space="0" w:color="auto"/>
                            <w:bottom w:val="none" w:sz="0" w:space="0" w:color="auto"/>
                            <w:right w:val="none" w:sz="0" w:space="0" w:color="auto"/>
                          </w:divBdr>
                          <w:divsChild>
                            <w:div w:id="1186020589">
                              <w:marLeft w:val="0"/>
                              <w:marRight w:val="0"/>
                              <w:marTop w:val="0"/>
                              <w:marBottom w:val="0"/>
                              <w:divBdr>
                                <w:top w:val="none" w:sz="0" w:space="0" w:color="auto"/>
                                <w:left w:val="none" w:sz="0" w:space="0" w:color="auto"/>
                                <w:bottom w:val="none" w:sz="0" w:space="0" w:color="auto"/>
                                <w:right w:val="none" w:sz="0" w:space="0" w:color="auto"/>
                              </w:divBdr>
                              <w:divsChild>
                                <w:div w:id="1198855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0999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3651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830299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14160">
      <w:bodyDiv w:val="1"/>
      <w:marLeft w:val="0"/>
      <w:marRight w:val="0"/>
      <w:marTop w:val="0"/>
      <w:marBottom w:val="0"/>
      <w:divBdr>
        <w:top w:val="none" w:sz="0" w:space="0" w:color="auto"/>
        <w:left w:val="none" w:sz="0" w:space="0" w:color="auto"/>
        <w:bottom w:val="none" w:sz="0" w:space="0" w:color="auto"/>
        <w:right w:val="none" w:sz="0" w:space="0" w:color="auto"/>
      </w:divBdr>
    </w:div>
    <w:div w:id="1759253388">
      <w:bodyDiv w:val="1"/>
      <w:marLeft w:val="0"/>
      <w:marRight w:val="0"/>
      <w:marTop w:val="0"/>
      <w:marBottom w:val="0"/>
      <w:divBdr>
        <w:top w:val="none" w:sz="0" w:space="0" w:color="auto"/>
        <w:left w:val="none" w:sz="0" w:space="0" w:color="auto"/>
        <w:bottom w:val="none" w:sz="0" w:space="0" w:color="auto"/>
        <w:right w:val="none" w:sz="0" w:space="0" w:color="auto"/>
      </w:divBdr>
    </w:div>
    <w:div w:id="1772699409">
      <w:bodyDiv w:val="1"/>
      <w:marLeft w:val="0"/>
      <w:marRight w:val="0"/>
      <w:marTop w:val="0"/>
      <w:marBottom w:val="0"/>
      <w:divBdr>
        <w:top w:val="none" w:sz="0" w:space="0" w:color="auto"/>
        <w:left w:val="none" w:sz="0" w:space="0" w:color="auto"/>
        <w:bottom w:val="none" w:sz="0" w:space="0" w:color="auto"/>
        <w:right w:val="none" w:sz="0" w:space="0" w:color="auto"/>
      </w:divBdr>
    </w:div>
    <w:div w:id="1789080779">
      <w:bodyDiv w:val="1"/>
      <w:marLeft w:val="0"/>
      <w:marRight w:val="0"/>
      <w:marTop w:val="0"/>
      <w:marBottom w:val="0"/>
      <w:divBdr>
        <w:top w:val="none" w:sz="0" w:space="0" w:color="auto"/>
        <w:left w:val="none" w:sz="0" w:space="0" w:color="auto"/>
        <w:bottom w:val="none" w:sz="0" w:space="0" w:color="auto"/>
        <w:right w:val="none" w:sz="0" w:space="0" w:color="auto"/>
      </w:divBdr>
    </w:div>
    <w:div w:id="1828477421">
      <w:bodyDiv w:val="1"/>
      <w:marLeft w:val="0"/>
      <w:marRight w:val="0"/>
      <w:marTop w:val="0"/>
      <w:marBottom w:val="0"/>
      <w:divBdr>
        <w:top w:val="none" w:sz="0" w:space="0" w:color="auto"/>
        <w:left w:val="none" w:sz="0" w:space="0" w:color="auto"/>
        <w:bottom w:val="none" w:sz="0" w:space="0" w:color="auto"/>
        <w:right w:val="none" w:sz="0" w:space="0" w:color="auto"/>
      </w:divBdr>
    </w:div>
    <w:div w:id="1838954938">
      <w:bodyDiv w:val="1"/>
      <w:marLeft w:val="0"/>
      <w:marRight w:val="0"/>
      <w:marTop w:val="0"/>
      <w:marBottom w:val="0"/>
      <w:divBdr>
        <w:top w:val="none" w:sz="0" w:space="0" w:color="auto"/>
        <w:left w:val="none" w:sz="0" w:space="0" w:color="auto"/>
        <w:bottom w:val="none" w:sz="0" w:space="0" w:color="auto"/>
        <w:right w:val="none" w:sz="0" w:space="0" w:color="auto"/>
      </w:divBdr>
    </w:div>
    <w:div w:id="1843229864">
      <w:bodyDiv w:val="1"/>
      <w:marLeft w:val="0"/>
      <w:marRight w:val="0"/>
      <w:marTop w:val="0"/>
      <w:marBottom w:val="0"/>
      <w:divBdr>
        <w:top w:val="none" w:sz="0" w:space="0" w:color="auto"/>
        <w:left w:val="none" w:sz="0" w:space="0" w:color="auto"/>
        <w:bottom w:val="none" w:sz="0" w:space="0" w:color="auto"/>
        <w:right w:val="none" w:sz="0" w:space="0" w:color="auto"/>
      </w:divBdr>
    </w:div>
    <w:div w:id="1861115153">
      <w:bodyDiv w:val="1"/>
      <w:marLeft w:val="0"/>
      <w:marRight w:val="0"/>
      <w:marTop w:val="0"/>
      <w:marBottom w:val="0"/>
      <w:divBdr>
        <w:top w:val="none" w:sz="0" w:space="0" w:color="auto"/>
        <w:left w:val="none" w:sz="0" w:space="0" w:color="auto"/>
        <w:bottom w:val="none" w:sz="0" w:space="0" w:color="auto"/>
        <w:right w:val="none" w:sz="0" w:space="0" w:color="auto"/>
      </w:divBdr>
      <w:divsChild>
        <w:div w:id="1823816271">
          <w:marLeft w:val="0"/>
          <w:marRight w:val="0"/>
          <w:marTop w:val="0"/>
          <w:marBottom w:val="0"/>
          <w:divBdr>
            <w:top w:val="none" w:sz="0" w:space="0" w:color="auto"/>
            <w:left w:val="none" w:sz="0" w:space="0" w:color="auto"/>
            <w:bottom w:val="none" w:sz="0" w:space="0" w:color="auto"/>
            <w:right w:val="none" w:sz="0" w:space="0" w:color="auto"/>
          </w:divBdr>
          <w:divsChild>
            <w:div w:id="450442083">
              <w:marLeft w:val="0"/>
              <w:marRight w:val="0"/>
              <w:marTop w:val="0"/>
              <w:marBottom w:val="0"/>
              <w:divBdr>
                <w:top w:val="none" w:sz="0" w:space="0" w:color="auto"/>
                <w:left w:val="none" w:sz="0" w:space="0" w:color="auto"/>
                <w:bottom w:val="none" w:sz="0" w:space="0" w:color="auto"/>
                <w:right w:val="none" w:sz="0" w:space="0" w:color="auto"/>
              </w:divBdr>
              <w:divsChild>
                <w:div w:id="1071736846">
                  <w:marLeft w:val="0"/>
                  <w:marRight w:val="0"/>
                  <w:marTop w:val="0"/>
                  <w:marBottom w:val="0"/>
                  <w:divBdr>
                    <w:top w:val="none" w:sz="0" w:space="0" w:color="auto"/>
                    <w:left w:val="none" w:sz="0" w:space="0" w:color="auto"/>
                    <w:bottom w:val="none" w:sz="0" w:space="0" w:color="auto"/>
                    <w:right w:val="none" w:sz="0" w:space="0" w:color="auto"/>
                  </w:divBdr>
                  <w:divsChild>
                    <w:div w:id="581069129">
                      <w:marLeft w:val="0"/>
                      <w:marRight w:val="0"/>
                      <w:marTop w:val="0"/>
                      <w:marBottom w:val="0"/>
                      <w:divBdr>
                        <w:top w:val="none" w:sz="0" w:space="0" w:color="auto"/>
                        <w:left w:val="none" w:sz="0" w:space="0" w:color="auto"/>
                        <w:bottom w:val="none" w:sz="0" w:space="0" w:color="auto"/>
                        <w:right w:val="none" w:sz="0" w:space="0" w:color="auto"/>
                      </w:divBdr>
                      <w:divsChild>
                        <w:div w:id="950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1248">
      <w:bodyDiv w:val="1"/>
      <w:marLeft w:val="0"/>
      <w:marRight w:val="0"/>
      <w:marTop w:val="0"/>
      <w:marBottom w:val="0"/>
      <w:divBdr>
        <w:top w:val="none" w:sz="0" w:space="0" w:color="auto"/>
        <w:left w:val="none" w:sz="0" w:space="0" w:color="auto"/>
        <w:bottom w:val="none" w:sz="0" w:space="0" w:color="auto"/>
        <w:right w:val="none" w:sz="0" w:space="0" w:color="auto"/>
      </w:divBdr>
    </w:div>
    <w:div w:id="1933195377">
      <w:bodyDiv w:val="1"/>
      <w:marLeft w:val="0"/>
      <w:marRight w:val="0"/>
      <w:marTop w:val="0"/>
      <w:marBottom w:val="0"/>
      <w:divBdr>
        <w:top w:val="none" w:sz="0" w:space="0" w:color="auto"/>
        <w:left w:val="none" w:sz="0" w:space="0" w:color="auto"/>
        <w:bottom w:val="none" w:sz="0" w:space="0" w:color="auto"/>
        <w:right w:val="none" w:sz="0" w:space="0" w:color="auto"/>
      </w:divBdr>
    </w:div>
    <w:div w:id="1961299567">
      <w:bodyDiv w:val="1"/>
      <w:marLeft w:val="0"/>
      <w:marRight w:val="0"/>
      <w:marTop w:val="0"/>
      <w:marBottom w:val="0"/>
      <w:divBdr>
        <w:top w:val="none" w:sz="0" w:space="0" w:color="auto"/>
        <w:left w:val="none" w:sz="0" w:space="0" w:color="auto"/>
        <w:bottom w:val="none" w:sz="0" w:space="0" w:color="auto"/>
        <w:right w:val="none" w:sz="0" w:space="0" w:color="auto"/>
      </w:divBdr>
    </w:div>
    <w:div w:id="1996491164">
      <w:bodyDiv w:val="1"/>
      <w:marLeft w:val="0"/>
      <w:marRight w:val="0"/>
      <w:marTop w:val="0"/>
      <w:marBottom w:val="0"/>
      <w:divBdr>
        <w:top w:val="none" w:sz="0" w:space="0" w:color="auto"/>
        <w:left w:val="none" w:sz="0" w:space="0" w:color="auto"/>
        <w:bottom w:val="none" w:sz="0" w:space="0" w:color="auto"/>
        <w:right w:val="none" w:sz="0" w:space="0" w:color="auto"/>
      </w:divBdr>
      <w:divsChild>
        <w:div w:id="564681284">
          <w:marLeft w:val="0"/>
          <w:marRight w:val="0"/>
          <w:marTop w:val="0"/>
          <w:marBottom w:val="0"/>
          <w:divBdr>
            <w:top w:val="none" w:sz="0" w:space="0" w:color="auto"/>
            <w:left w:val="none" w:sz="0" w:space="0" w:color="auto"/>
            <w:bottom w:val="none" w:sz="0" w:space="0" w:color="auto"/>
            <w:right w:val="none" w:sz="0" w:space="0" w:color="auto"/>
          </w:divBdr>
          <w:divsChild>
            <w:div w:id="743183469">
              <w:marLeft w:val="0"/>
              <w:marRight w:val="0"/>
              <w:marTop w:val="0"/>
              <w:marBottom w:val="0"/>
              <w:divBdr>
                <w:top w:val="none" w:sz="0" w:space="0" w:color="auto"/>
                <w:left w:val="none" w:sz="0" w:space="0" w:color="auto"/>
                <w:bottom w:val="none" w:sz="0" w:space="0" w:color="auto"/>
                <w:right w:val="none" w:sz="0" w:space="0" w:color="auto"/>
              </w:divBdr>
              <w:divsChild>
                <w:div w:id="680350243">
                  <w:marLeft w:val="0"/>
                  <w:marRight w:val="0"/>
                  <w:marTop w:val="0"/>
                  <w:marBottom w:val="0"/>
                  <w:divBdr>
                    <w:top w:val="none" w:sz="0" w:space="0" w:color="auto"/>
                    <w:left w:val="none" w:sz="0" w:space="0" w:color="auto"/>
                    <w:bottom w:val="none" w:sz="0" w:space="0" w:color="auto"/>
                    <w:right w:val="none" w:sz="0" w:space="0" w:color="auto"/>
                  </w:divBdr>
                  <w:divsChild>
                    <w:div w:id="800154899">
                      <w:marLeft w:val="0"/>
                      <w:marRight w:val="0"/>
                      <w:marTop w:val="0"/>
                      <w:marBottom w:val="0"/>
                      <w:divBdr>
                        <w:top w:val="none" w:sz="0" w:space="0" w:color="auto"/>
                        <w:left w:val="none" w:sz="0" w:space="0" w:color="auto"/>
                        <w:bottom w:val="none" w:sz="0" w:space="0" w:color="auto"/>
                        <w:right w:val="none" w:sz="0" w:space="0" w:color="auto"/>
                      </w:divBdr>
                      <w:divsChild>
                        <w:div w:id="616453697">
                          <w:marLeft w:val="340"/>
                          <w:marRight w:val="0"/>
                          <w:marTop w:val="300"/>
                          <w:marBottom w:val="120"/>
                          <w:divBdr>
                            <w:top w:val="none" w:sz="0" w:space="0" w:color="auto"/>
                            <w:left w:val="none" w:sz="0" w:space="0" w:color="auto"/>
                            <w:bottom w:val="none" w:sz="0" w:space="0" w:color="auto"/>
                            <w:right w:val="none" w:sz="0" w:space="0" w:color="auto"/>
                          </w:divBdr>
                          <w:divsChild>
                            <w:div w:id="2132700842">
                              <w:marLeft w:val="0"/>
                              <w:marRight w:val="0"/>
                              <w:marTop w:val="0"/>
                              <w:marBottom w:val="0"/>
                              <w:divBdr>
                                <w:top w:val="none" w:sz="0" w:space="0" w:color="auto"/>
                                <w:left w:val="none" w:sz="0" w:space="0" w:color="auto"/>
                                <w:bottom w:val="none" w:sz="0" w:space="0" w:color="auto"/>
                                <w:right w:val="none" w:sz="0" w:space="0" w:color="auto"/>
                              </w:divBdr>
                              <w:divsChild>
                                <w:div w:id="11250818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7437141">
                                      <w:blockQuote w:val="1"/>
                                      <w:marLeft w:val="600"/>
                                      <w:marRight w:val="0"/>
                                      <w:marTop w:val="120"/>
                                      <w:marBottom w:val="120"/>
                                      <w:divBdr>
                                        <w:top w:val="none" w:sz="0" w:space="0" w:color="auto"/>
                                        <w:left w:val="none" w:sz="0" w:space="0" w:color="auto"/>
                                        <w:bottom w:val="none" w:sz="0" w:space="0" w:color="auto"/>
                                        <w:right w:val="none" w:sz="0" w:space="0" w:color="auto"/>
                                      </w:divBdr>
                                    </w:div>
                                    <w:div w:id="20931191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6306">
      <w:bodyDiv w:val="1"/>
      <w:marLeft w:val="0"/>
      <w:marRight w:val="0"/>
      <w:marTop w:val="0"/>
      <w:marBottom w:val="0"/>
      <w:divBdr>
        <w:top w:val="none" w:sz="0" w:space="0" w:color="auto"/>
        <w:left w:val="none" w:sz="0" w:space="0" w:color="auto"/>
        <w:bottom w:val="none" w:sz="0" w:space="0" w:color="auto"/>
        <w:right w:val="none" w:sz="0" w:space="0" w:color="auto"/>
      </w:divBdr>
    </w:div>
    <w:div w:id="2040009795">
      <w:bodyDiv w:val="1"/>
      <w:marLeft w:val="0"/>
      <w:marRight w:val="0"/>
      <w:marTop w:val="0"/>
      <w:marBottom w:val="0"/>
      <w:divBdr>
        <w:top w:val="none" w:sz="0" w:space="0" w:color="auto"/>
        <w:left w:val="none" w:sz="0" w:space="0" w:color="auto"/>
        <w:bottom w:val="none" w:sz="0" w:space="0" w:color="auto"/>
        <w:right w:val="none" w:sz="0" w:space="0" w:color="auto"/>
      </w:divBdr>
    </w:div>
    <w:div w:id="2040471149">
      <w:bodyDiv w:val="1"/>
      <w:marLeft w:val="0"/>
      <w:marRight w:val="0"/>
      <w:marTop w:val="0"/>
      <w:marBottom w:val="0"/>
      <w:divBdr>
        <w:top w:val="none" w:sz="0" w:space="0" w:color="auto"/>
        <w:left w:val="none" w:sz="0" w:space="0" w:color="auto"/>
        <w:bottom w:val="none" w:sz="0" w:space="0" w:color="auto"/>
        <w:right w:val="none" w:sz="0" w:space="0" w:color="auto"/>
      </w:divBdr>
    </w:div>
    <w:div w:id="2047442249">
      <w:bodyDiv w:val="1"/>
      <w:marLeft w:val="0"/>
      <w:marRight w:val="0"/>
      <w:marTop w:val="0"/>
      <w:marBottom w:val="0"/>
      <w:divBdr>
        <w:top w:val="none" w:sz="0" w:space="0" w:color="auto"/>
        <w:left w:val="none" w:sz="0" w:space="0" w:color="auto"/>
        <w:bottom w:val="none" w:sz="0" w:space="0" w:color="auto"/>
        <w:right w:val="none" w:sz="0" w:space="0" w:color="auto"/>
      </w:divBdr>
    </w:div>
    <w:div w:id="2064983558">
      <w:bodyDiv w:val="1"/>
      <w:marLeft w:val="0"/>
      <w:marRight w:val="0"/>
      <w:marTop w:val="0"/>
      <w:marBottom w:val="0"/>
      <w:divBdr>
        <w:top w:val="none" w:sz="0" w:space="0" w:color="auto"/>
        <w:left w:val="none" w:sz="0" w:space="0" w:color="auto"/>
        <w:bottom w:val="none" w:sz="0" w:space="0" w:color="auto"/>
        <w:right w:val="none" w:sz="0" w:space="0" w:color="auto"/>
      </w:divBdr>
    </w:div>
    <w:div w:id="2096395554">
      <w:bodyDiv w:val="1"/>
      <w:marLeft w:val="0"/>
      <w:marRight w:val="0"/>
      <w:marTop w:val="0"/>
      <w:marBottom w:val="0"/>
      <w:divBdr>
        <w:top w:val="none" w:sz="0" w:space="0" w:color="auto"/>
        <w:left w:val="none" w:sz="0" w:space="0" w:color="auto"/>
        <w:bottom w:val="none" w:sz="0" w:space="0" w:color="auto"/>
        <w:right w:val="none" w:sz="0" w:space="0" w:color="auto"/>
      </w:divBdr>
    </w:div>
    <w:div w:id="2104111384">
      <w:bodyDiv w:val="1"/>
      <w:marLeft w:val="0"/>
      <w:marRight w:val="0"/>
      <w:marTop w:val="0"/>
      <w:marBottom w:val="0"/>
      <w:divBdr>
        <w:top w:val="none" w:sz="0" w:space="0" w:color="auto"/>
        <w:left w:val="none" w:sz="0" w:space="0" w:color="auto"/>
        <w:bottom w:val="none" w:sz="0" w:space="0" w:color="auto"/>
        <w:right w:val="none" w:sz="0" w:space="0" w:color="auto"/>
      </w:divBdr>
    </w:div>
    <w:div w:id="2111049061">
      <w:bodyDiv w:val="1"/>
      <w:marLeft w:val="0"/>
      <w:marRight w:val="0"/>
      <w:marTop w:val="0"/>
      <w:marBottom w:val="0"/>
      <w:divBdr>
        <w:top w:val="none" w:sz="0" w:space="0" w:color="auto"/>
        <w:left w:val="none" w:sz="0" w:space="0" w:color="auto"/>
        <w:bottom w:val="none" w:sz="0" w:space="0" w:color="auto"/>
        <w:right w:val="none" w:sz="0" w:space="0" w:color="auto"/>
      </w:divBdr>
    </w:div>
    <w:div w:id="2141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masters\AppData\Roaming\OpenText\OTEdit\EC_idocs\c113153407\EE9A0631.xlsx" TargetMode="External"/><Relationship Id="rId18" Type="http://schemas.openxmlformats.org/officeDocument/2006/relationships/footer" Target="footer2.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file:///C:\Users\amasters\AppData\Roaming\OpenText\OTEdit\EC_idocs\c113153407\EE9A0631.xls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amasters\AppData\Roaming\OpenText\OTEdit\EC_idocs\c113153407\EE9A0631.xlsx" TargetMode="External"/><Relationship Id="rId17" Type="http://schemas.openxmlformats.org/officeDocument/2006/relationships/footer" Target="footer1.xml"/><Relationship Id="rId25" Type="http://schemas.openxmlformats.org/officeDocument/2006/relationships/hyperlink" Target="file:///C:\Users\amasters\AppData\Roaming\OpenText\OTEdit\EC_idocs\c113153407\EE9A0631.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amasters\AppData\Roaming\OpenText\OTEdit\EC_idocs\c113153407\EE9A0631.xlsx" TargetMode="External"/><Relationship Id="rId20" Type="http://schemas.openxmlformats.org/officeDocument/2006/relationships/hyperlink" Target="file:///C:\Users\amasters\AppData\Roaming\OpenText\OTEdit\EC_idocs\c113153407\EE9A0631.xls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masters\AppData\Roaming\OpenText\OTEdit\EC_idocs\c113153407\EE9A0631.xlsx" TargetMode="External"/><Relationship Id="rId24" Type="http://schemas.openxmlformats.org/officeDocument/2006/relationships/hyperlink" Target="file:///C:\Users\amasters\AppData\Roaming\OpenText\OTEdit\EC_idocs\c113153407\EE9A0631.xlsx"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file:///C:\Users\amasters\AppData\Roaming\OpenText\OTEdit\EC_idocs\c113153407\EE9A0631.xlsx" TargetMode="External"/><Relationship Id="rId23" Type="http://schemas.openxmlformats.org/officeDocument/2006/relationships/hyperlink" Target="file:///C:\Users\amasters\AppData\Roaming\OpenText\OTEdit\EC_idocs\c113153407\EE9A0631.xlsx"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C:\Users\amasters\AppData\Roaming\OpenText\OTEdit\EC_idocs\c113153407\EE9A0631.xls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masters\AppData\Roaming\OpenText\OTEdit\EC_idocs\c113153407\EE9A0631.xlsx" TargetMode="External"/><Relationship Id="rId22" Type="http://schemas.openxmlformats.org/officeDocument/2006/relationships/hyperlink" Target="file:///C:\Users\amasters\AppData\Roaming\OpenText\OTEdit\EC_idocs\c113153407\EE9A0631.xlsx" TargetMode="External"/><Relationship Id="rId27" Type="http://schemas.openxmlformats.org/officeDocument/2006/relationships/image" Target="media/image2.png"/><Relationship Id="rId30" Type="http://schemas.openxmlformats.org/officeDocument/2006/relationships/footer" Target="footer4.xml"/><Relationship Id="rId8" Type="http://schemas.openxmlformats.org/officeDocument/2006/relationships/webSettings" Target="webSettings.xml"/></Relationships>
</file>

<file path=word/_rels/footer5.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9" ma:contentTypeDescription="Create a new document." ma:contentTypeScope="" ma:versionID="87a9ca614c7d2ba57f8bddce061afd69">
  <xsd:schema xmlns:xsd="http://www.w3.org/2001/XMLSchema" xmlns:xs="http://www.w3.org/2001/XMLSchema" xmlns:p="http://schemas.microsoft.com/office/2006/metadata/properties" xmlns:ns3="04bf93d0-8d4f-4246-b2f2-85249239d7ff" targetNamespace="http://schemas.microsoft.com/office/2006/metadata/properties" ma:root="true" ma:fieldsID="b05bccecab58bc97deec3124b43be5c1" ns3:_="">
    <xsd:import namespace="04bf93d0-8d4f-4246-b2f2-85249239d7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3FE2F-E5A0-472C-97AC-CFE03A50FFD5}">
  <ds:schemaRefs>
    <ds:schemaRef ds:uri="http://schemas.microsoft.com/sharepoint/v3/contenttype/forms"/>
  </ds:schemaRefs>
</ds:datastoreItem>
</file>

<file path=customXml/itemProps2.xml><?xml version="1.0" encoding="utf-8"?>
<ds:datastoreItem xmlns:ds="http://schemas.openxmlformats.org/officeDocument/2006/customXml" ds:itemID="{710FC548-1D6F-40F9-BC74-608BA9F0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AFFF2-C180-4036-8D01-EFA4C82147D9}">
  <ds:schemaRefs>
    <ds:schemaRef ds:uri="http://schemas.openxmlformats.org/officeDocument/2006/bibliography"/>
  </ds:schemaRefs>
</ds:datastoreItem>
</file>

<file path=customXml/itemProps4.xml><?xml version="1.0" encoding="utf-8"?>
<ds:datastoreItem xmlns:ds="http://schemas.openxmlformats.org/officeDocument/2006/customXml" ds:itemID="{531910BB-A933-432D-9C7F-3FB55CDB9B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20927</Words>
  <Characters>119284</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Appendix 6—Financial Statements</vt:lpstr>
    </vt:vector>
  </TitlesOfParts>
  <Manager/>
  <Company>Queensland Government</Company>
  <LinksUpToDate>false</LinksUpToDate>
  <CharactersWithSpaces>139932</CharactersWithSpaces>
  <SharedDoc>false</SharedDoc>
  <HyperlinkBase/>
  <HLinks>
    <vt:vector size="24" baseType="variant">
      <vt:variant>
        <vt:i4>1572918</vt:i4>
      </vt:variant>
      <vt:variant>
        <vt:i4>20</vt:i4>
      </vt:variant>
      <vt:variant>
        <vt:i4>0</vt:i4>
      </vt:variant>
      <vt:variant>
        <vt:i4>5</vt:i4>
      </vt:variant>
      <vt:variant>
        <vt:lpwstr/>
      </vt:variant>
      <vt:variant>
        <vt:lpwstr>_Toc383761011</vt:lpwstr>
      </vt:variant>
      <vt:variant>
        <vt:i4>1572918</vt:i4>
      </vt:variant>
      <vt:variant>
        <vt:i4>14</vt:i4>
      </vt:variant>
      <vt:variant>
        <vt:i4>0</vt:i4>
      </vt:variant>
      <vt:variant>
        <vt:i4>5</vt:i4>
      </vt:variant>
      <vt:variant>
        <vt:lpwstr/>
      </vt:variant>
      <vt:variant>
        <vt:lpwstr>_Toc383761010</vt:lpwstr>
      </vt:variant>
      <vt:variant>
        <vt:i4>1638454</vt:i4>
      </vt:variant>
      <vt:variant>
        <vt:i4>8</vt:i4>
      </vt:variant>
      <vt:variant>
        <vt:i4>0</vt:i4>
      </vt:variant>
      <vt:variant>
        <vt:i4>5</vt:i4>
      </vt:variant>
      <vt:variant>
        <vt:lpwstr/>
      </vt:variant>
      <vt:variant>
        <vt:lpwstr>_Toc383761009</vt:lpwstr>
      </vt:variant>
      <vt:variant>
        <vt:i4>1638454</vt:i4>
      </vt:variant>
      <vt:variant>
        <vt:i4>2</vt:i4>
      </vt:variant>
      <vt:variant>
        <vt:i4>0</vt:i4>
      </vt:variant>
      <vt:variant>
        <vt:i4>5</vt:i4>
      </vt:variant>
      <vt:variant>
        <vt:lpwstr/>
      </vt:variant>
      <vt:variant>
        <vt:lpwstr>_Toc383761008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6—Financial Statements</dc:title>
  <dc:subject>Annual Report 2021-22</dc:subject>
  <dc:creator>Queensland Government</dc:creator>
  <cp:keywords>dsdsatsip; annual; report; department; strategic; governance; services; disability; seniors; Aboriginal; Torres Strait Islander; financial performance; capability; statements; boards; committees; purpose; vision; management; culture; objectives; financial statements</cp:keywords>
  <dc:description/>
  <cp:lastModifiedBy>Tanya R Campbell</cp:lastModifiedBy>
  <cp:revision>3</cp:revision>
  <cp:lastPrinted>2022-09-29T04:27:00Z</cp:lastPrinted>
  <dcterms:created xsi:type="dcterms:W3CDTF">2022-09-29T21:47:00Z</dcterms:created>
  <dcterms:modified xsi:type="dcterms:W3CDTF">2022-09-29T22:02:00Z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y fmtid="{D5CDD505-2E9C-101B-9397-08002B2CF9AE}" pid="3" name="ContentTypeId">
    <vt:lpwstr>0x0101001F60BF0A6868C34AB0EEE571C706A390</vt:lpwstr>
  </property>
</Properties>
</file>