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BDD51" w14:textId="0FB90EE3" w:rsidR="00EF4786" w:rsidRDefault="00D662C3" w:rsidP="001C17BF">
      <w:pPr>
        <w:pStyle w:val="Heading2"/>
      </w:pPr>
      <w:bookmarkStart w:id="0" w:name="_Toc21015077"/>
      <w:r>
        <w:t>Financial performance</w:t>
      </w:r>
      <w:bookmarkEnd w:id="0"/>
    </w:p>
    <w:p w14:paraId="70BDB883" w14:textId="77777777" w:rsidR="00D662C3" w:rsidRDefault="00D662C3" w:rsidP="001C17BF">
      <w:pPr>
        <w:pStyle w:val="Heading3"/>
      </w:pPr>
      <w:bookmarkStart w:id="1" w:name="_Toc21015078"/>
      <w:r>
        <w:t>Summary of financial performance</w:t>
      </w:r>
      <w:bookmarkEnd w:id="1"/>
    </w:p>
    <w:p w14:paraId="35A5917B" w14:textId="712591A8" w:rsidR="00D662C3" w:rsidRDefault="00D662C3" w:rsidP="001C17BF">
      <w:r>
        <w:t xml:space="preserve">Section 77(2)(b) of the </w:t>
      </w:r>
      <w:r w:rsidRPr="00D662C3">
        <w:rPr>
          <w:rStyle w:val="Emphasis"/>
        </w:rPr>
        <w:t>Financial Accountability Act 2009</w:t>
      </w:r>
      <w:r>
        <w:t xml:space="preserve"> requires the Chief Finance Officer of the Department of Communities, Disability Services and Seniors to provide the accountable officer with a statement on whether the department’s internal financial controls are operating efficiently, effectively and economically.</w:t>
      </w:r>
    </w:p>
    <w:p w14:paraId="767D1617" w14:textId="5FC1747F" w:rsidR="00D662C3" w:rsidRDefault="00D662C3" w:rsidP="001C17BF">
      <w:r>
        <w:t xml:space="preserve">The 2018–19 Statement of Assurance provided to the Director-General satisfies all requirements of section 42 of the </w:t>
      </w:r>
      <w:r w:rsidRPr="00D662C3">
        <w:rPr>
          <w:rStyle w:val="Emphasis"/>
        </w:rPr>
        <w:t>Financial and Performance Management Standard 2009</w:t>
      </w:r>
      <w:r>
        <w:t>. The statement was also provided to the department’s Audit and Risk Committee.</w:t>
      </w:r>
    </w:p>
    <w:p w14:paraId="285FDF08" w14:textId="418C58C6" w:rsidR="00D662C3" w:rsidRDefault="00D662C3" w:rsidP="001C17BF">
      <w:r>
        <w:t>It indicated no deficiencies or breakdowns in internal controls that would impact adversely on the department’s financial governance or financial statements for the year.</w:t>
      </w:r>
    </w:p>
    <w:p w14:paraId="00FBFC0B" w14:textId="77777777" w:rsidR="00D662C3" w:rsidRDefault="00D662C3" w:rsidP="001C17BF">
      <w:pPr>
        <w:pStyle w:val="Heading4"/>
      </w:pPr>
      <w:r>
        <w:t>Income</w:t>
      </w:r>
    </w:p>
    <w:p w14:paraId="63872398" w14:textId="046CECC9" w:rsidR="00D662C3" w:rsidRDefault="00D662C3" w:rsidP="001C17BF">
      <w:r>
        <w:t>Our income in 2018–19 was $1.038 billion, with the major sources of income being the Queensland and Australian governments for the provision of services.</w:t>
      </w:r>
    </w:p>
    <w:p w14:paraId="497CD6B5" w14:textId="67D19180" w:rsidR="00D662C3" w:rsidRDefault="00D662C3" w:rsidP="001C17BF">
      <w:r>
        <w:t>During 2018–19, we received our income from:</w:t>
      </w:r>
    </w:p>
    <w:p w14:paraId="6DC7C406" w14:textId="3A14DC77" w:rsidR="00996650" w:rsidRDefault="00996650" w:rsidP="001C17BF">
      <w:pPr>
        <w:pStyle w:val="ListBullet"/>
      </w:pPr>
      <w:r>
        <w:t>Appropriation revenue – $978.490 million</w:t>
      </w:r>
    </w:p>
    <w:p w14:paraId="3D2FA731" w14:textId="4EE99EEB" w:rsidR="00996650" w:rsidRDefault="00996650" w:rsidP="001C17BF">
      <w:pPr>
        <w:pStyle w:val="ListBullet"/>
      </w:pPr>
      <w:r>
        <w:t>User charges – $8.259 million</w:t>
      </w:r>
    </w:p>
    <w:p w14:paraId="5C027F8D" w14:textId="31801E38" w:rsidR="00996650" w:rsidRDefault="00996650" w:rsidP="001C17BF">
      <w:pPr>
        <w:pStyle w:val="ListBullet"/>
      </w:pPr>
      <w:r>
        <w:t>Grants and other contributions – $25.595 million</w:t>
      </w:r>
    </w:p>
    <w:p w14:paraId="0A0CD1AF" w14:textId="61594BC4" w:rsidR="00996650" w:rsidRDefault="00996650" w:rsidP="001C17BF">
      <w:pPr>
        <w:pStyle w:val="ListBullet"/>
      </w:pPr>
      <w:r>
        <w:t>Other revenue – $25.913 million</w:t>
      </w:r>
    </w:p>
    <w:p w14:paraId="39BC877B" w14:textId="39057E76" w:rsidR="00D419A5" w:rsidRDefault="00D419A5" w:rsidP="001C17BF">
      <w:r>
        <w:br w:type="page"/>
      </w:r>
    </w:p>
    <w:p w14:paraId="7E05A6EB" w14:textId="77777777" w:rsidR="00D419A5" w:rsidRDefault="00D419A5" w:rsidP="001C17BF">
      <w:pPr>
        <w:pStyle w:val="Heading4"/>
      </w:pPr>
      <w:r>
        <w:lastRenderedPageBreak/>
        <w:t>Operating expenses</w:t>
      </w:r>
    </w:p>
    <w:p w14:paraId="56BF9A48" w14:textId="50828E9C" w:rsidR="0042026B" w:rsidRDefault="00D419A5" w:rsidP="001C17BF">
      <w:r w:rsidRPr="00D419A5">
        <w:t>Our department provides a wide range of services to the community, delivered by contracted nongovernment organisations and through direct service delivery. As a result, our two largest expense categories are supplies and services and employee expenses. Our total operating expenses for 2018–19 were $1.027 billion, including:</w:t>
      </w:r>
    </w:p>
    <w:p w14:paraId="751AB02C" w14:textId="5A5EDEC5" w:rsidR="00F255DE" w:rsidRDefault="00B7231C" w:rsidP="001C17BF">
      <w:pPr>
        <w:pStyle w:val="ListBullet"/>
      </w:pPr>
      <w:r>
        <w:t>Employee expenses – $256.987 million</w:t>
      </w:r>
    </w:p>
    <w:p w14:paraId="04951AFD" w14:textId="3BA5DF59" w:rsidR="00B7231C" w:rsidRDefault="00B7231C" w:rsidP="001C17BF">
      <w:pPr>
        <w:pStyle w:val="ListBullet"/>
      </w:pPr>
      <w:r>
        <w:t>Supplies and services – $700.574 million</w:t>
      </w:r>
      <w:r>
        <w:br/>
        <w:t>(which include service procurement expenses of $631.783 million, outsourced corporate service expenses of $21.834 million, property lease expenses of $18.144 million, professional and technical fees of $11.923 million, property repairs and maintenance expenses of $10.189 million, other general operating expenses of $6.701 million)</w:t>
      </w:r>
    </w:p>
    <w:p w14:paraId="750448B1" w14:textId="2EFD5317" w:rsidR="00B7231C" w:rsidRDefault="00B7231C" w:rsidP="001C17BF">
      <w:pPr>
        <w:pStyle w:val="ListBullet"/>
      </w:pPr>
      <w:r>
        <w:t>Grants and other subsidies – $26.066 million</w:t>
      </w:r>
    </w:p>
    <w:p w14:paraId="5A9FEA4B" w14:textId="47695B11" w:rsidR="00B7231C" w:rsidRDefault="00B7231C" w:rsidP="001C17BF">
      <w:pPr>
        <w:pStyle w:val="ListBullet"/>
      </w:pPr>
      <w:r>
        <w:t>Depreciation and amortisation – $8.333 million</w:t>
      </w:r>
    </w:p>
    <w:p w14:paraId="2FD7807B" w14:textId="388F0DD0" w:rsidR="00B7231C" w:rsidRDefault="00B7231C" w:rsidP="001C17BF">
      <w:pPr>
        <w:pStyle w:val="ListBullet"/>
      </w:pPr>
      <w:r>
        <w:t>Other expenses – $34.997 million</w:t>
      </w:r>
      <w:r w:rsidR="0098468C">
        <w:t xml:space="preserve"> </w:t>
      </w:r>
      <w:r w:rsidR="0098468C">
        <w:br/>
      </w:r>
      <w:r>
        <w:t>(such as insurance costs, audit fees, impairment losses and losses on disposal of property, plant and equipment)</w:t>
      </w:r>
    </w:p>
    <w:p w14:paraId="5D34EB75" w14:textId="2676B5A0" w:rsidR="00F255DE" w:rsidRDefault="00F255DE" w:rsidP="001C17BF">
      <w:r>
        <w:t xml:space="preserve">In 2018–19, the department had an operating surplus of $11.300 million, related </w:t>
      </w:r>
      <w:r w:rsidR="0098468C">
        <w:br/>
      </w:r>
      <w:r>
        <w:t>largely to the recognition of $5.130 million in Commonwealth grant funding, with program expenditure to be incurred in 2019–20. Additional factors include the recognition of a number of non-cash items, including net fixed asset revaluations of $2.516 million and gains made on acquisition of assets received below fair value of $3.069 million. In addition, the department also received greater non-appropriated revenue of $0.585 million.</w:t>
      </w:r>
    </w:p>
    <w:p w14:paraId="1B5541CC" w14:textId="30C9E7FB" w:rsidR="00EA2DC2" w:rsidRDefault="00EA2DC2" w:rsidP="001C17BF">
      <w:r>
        <w:br w:type="page"/>
      </w:r>
    </w:p>
    <w:p w14:paraId="60041143" w14:textId="77777777" w:rsidR="00EA2DC2" w:rsidRDefault="00EA2DC2" w:rsidP="001C17BF">
      <w:pPr>
        <w:pStyle w:val="Heading4"/>
      </w:pPr>
      <w:r>
        <w:lastRenderedPageBreak/>
        <w:t>Assets</w:t>
      </w:r>
    </w:p>
    <w:p w14:paraId="6D1D0ACF" w14:textId="65CE9913" w:rsidR="00EA2DC2" w:rsidRDefault="00EA2DC2" w:rsidP="001C17BF">
      <w:r>
        <w:t>Our total assets as at 30 June 2019 were $390.644 million. The primary assets held by our department were properties used to:</w:t>
      </w:r>
    </w:p>
    <w:p w14:paraId="0E349738" w14:textId="056497CF" w:rsidR="00EA2DC2" w:rsidRPr="00725094" w:rsidRDefault="00EA2DC2" w:rsidP="001C17BF">
      <w:pPr>
        <w:pStyle w:val="ListBullet"/>
      </w:pPr>
      <w:r w:rsidRPr="00725094">
        <w:t>support people with disability, including accommodation and respite services</w:t>
      </w:r>
    </w:p>
    <w:p w14:paraId="129A081A" w14:textId="32522F7E" w:rsidR="00EA2DC2" w:rsidRDefault="00EA2DC2" w:rsidP="001C17BF">
      <w:pPr>
        <w:pStyle w:val="ListBullet"/>
      </w:pPr>
      <w:r w:rsidRPr="00725094">
        <w:t xml:space="preserve">strengthen </w:t>
      </w:r>
      <w:r>
        <w:t>our communities, including multipurpose and neighbourhood centres.</w:t>
      </w:r>
    </w:p>
    <w:p w14:paraId="33C4B6B5" w14:textId="67C77B53" w:rsidR="00EA2DC2" w:rsidRDefault="00EA2DC2" w:rsidP="001C17BF">
      <w:r>
        <w:t>The department’s assets also include intangible assets, primarily internally generated software and systems.</w:t>
      </w:r>
    </w:p>
    <w:p w14:paraId="4CD55CDA" w14:textId="1D9E1184" w:rsidR="00EA2DC2" w:rsidRDefault="00EA2DC2" w:rsidP="001C17BF">
      <w:r>
        <w:t>The value of our assets by category was:</w:t>
      </w:r>
    </w:p>
    <w:p w14:paraId="5412B4B7" w14:textId="2BB36A2D" w:rsidR="002003EF" w:rsidRDefault="002003EF" w:rsidP="001C17BF">
      <w:pPr>
        <w:pStyle w:val="ListBullet"/>
      </w:pPr>
      <w:r>
        <w:t>Cash and cash equivalents – $83.208 million</w:t>
      </w:r>
    </w:p>
    <w:p w14:paraId="1CFD0C1A" w14:textId="10F83236" w:rsidR="002003EF" w:rsidRDefault="00192061" w:rsidP="001C17BF">
      <w:pPr>
        <w:pStyle w:val="ListBullet"/>
      </w:pPr>
      <w:r>
        <w:t>Receivables, current and non-current – $28.054 million</w:t>
      </w:r>
    </w:p>
    <w:p w14:paraId="1CAB04FB" w14:textId="7EC9730A" w:rsidR="00192061" w:rsidRDefault="00192061" w:rsidP="001C17BF">
      <w:pPr>
        <w:pStyle w:val="ListBullet"/>
      </w:pPr>
      <w:r>
        <w:t>Property, plant and equipment – $276.445 million</w:t>
      </w:r>
    </w:p>
    <w:p w14:paraId="114F3814" w14:textId="7F291682" w:rsidR="00192061" w:rsidRDefault="00192061" w:rsidP="001C17BF">
      <w:pPr>
        <w:pStyle w:val="ListBullet"/>
      </w:pPr>
      <w:r>
        <w:t>Intangibles – $2.556 million</w:t>
      </w:r>
    </w:p>
    <w:p w14:paraId="66516340" w14:textId="5B28926C" w:rsidR="00192061" w:rsidRDefault="00192061" w:rsidP="001C17BF">
      <w:pPr>
        <w:pStyle w:val="ListBullet"/>
      </w:pPr>
      <w:r>
        <w:t>Non-current assets held for sale – $0.368 million</w:t>
      </w:r>
    </w:p>
    <w:p w14:paraId="3E8621FC" w14:textId="5E6FE338" w:rsidR="00192061" w:rsidRDefault="00192061" w:rsidP="001C17BF">
      <w:pPr>
        <w:pStyle w:val="ListBullet"/>
      </w:pPr>
      <w:r>
        <w:t>Other current assets – $0.013 million</w:t>
      </w:r>
    </w:p>
    <w:p w14:paraId="59711614" w14:textId="33227113" w:rsidR="00A467E5" w:rsidRDefault="006E029D" w:rsidP="001C17BF">
      <w:r w:rsidRPr="006E029D">
        <w:t>The department’s cash at bank balance includes a cash-fund investment established with Queensland</w:t>
      </w:r>
      <w:r>
        <w:t xml:space="preserve"> </w:t>
      </w:r>
      <w:r w:rsidRPr="006E029D">
        <w:t>Treasury Corporation for the Elderly Parent Carer Innovation Initiative. The balance of the cash-fund</w:t>
      </w:r>
      <w:r>
        <w:t xml:space="preserve"> </w:t>
      </w:r>
      <w:r w:rsidRPr="006E029D">
        <w:t>investment as at 30 June 2019 was $0.963 million.</w:t>
      </w:r>
    </w:p>
    <w:p w14:paraId="56436E9C" w14:textId="77777777" w:rsidR="00A467E5" w:rsidRDefault="00A467E5" w:rsidP="001C17BF">
      <w:pPr>
        <w:pStyle w:val="Heading4"/>
      </w:pPr>
      <w:r>
        <w:t>Liabilities</w:t>
      </w:r>
    </w:p>
    <w:p w14:paraId="70909AC8" w14:textId="64783AFA" w:rsidR="00A467E5" w:rsidRDefault="00A467E5" w:rsidP="001C17BF">
      <w:r>
        <w:t>Our liabilities consist primarily of payables for service procurement, trade creditors and provisions for employee entitlements.</w:t>
      </w:r>
    </w:p>
    <w:p w14:paraId="595E2993" w14:textId="737B79F6" w:rsidR="006E029D" w:rsidRDefault="00A467E5" w:rsidP="001C17BF">
      <w:r>
        <w:t>Our total liabilities as at 30 June 2019 were $75.201 million. Liabilities by category were:</w:t>
      </w:r>
    </w:p>
    <w:p w14:paraId="6302B6D8" w14:textId="0B5E2C6F" w:rsidR="00A467E5" w:rsidRDefault="000D526F" w:rsidP="001C17BF">
      <w:pPr>
        <w:pStyle w:val="ListBullet"/>
      </w:pPr>
      <w:r>
        <w:t>Payables, current and non-current – $34.350 million</w:t>
      </w:r>
    </w:p>
    <w:p w14:paraId="36DB4A3C" w14:textId="26630D68" w:rsidR="000D526F" w:rsidRDefault="000D526F" w:rsidP="001C17BF">
      <w:pPr>
        <w:pStyle w:val="ListBullet"/>
      </w:pPr>
      <w:r>
        <w:t>Accrued employee benefits – $23.697 million</w:t>
      </w:r>
    </w:p>
    <w:p w14:paraId="4106173D" w14:textId="6F24F5E9" w:rsidR="000D526F" w:rsidRDefault="000D526F" w:rsidP="001C17BF">
      <w:pPr>
        <w:pStyle w:val="ListBullet"/>
      </w:pPr>
      <w:r>
        <w:t>Provisions – $4.145 million</w:t>
      </w:r>
    </w:p>
    <w:p w14:paraId="0704CEAF" w14:textId="6CA3836A" w:rsidR="004011DF" w:rsidRDefault="000D526F" w:rsidP="001C17BF">
      <w:pPr>
        <w:pStyle w:val="ListBullet"/>
      </w:pPr>
      <w:r>
        <w:t>Other current liabilities – $13.009 million</w:t>
      </w:r>
    </w:p>
    <w:p w14:paraId="57F55CC9" w14:textId="77777777" w:rsidR="004011DF" w:rsidRDefault="004011DF" w:rsidP="001C17BF">
      <w:r>
        <w:br w:type="page"/>
      </w:r>
    </w:p>
    <w:p w14:paraId="2776D493" w14:textId="77777777" w:rsidR="000D526F" w:rsidRPr="000D526F" w:rsidRDefault="000D526F" w:rsidP="001C17BF">
      <w:pPr>
        <w:pStyle w:val="Heading4"/>
      </w:pPr>
      <w:r>
        <w:lastRenderedPageBreak/>
        <w:t xml:space="preserve">National Disability </w:t>
      </w:r>
      <w:r w:rsidRPr="000D526F">
        <w:t>Insurance Scheme</w:t>
      </w:r>
    </w:p>
    <w:p w14:paraId="14C5C686" w14:textId="77777777" w:rsidR="000D526F" w:rsidRPr="000D526F" w:rsidRDefault="000D526F" w:rsidP="001C17BF">
      <w:r w:rsidRPr="000D526F">
        <w:t>2018–19 was the third full year of transition to the NDIS.</w:t>
      </w:r>
    </w:p>
    <w:p w14:paraId="025DC239" w14:textId="77777777" w:rsidR="000D526F" w:rsidRPr="000D526F" w:rsidRDefault="000D526F" w:rsidP="001C17BF">
      <w:pPr>
        <w:pStyle w:val="Heading4"/>
      </w:pPr>
      <w:r w:rsidRPr="000D526F">
        <w:t>Payments</w:t>
      </w:r>
    </w:p>
    <w:p w14:paraId="6B04B2AD" w14:textId="4B58B759" w:rsidR="000D526F" w:rsidRPr="000D526F" w:rsidRDefault="000D526F" w:rsidP="001C17BF">
      <w:r w:rsidRPr="000D526F">
        <w:t>In 2018–19, on behalf of the Queensland Government, we administered total payments of $1.645 billion</w:t>
      </w:r>
      <w:r>
        <w:t xml:space="preserve"> </w:t>
      </w:r>
      <w:r w:rsidRPr="000D526F">
        <w:t>including:</w:t>
      </w:r>
    </w:p>
    <w:p w14:paraId="2E479208" w14:textId="4EA24C54" w:rsidR="000D526F" w:rsidRPr="000D526F" w:rsidRDefault="000D526F" w:rsidP="001C17BF">
      <w:pPr>
        <w:pStyle w:val="ListBullet"/>
      </w:pPr>
      <w:r w:rsidRPr="000D526F">
        <w:t>concession payments of $373.916 million for electricity and reticulated natural gas, rates and water</w:t>
      </w:r>
    </w:p>
    <w:p w14:paraId="1B949D44" w14:textId="77777777" w:rsidR="000D526F" w:rsidRDefault="000D526F" w:rsidP="001C17BF">
      <w:pPr>
        <w:pStyle w:val="ListBullet"/>
      </w:pPr>
      <w:r w:rsidRPr="000D526F">
        <w:t>subsidies, electricity for life support, home energy emergency assistance and asset ownership electricity</w:t>
      </w:r>
      <w:r>
        <w:t xml:space="preserve"> </w:t>
      </w:r>
      <w:r w:rsidRPr="000D526F">
        <w:t>dividend</w:t>
      </w:r>
      <w:r>
        <w:t xml:space="preserve"> </w:t>
      </w:r>
    </w:p>
    <w:p w14:paraId="2FC9222B" w14:textId="040DAC38" w:rsidR="000D526F" w:rsidRDefault="000D526F" w:rsidP="001C17BF">
      <w:pPr>
        <w:pStyle w:val="ListBullet"/>
      </w:pPr>
      <w:r w:rsidRPr="000D526F">
        <w:t>payments of $1.045 billion for the transition of clients to the NDIS</w:t>
      </w:r>
      <w:r>
        <w:t xml:space="preserve"> </w:t>
      </w:r>
    </w:p>
    <w:p w14:paraId="7ADE0E2A" w14:textId="0A060B4E" w:rsidR="000D526F" w:rsidRPr="000D526F" w:rsidRDefault="000D526F" w:rsidP="001C17BF">
      <w:pPr>
        <w:pStyle w:val="ListBullet"/>
      </w:pPr>
      <w:r w:rsidRPr="000D526F">
        <w:t>payments of $38.596 million for natural disasters on behalf of the Queensland and Australian</w:t>
      </w:r>
      <w:r>
        <w:t xml:space="preserve"> </w:t>
      </w:r>
      <w:r w:rsidRPr="000D526F">
        <w:t>governments for grants for emergency assistance, essential household contents, structural assistance,</w:t>
      </w:r>
      <w:r>
        <w:t xml:space="preserve"> </w:t>
      </w:r>
      <w:r w:rsidRPr="000D526F">
        <w:t>and the Essential Services Safety and Reconnection Scheme</w:t>
      </w:r>
    </w:p>
    <w:p w14:paraId="33D252A0" w14:textId="24EC539A" w:rsidR="000D526F" w:rsidRPr="000D526F" w:rsidRDefault="000D526F" w:rsidP="001C17BF">
      <w:pPr>
        <w:pStyle w:val="ListBullet"/>
      </w:pPr>
      <w:r w:rsidRPr="000D526F">
        <w:t>administrative costs of $24.648 million directly attributable to Community Recovery activities.</w:t>
      </w:r>
    </w:p>
    <w:p w14:paraId="128E2A0B" w14:textId="2FBBBA62" w:rsidR="000D526F" w:rsidRPr="000D526F" w:rsidRDefault="000D526F" w:rsidP="001C17BF">
      <w:r w:rsidRPr="000D526F">
        <w:t>Income and expenditure on these items is accounted for separately from our operating accounts. Variances</w:t>
      </w:r>
      <w:r>
        <w:t xml:space="preserve"> </w:t>
      </w:r>
      <w:r w:rsidRPr="000D526F">
        <w:t>between budget and actual results are explained</w:t>
      </w:r>
      <w:r w:rsidR="00D8233D">
        <w:t xml:space="preserve"> </w:t>
      </w:r>
      <w:r w:rsidRPr="000D526F">
        <w:t>in the financial statements.</w:t>
      </w:r>
      <w:r w:rsidR="00D8233D">
        <w:t xml:space="preserve"> </w:t>
      </w:r>
    </w:p>
    <w:p w14:paraId="3D7A65FE" w14:textId="4FEA1080" w:rsidR="000D526F" w:rsidRDefault="000D526F" w:rsidP="001C17BF">
      <w:r w:rsidRPr="000D526F">
        <w:t>We manage financial risks and liabilities by reviewing our financial performance through our corporate</w:t>
      </w:r>
      <w:r>
        <w:t xml:space="preserve"> </w:t>
      </w:r>
      <w:r w:rsidRPr="000D526F">
        <w:t>governance framework. To help us manage risks, the department’s Audit and Risk Committee oversees</w:t>
      </w:r>
      <w:r>
        <w:t xml:space="preserve"> </w:t>
      </w:r>
      <w:r w:rsidRPr="000D526F">
        <w:t>audit activities, audit recommendations, financial reporting, internal controls and compliance.</w:t>
      </w:r>
      <w:r>
        <w:t xml:space="preserve"> </w:t>
      </w:r>
      <w:r w:rsidRPr="000D526F">
        <w:t>For more information on our financial performance, please see our Annual Financial Statements (provided</w:t>
      </w:r>
      <w:r>
        <w:t xml:space="preserve"> </w:t>
      </w:r>
      <w:r w:rsidRPr="000D526F">
        <w:t>separately within this report).</w:t>
      </w:r>
    </w:p>
    <w:p w14:paraId="2DBA2BCD" w14:textId="2014572D" w:rsidR="00222C59" w:rsidRDefault="00222C59" w:rsidP="001C17BF">
      <w:r>
        <w:br w:type="page"/>
      </w:r>
    </w:p>
    <w:p w14:paraId="0422BD53" w14:textId="77777777" w:rsidR="00222C59" w:rsidRDefault="00222C59" w:rsidP="001C17BF">
      <w:pPr>
        <w:pStyle w:val="Heading4"/>
      </w:pPr>
      <w:r>
        <w:lastRenderedPageBreak/>
        <w:t>Service Delivery Statement measures</w:t>
      </w:r>
    </w:p>
    <w:p w14:paraId="47610ED9" w14:textId="52BA3047" w:rsidR="000D526F" w:rsidRDefault="00222C59" w:rsidP="001C17BF">
      <w:r>
        <w:t>The following scorecards summarise our performance (quantifiable measures and qualitative achievements) against the performance indicators in the department’s Service Delivery Statement 2018–19.</w:t>
      </w:r>
    </w:p>
    <w:tbl>
      <w:tblPr>
        <w:tblStyle w:val="Style1"/>
        <w:tblW w:w="0" w:type="auto"/>
        <w:tblLook w:val="04A0" w:firstRow="1" w:lastRow="0" w:firstColumn="1" w:lastColumn="0" w:noHBand="0" w:noVBand="1"/>
      </w:tblPr>
      <w:tblGrid>
        <w:gridCol w:w="3397"/>
        <w:gridCol w:w="1134"/>
        <w:gridCol w:w="2278"/>
        <w:gridCol w:w="2278"/>
      </w:tblGrid>
      <w:tr w:rsidR="00A0676E" w14:paraId="3B20542D" w14:textId="77777777" w:rsidTr="009846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7" w:type="dxa"/>
          </w:tcPr>
          <w:p w14:paraId="62070A71" w14:textId="3F1324F1" w:rsidR="00A0676E" w:rsidRDefault="00A0676E" w:rsidP="001C17BF">
            <w:pPr>
              <w:pStyle w:val="TableBody"/>
            </w:pPr>
            <w:r>
              <w:t>Disability Services</w:t>
            </w:r>
          </w:p>
        </w:tc>
        <w:tc>
          <w:tcPr>
            <w:tcW w:w="1134" w:type="dxa"/>
          </w:tcPr>
          <w:p w14:paraId="4328893C" w14:textId="492B9687" w:rsidR="00A0676E" w:rsidRDefault="00A0676E" w:rsidP="001C17BF">
            <w:pPr>
              <w:pStyle w:val="TableBody"/>
              <w:cnfStyle w:val="100000000000" w:firstRow="1" w:lastRow="0" w:firstColumn="0" w:lastColumn="0" w:oddVBand="0" w:evenVBand="0" w:oddHBand="0" w:evenHBand="0" w:firstRowFirstColumn="0" w:firstRowLastColumn="0" w:lastRowFirstColumn="0" w:lastRowLastColumn="0"/>
            </w:pPr>
            <w:r>
              <w:t>Notes</w:t>
            </w:r>
          </w:p>
        </w:tc>
        <w:tc>
          <w:tcPr>
            <w:tcW w:w="2278" w:type="dxa"/>
          </w:tcPr>
          <w:p w14:paraId="0525AA20" w14:textId="573486C4" w:rsidR="00A0676E" w:rsidRDefault="00A0676E" w:rsidP="001C17BF">
            <w:pPr>
              <w:pStyle w:val="TableBody"/>
              <w:cnfStyle w:val="100000000000" w:firstRow="1" w:lastRow="0" w:firstColumn="0" w:lastColumn="0" w:oddVBand="0" w:evenVBand="0" w:oddHBand="0" w:evenHBand="0" w:firstRowFirstColumn="0" w:firstRowLastColumn="0" w:lastRowFirstColumn="0" w:lastRowLastColumn="0"/>
            </w:pPr>
            <w:r>
              <w:t xml:space="preserve">2018–19 </w:t>
            </w:r>
            <w:r>
              <w:br/>
              <w:t>Target/estimate</w:t>
            </w:r>
          </w:p>
        </w:tc>
        <w:tc>
          <w:tcPr>
            <w:tcW w:w="2278" w:type="dxa"/>
          </w:tcPr>
          <w:p w14:paraId="10FC539C" w14:textId="60212D51" w:rsidR="00A0676E" w:rsidRPr="00EA1F74" w:rsidRDefault="00A0676E" w:rsidP="001C17BF">
            <w:pPr>
              <w:pStyle w:val="TableBody"/>
              <w:cnfStyle w:val="100000000000" w:firstRow="1" w:lastRow="0" w:firstColumn="0" w:lastColumn="0" w:oddVBand="0" w:evenVBand="0" w:oddHBand="0" w:evenHBand="0" w:firstRowFirstColumn="0" w:firstRowLastColumn="0" w:lastRowFirstColumn="0" w:lastRowLastColumn="0"/>
            </w:pPr>
            <w:r w:rsidRPr="00EA1F74">
              <w:t xml:space="preserve">2018–19 </w:t>
            </w:r>
            <w:r w:rsidRPr="00EA1F74">
              <w:br/>
              <w:t>Estimated Actual</w:t>
            </w:r>
          </w:p>
        </w:tc>
      </w:tr>
      <w:tr w:rsidR="00A0676E" w14:paraId="14E1E9F1" w14:textId="77777777" w:rsidTr="00DE3B0C">
        <w:tc>
          <w:tcPr>
            <w:cnfStyle w:val="001000000000" w:firstRow="0" w:lastRow="0" w:firstColumn="1" w:lastColumn="0" w:oddVBand="0" w:evenVBand="0" w:oddHBand="0" w:evenHBand="0" w:firstRowFirstColumn="0" w:firstRowLastColumn="0" w:lastRowFirstColumn="0" w:lastRowLastColumn="0"/>
            <w:tcW w:w="3397" w:type="dxa"/>
            <w:tcBorders>
              <w:bottom w:val="single" w:sz="4" w:space="0" w:color="1E1F58"/>
            </w:tcBorders>
          </w:tcPr>
          <w:p w14:paraId="624A0748" w14:textId="6DBC4B85" w:rsidR="00A0676E" w:rsidRDefault="009551C3" w:rsidP="001C17BF">
            <w:pPr>
              <w:pStyle w:val="TableBody"/>
            </w:pPr>
            <w:r>
              <w:t>Effectiveness</w:t>
            </w:r>
            <w:r w:rsidR="00DD5D43">
              <w:t xml:space="preserve"> </w:t>
            </w:r>
            <w:r>
              <w:t>measures — number</w:t>
            </w:r>
            <w:r w:rsidR="00DD5D43">
              <w:t xml:space="preserve"> </w:t>
            </w:r>
            <w:r>
              <w:t>of Queenslanders with</w:t>
            </w:r>
            <w:r w:rsidR="00DD5D43">
              <w:t xml:space="preserve"> </w:t>
            </w:r>
            <w:r>
              <w:t>disability accessing</w:t>
            </w:r>
            <w:r w:rsidR="00DD5D43">
              <w:t xml:space="preserve"> </w:t>
            </w:r>
            <w:r>
              <w:t>departmental delivered</w:t>
            </w:r>
            <w:r w:rsidR="00DD5D43">
              <w:t xml:space="preserve"> </w:t>
            </w:r>
            <w:r>
              <w:t>and/or funded</w:t>
            </w:r>
            <w:r w:rsidR="00DD5D43">
              <w:t xml:space="preserve"> </w:t>
            </w:r>
            <w:r>
              <w:t>specialist disability</w:t>
            </w:r>
            <w:r w:rsidR="00DD5D43">
              <w:t xml:space="preserve"> </w:t>
            </w:r>
            <w:r>
              <w:t>support services</w:t>
            </w:r>
          </w:p>
        </w:tc>
        <w:tc>
          <w:tcPr>
            <w:tcW w:w="1134" w:type="dxa"/>
            <w:tcBorders>
              <w:bottom w:val="single" w:sz="4" w:space="0" w:color="1E1F58"/>
            </w:tcBorders>
          </w:tcPr>
          <w:p w14:paraId="4D063331" w14:textId="339BCC93" w:rsidR="00A0676E" w:rsidRDefault="00B00C72" w:rsidP="001C17BF">
            <w:pPr>
              <w:pStyle w:val="TableBody"/>
              <w:cnfStyle w:val="000000000000" w:firstRow="0" w:lastRow="0" w:firstColumn="0" w:lastColumn="0" w:oddVBand="0" w:evenVBand="0" w:oddHBand="0" w:evenHBand="0" w:firstRowFirstColumn="0" w:firstRowLastColumn="0" w:lastRowFirstColumn="0" w:lastRowLastColumn="0"/>
            </w:pPr>
            <w:r w:rsidRPr="00B00C72">
              <w:t>(1)</w:t>
            </w:r>
          </w:p>
        </w:tc>
        <w:tc>
          <w:tcPr>
            <w:tcW w:w="2278" w:type="dxa"/>
            <w:tcBorders>
              <w:bottom w:val="single" w:sz="4" w:space="0" w:color="1E1F58"/>
            </w:tcBorders>
          </w:tcPr>
          <w:p w14:paraId="01E6B712" w14:textId="089DE431" w:rsidR="00A0676E" w:rsidRDefault="00B00C72" w:rsidP="001C17BF">
            <w:pPr>
              <w:pStyle w:val="TableBody"/>
              <w:cnfStyle w:val="000000000000" w:firstRow="0" w:lastRow="0" w:firstColumn="0" w:lastColumn="0" w:oddVBand="0" w:evenVBand="0" w:oddHBand="0" w:evenHBand="0" w:firstRowFirstColumn="0" w:firstRowLastColumn="0" w:lastRowFirstColumn="0" w:lastRowLastColumn="0"/>
            </w:pPr>
            <w:r>
              <w:t>9</w:t>
            </w:r>
            <w:r w:rsidRPr="00B00C72">
              <w:t>,000 to 14,0000</w:t>
            </w:r>
          </w:p>
        </w:tc>
        <w:tc>
          <w:tcPr>
            <w:tcW w:w="2278" w:type="dxa"/>
            <w:tcBorders>
              <w:bottom w:val="single" w:sz="4" w:space="0" w:color="1E1F58"/>
            </w:tcBorders>
          </w:tcPr>
          <w:p w14:paraId="0B09DFF8" w14:textId="554C2D62" w:rsidR="00A0676E" w:rsidRDefault="00B00C72" w:rsidP="001C17BF">
            <w:pPr>
              <w:pStyle w:val="TableBody"/>
              <w:cnfStyle w:val="000000000000" w:firstRow="0" w:lastRow="0" w:firstColumn="0" w:lastColumn="0" w:oddVBand="0" w:evenVBand="0" w:oddHBand="0" w:evenHBand="0" w:firstRowFirstColumn="0" w:firstRowLastColumn="0" w:lastRowFirstColumn="0" w:lastRowLastColumn="0"/>
            </w:pPr>
            <w:r w:rsidRPr="00B00C72">
              <w:t>11,500</w:t>
            </w:r>
          </w:p>
        </w:tc>
      </w:tr>
      <w:tr w:rsidR="00DE3B0C" w14:paraId="4DE33FFD" w14:textId="77777777" w:rsidTr="00DE3B0C">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1E1F58"/>
              <w:left w:val="single" w:sz="4" w:space="0" w:color="1E1F58"/>
              <w:bottom w:val="nil"/>
              <w:right w:val="single" w:sz="4" w:space="0" w:color="1E1F58"/>
            </w:tcBorders>
          </w:tcPr>
          <w:p w14:paraId="39D8798A" w14:textId="1FCE52CF" w:rsidR="00A0676E" w:rsidRDefault="00AF752A" w:rsidP="001C17BF">
            <w:pPr>
              <w:pStyle w:val="TableBody"/>
            </w:pPr>
            <w:r>
              <w:t>Rate per 1000 population users of community care services:</w:t>
            </w:r>
          </w:p>
        </w:tc>
        <w:tc>
          <w:tcPr>
            <w:tcW w:w="1134" w:type="dxa"/>
            <w:tcBorders>
              <w:top w:val="single" w:sz="4" w:space="0" w:color="1E1F58"/>
              <w:left w:val="single" w:sz="4" w:space="0" w:color="1E1F58"/>
              <w:bottom w:val="nil"/>
              <w:right w:val="single" w:sz="4" w:space="0" w:color="1E1F58"/>
            </w:tcBorders>
          </w:tcPr>
          <w:p w14:paraId="40BB7A2A" w14:textId="1569A84B" w:rsidR="00A0676E" w:rsidRDefault="00AF752A" w:rsidP="001C17BF">
            <w:pPr>
              <w:pStyle w:val="TableBody"/>
              <w:cnfStyle w:val="000000000000" w:firstRow="0" w:lastRow="0" w:firstColumn="0" w:lastColumn="0" w:oddVBand="0" w:evenVBand="0" w:oddHBand="0" w:evenHBand="0" w:firstRowFirstColumn="0" w:firstRowLastColumn="0" w:lastRowFirstColumn="0" w:lastRowLastColumn="0"/>
            </w:pPr>
            <w:r w:rsidRPr="00AF752A">
              <w:t>(2)</w:t>
            </w:r>
          </w:p>
        </w:tc>
        <w:tc>
          <w:tcPr>
            <w:tcW w:w="2278" w:type="dxa"/>
            <w:tcBorders>
              <w:top w:val="single" w:sz="4" w:space="0" w:color="1E1F58"/>
              <w:left w:val="single" w:sz="4" w:space="0" w:color="1E1F58"/>
              <w:bottom w:val="nil"/>
              <w:right w:val="single" w:sz="4" w:space="0" w:color="1E1F58"/>
            </w:tcBorders>
          </w:tcPr>
          <w:p w14:paraId="734A62F0" w14:textId="1E8CEF8A" w:rsidR="000A6FF9" w:rsidRDefault="000A6FF9" w:rsidP="001C17BF">
            <w:pPr>
              <w:pStyle w:val="TableBody"/>
              <w:cnfStyle w:val="000000000000" w:firstRow="0" w:lastRow="0" w:firstColumn="0" w:lastColumn="0" w:oddVBand="0" w:evenVBand="0" w:oddHBand="0" w:evenHBand="0" w:firstRowFirstColumn="0" w:firstRowLastColumn="0" w:lastRowFirstColumn="0" w:lastRowLastColumn="0"/>
            </w:pPr>
          </w:p>
        </w:tc>
        <w:tc>
          <w:tcPr>
            <w:tcW w:w="2278" w:type="dxa"/>
            <w:tcBorders>
              <w:top w:val="single" w:sz="4" w:space="0" w:color="1E1F58"/>
              <w:left w:val="single" w:sz="4" w:space="0" w:color="1E1F58"/>
              <w:bottom w:val="nil"/>
              <w:right w:val="single" w:sz="4" w:space="0" w:color="1E1F58"/>
            </w:tcBorders>
          </w:tcPr>
          <w:p w14:paraId="07C28E8C" w14:textId="77777777" w:rsidR="00A0676E" w:rsidRDefault="00A0676E" w:rsidP="001C17BF">
            <w:pPr>
              <w:pStyle w:val="TableBody"/>
              <w:cnfStyle w:val="000000000000" w:firstRow="0" w:lastRow="0" w:firstColumn="0" w:lastColumn="0" w:oddVBand="0" w:evenVBand="0" w:oddHBand="0" w:evenHBand="0" w:firstRowFirstColumn="0" w:firstRowLastColumn="0" w:lastRowFirstColumn="0" w:lastRowLastColumn="0"/>
            </w:pPr>
          </w:p>
        </w:tc>
      </w:tr>
      <w:tr w:rsidR="00294EA3" w14:paraId="4A45FE37" w14:textId="77777777" w:rsidTr="00DE3B0C">
        <w:tc>
          <w:tcPr>
            <w:cnfStyle w:val="001000000000" w:firstRow="0" w:lastRow="0" w:firstColumn="1" w:lastColumn="0" w:oddVBand="0" w:evenVBand="0" w:oddHBand="0" w:evenHBand="0" w:firstRowFirstColumn="0" w:firstRowLastColumn="0" w:lastRowFirstColumn="0" w:lastRowLastColumn="0"/>
            <w:tcW w:w="3397" w:type="dxa"/>
            <w:tcBorders>
              <w:top w:val="nil"/>
              <w:left w:val="single" w:sz="4" w:space="0" w:color="1E1F58"/>
              <w:bottom w:val="nil"/>
              <w:right w:val="single" w:sz="4" w:space="0" w:color="1E1F58"/>
            </w:tcBorders>
          </w:tcPr>
          <w:p w14:paraId="685D1393" w14:textId="26B4B390" w:rsidR="00294EA3" w:rsidRPr="00461193" w:rsidRDefault="00294EA3" w:rsidP="001C17BF">
            <w:pPr>
              <w:pStyle w:val="List"/>
            </w:pPr>
            <w:r w:rsidRPr="00461193">
              <w:t>All users</w:t>
            </w:r>
          </w:p>
        </w:tc>
        <w:tc>
          <w:tcPr>
            <w:tcW w:w="1134" w:type="dxa"/>
            <w:tcBorders>
              <w:top w:val="nil"/>
              <w:left w:val="single" w:sz="4" w:space="0" w:color="1E1F58"/>
              <w:bottom w:val="nil"/>
              <w:right w:val="single" w:sz="4" w:space="0" w:color="1E1F58"/>
            </w:tcBorders>
          </w:tcPr>
          <w:p w14:paraId="55C4CBB0" w14:textId="77777777" w:rsidR="00294EA3" w:rsidRPr="00AF752A" w:rsidRDefault="00294EA3" w:rsidP="001C17BF">
            <w:pPr>
              <w:pStyle w:val="TableBody"/>
              <w:cnfStyle w:val="000000000000" w:firstRow="0" w:lastRow="0" w:firstColumn="0" w:lastColumn="0" w:oddVBand="0" w:evenVBand="0" w:oddHBand="0" w:evenHBand="0" w:firstRowFirstColumn="0" w:firstRowLastColumn="0" w:lastRowFirstColumn="0" w:lastRowLastColumn="0"/>
            </w:pPr>
          </w:p>
        </w:tc>
        <w:tc>
          <w:tcPr>
            <w:tcW w:w="2278" w:type="dxa"/>
            <w:tcBorders>
              <w:top w:val="nil"/>
              <w:left w:val="single" w:sz="4" w:space="0" w:color="1E1F58"/>
              <w:bottom w:val="nil"/>
              <w:right w:val="single" w:sz="4" w:space="0" w:color="1E1F58"/>
            </w:tcBorders>
          </w:tcPr>
          <w:p w14:paraId="79C6FE3E" w14:textId="7644CB0A" w:rsidR="00294EA3" w:rsidRDefault="00294EA3" w:rsidP="001C17BF">
            <w:pPr>
              <w:pStyle w:val="TableBody"/>
              <w:cnfStyle w:val="000000000000" w:firstRow="0" w:lastRow="0" w:firstColumn="0" w:lastColumn="0" w:oddVBand="0" w:evenVBand="0" w:oddHBand="0" w:evenHBand="0" w:firstRowFirstColumn="0" w:firstRowLastColumn="0" w:lastRowFirstColumn="0" w:lastRowLastColumn="0"/>
            </w:pPr>
            <w:r>
              <w:t>6 to 9</w:t>
            </w:r>
          </w:p>
        </w:tc>
        <w:tc>
          <w:tcPr>
            <w:tcW w:w="2278" w:type="dxa"/>
            <w:tcBorders>
              <w:top w:val="nil"/>
              <w:left w:val="single" w:sz="4" w:space="0" w:color="1E1F58"/>
              <w:bottom w:val="nil"/>
              <w:right w:val="single" w:sz="4" w:space="0" w:color="1E1F58"/>
            </w:tcBorders>
          </w:tcPr>
          <w:p w14:paraId="62149286" w14:textId="2088BA39" w:rsidR="00294EA3" w:rsidRDefault="00294EA3" w:rsidP="001C17BF">
            <w:pPr>
              <w:pStyle w:val="TableBody"/>
              <w:cnfStyle w:val="000000000000" w:firstRow="0" w:lastRow="0" w:firstColumn="0" w:lastColumn="0" w:oddVBand="0" w:evenVBand="0" w:oddHBand="0" w:evenHBand="0" w:firstRowFirstColumn="0" w:firstRowLastColumn="0" w:lastRowFirstColumn="0" w:lastRowLastColumn="0"/>
            </w:pPr>
            <w:r>
              <w:t>6</w:t>
            </w:r>
          </w:p>
        </w:tc>
      </w:tr>
      <w:tr w:rsidR="00294EA3" w14:paraId="4CA6F9C6" w14:textId="77777777" w:rsidTr="00DE3B0C">
        <w:tc>
          <w:tcPr>
            <w:cnfStyle w:val="001000000000" w:firstRow="0" w:lastRow="0" w:firstColumn="1" w:lastColumn="0" w:oddVBand="0" w:evenVBand="0" w:oddHBand="0" w:evenHBand="0" w:firstRowFirstColumn="0" w:firstRowLastColumn="0" w:lastRowFirstColumn="0" w:lastRowLastColumn="0"/>
            <w:tcW w:w="3397" w:type="dxa"/>
            <w:tcBorders>
              <w:top w:val="nil"/>
              <w:left w:val="single" w:sz="4" w:space="0" w:color="1E1F58"/>
              <w:bottom w:val="nil"/>
              <w:right w:val="single" w:sz="4" w:space="0" w:color="1E1F58"/>
            </w:tcBorders>
          </w:tcPr>
          <w:p w14:paraId="1EACFAEB" w14:textId="6719626B" w:rsidR="00294EA3" w:rsidRPr="00461193" w:rsidRDefault="00294EA3" w:rsidP="001C17BF">
            <w:pPr>
              <w:pStyle w:val="List"/>
            </w:pPr>
            <w:r w:rsidRPr="00461193">
              <w:t>Aboriginal and Torres Strait Islander people aged 49 years and under</w:t>
            </w:r>
          </w:p>
        </w:tc>
        <w:tc>
          <w:tcPr>
            <w:tcW w:w="1134" w:type="dxa"/>
            <w:tcBorders>
              <w:top w:val="nil"/>
              <w:left w:val="single" w:sz="4" w:space="0" w:color="1E1F58"/>
              <w:bottom w:val="nil"/>
              <w:right w:val="single" w:sz="4" w:space="0" w:color="1E1F58"/>
            </w:tcBorders>
          </w:tcPr>
          <w:p w14:paraId="6D22B92C" w14:textId="77777777" w:rsidR="00294EA3" w:rsidRPr="00AF752A" w:rsidRDefault="00294EA3" w:rsidP="001C17BF">
            <w:pPr>
              <w:pStyle w:val="TableBody"/>
              <w:cnfStyle w:val="000000000000" w:firstRow="0" w:lastRow="0" w:firstColumn="0" w:lastColumn="0" w:oddVBand="0" w:evenVBand="0" w:oddHBand="0" w:evenHBand="0" w:firstRowFirstColumn="0" w:firstRowLastColumn="0" w:lastRowFirstColumn="0" w:lastRowLastColumn="0"/>
            </w:pPr>
          </w:p>
        </w:tc>
        <w:tc>
          <w:tcPr>
            <w:tcW w:w="2278" w:type="dxa"/>
            <w:tcBorders>
              <w:top w:val="nil"/>
              <w:left w:val="single" w:sz="4" w:space="0" w:color="1E1F58"/>
              <w:bottom w:val="nil"/>
              <w:right w:val="single" w:sz="4" w:space="0" w:color="1E1F58"/>
            </w:tcBorders>
          </w:tcPr>
          <w:p w14:paraId="6826C8D7" w14:textId="146D0F52" w:rsidR="00294EA3" w:rsidRDefault="00294EA3" w:rsidP="001C17BF">
            <w:pPr>
              <w:pStyle w:val="TableBody"/>
              <w:cnfStyle w:val="000000000000" w:firstRow="0" w:lastRow="0" w:firstColumn="0" w:lastColumn="0" w:oddVBand="0" w:evenVBand="0" w:oddHBand="0" w:evenHBand="0" w:firstRowFirstColumn="0" w:firstRowLastColumn="0" w:lastRowFirstColumn="0" w:lastRowLastColumn="0"/>
            </w:pPr>
            <w:r>
              <w:t>5 to 8</w:t>
            </w:r>
          </w:p>
        </w:tc>
        <w:tc>
          <w:tcPr>
            <w:tcW w:w="2278" w:type="dxa"/>
            <w:tcBorders>
              <w:top w:val="nil"/>
              <w:left w:val="single" w:sz="4" w:space="0" w:color="1E1F58"/>
              <w:bottom w:val="nil"/>
              <w:right w:val="single" w:sz="4" w:space="0" w:color="1E1F58"/>
            </w:tcBorders>
          </w:tcPr>
          <w:p w14:paraId="32F3C3B0" w14:textId="03B30479" w:rsidR="00294EA3" w:rsidRDefault="00DE3B0C" w:rsidP="001C17BF">
            <w:pPr>
              <w:pStyle w:val="TableBody"/>
              <w:cnfStyle w:val="000000000000" w:firstRow="0" w:lastRow="0" w:firstColumn="0" w:lastColumn="0" w:oddVBand="0" w:evenVBand="0" w:oddHBand="0" w:evenHBand="0" w:firstRowFirstColumn="0" w:firstRowLastColumn="0" w:lastRowFirstColumn="0" w:lastRowLastColumn="0"/>
            </w:pPr>
            <w:r>
              <w:t>v</w:t>
            </w:r>
            <w:r w:rsidR="00294EA3">
              <w:t>8</w:t>
            </w:r>
          </w:p>
        </w:tc>
      </w:tr>
      <w:tr w:rsidR="00294EA3" w14:paraId="69DE77E4" w14:textId="77777777" w:rsidTr="00DE3B0C">
        <w:tc>
          <w:tcPr>
            <w:cnfStyle w:val="001000000000" w:firstRow="0" w:lastRow="0" w:firstColumn="1" w:lastColumn="0" w:oddVBand="0" w:evenVBand="0" w:oddHBand="0" w:evenHBand="0" w:firstRowFirstColumn="0" w:firstRowLastColumn="0" w:lastRowFirstColumn="0" w:lastRowLastColumn="0"/>
            <w:tcW w:w="3397" w:type="dxa"/>
            <w:tcBorders>
              <w:top w:val="nil"/>
              <w:left w:val="single" w:sz="4" w:space="0" w:color="1E1F58"/>
              <w:bottom w:val="single" w:sz="4" w:space="0" w:color="1E1F58"/>
              <w:right w:val="single" w:sz="4" w:space="0" w:color="1E1F58"/>
            </w:tcBorders>
          </w:tcPr>
          <w:p w14:paraId="1FF864F6" w14:textId="35EA8CC8" w:rsidR="00294EA3" w:rsidRPr="00461193" w:rsidRDefault="00294EA3" w:rsidP="001C17BF">
            <w:pPr>
              <w:pStyle w:val="List"/>
            </w:pPr>
            <w:r w:rsidRPr="00461193">
              <w:t xml:space="preserve">People born in non-English speaking countries aged </w:t>
            </w:r>
            <w:r w:rsidR="00A34B50" w:rsidRPr="00461193">
              <w:br/>
            </w:r>
            <w:r w:rsidRPr="00461193">
              <w:t>64 years and under</w:t>
            </w:r>
          </w:p>
        </w:tc>
        <w:tc>
          <w:tcPr>
            <w:tcW w:w="1134" w:type="dxa"/>
            <w:tcBorders>
              <w:top w:val="nil"/>
              <w:left w:val="single" w:sz="4" w:space="0" w:color="1E1F58"/>
              <w:bottom w:val="single" w:sz="4" w:space="0" w:color="1E1F58"/>
              <w:right w:val="single" w:sz="4" w:space="0" w:color="1E1F58"/>
            </w:tcBorders>
          </w:tcPr>
          <w:p w14:paraId="1745EC43" w14:textId="77777777" w:rsidR="00294EA3" w:rsidRPr="00AF752A" w:rsidRDefault="00294EA3" w:rsidP="001C17BF">
            <w:pPr>
              <w:pStyle w:val="TableBody"/>
              <w:cnfStyle w:val="000000000000" w:firstRow="0" w:lastRow="0" w:firstColumn="0" w:lastColumn="0" w:oddVBand="0" w:evenVBand="0" w:oddHBand="0" w:evenHBand="0" w:firstRowFirstColumn="0" w:firstRowLastColumn="0" w:lastRowFirstColumn="0" w:lastRowLastColumn="0"/>
            </w:pPr>
          </w:p>
        </w:tc>
        <w:tc>
          <w:tcPr>
            <w:tcW w:w="2278" w:type="dxa"/>
            <w:tcBorders>
              <w:top w:val="nil"/>
              <w:left w:val="single" w:sz="4" w:space="0" w:color="1E1F58"/>
              <w:bottom w:val="single" w:sz="4" w:space="0" w:color="1E1F58"/>
              <w:right w:val="single" w:sz="4" w:space="0" w:color="1E1F58"/>
            </w:tcBorders>
          </w:tcPr>
          <w:p w14:paraId="70859756" w14:textId="67C8E1BB" w:rsidR="00294EA3" w:rsidRDefault="00294EA3" w:rsidP="001C17BF">
            <w:pPr>
              <w:pStyle w:val="TableBody"/>
              <w:cnfStyle w:val="000000000000" w:firstRow="0" w:lastRow="0" w:firstColumn="0" w:lastColumn="0" w:oddVBand="0" w:evenVBand="0" w:oddHBand="0" w:evenHBand="0" w:firstRowFirstColumn="0" w:firstRowLastColumn="0" w:lastRowFirstColumn="0" w:lastRowLastColumn="0"/>
            </w:pPr>
            <w:r>
              <w:t>5 to 8</w:t>
            </w:r>
          </w:p>
        </w:tc>
        <w:tc>
          <w:tcPr>
            <w:tcW w:w="2278" w:type="dxa"/>
            <w:tcBorders>
              <w:top w:val="nil"/>
              <w:left w:val="single" w:sz="4" w:space="0" w:color="1E1F58"/>
              <w:bottom w:val="single" w:sz="4" w:space="0" w:color="1E1F58"/>
              <w:right w:val="single" w:sz="4" w:space="0" w:color="1E1F58"/>
            </w:tcBorders>
          </w:tcPr>
          <w:p w14:paraId="500BA5A4" w14:textId="5CA8615D" w:rsidR="00294EA3" w:rsidRDefault="00294EA3" w:rsidP="001C17BF">
            <w:pPr>
              <w:pStyle w:val="TableBody"/>
              <w:cnfStyle w:val="000000000000" w:firstRow="0" w:lastRow="0" w:firstColumn="0" w:lastColumn="0" w:oddVBand="0" w:evenVBand="0" w:oddHBand="0" w:evenHBand="0" w:firstRowFirstColumn="0" w:firstRowLastColumn="0" w:lastRowFirstColumn="0" w:lastRowLastColumn="0"/>
            </w:pPr>
            <w:r>
              <w:t>5</w:t>
            </w:r>
          </w:p>
        </w:tc>
      </w:tr>
      <w:tr w:rsidR="00A0676E" w14:paraId="403FF7CA" w14:textId="77777777" w:rsidTr="00DE3B0C">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1E1F58"/>
            </w:tcBorders>
          </w:tcPr>
          <w:p w14:paraId="221AB06B" w14:textId="4850D9E2" w:rsidR="00A0676E" w:rsidRDefault="00AF752A" w:rsidP="001C17BF">
            <w:pPr>
              <w:pStyle w:val="TableBody"/>
            </w:pPr>
            <w:r>
              <w:t>Efficiency measure – total estimated expenditure per service user receiving department’s administered specialist disability services</w:t>
            </w:r>
          </w:p>
        </w:tc>
        <w:tc>
          <w:tcPr>
            <w:tcW w:w="1134" w:type="dxa"/>
            <w:tcBorders>
              <w:top w:val="single" w:sz="4" w:space="0" w:color="1E1F58"/>
            </w:tcBorders>
          </w:tcPr>
          <w:p w14:paraId="74EEB4BC" w14:textId="341A4F23" w:rsidR="00A0676E" w:rsidRDefault="00AF752A" w:rsidP="001C17BF">
            <w:pPr>
              <w:pStyle w:val="TableBody"/>
              <w:cnfStyle w:val="000000000000" w:firstRow="0" w:lastRow="0" w:firstColumn="0" w:lastColumn="0" w:oddVBand="0" w:evenVBand="0" w:oddHBand="0" w:evenHBand="0" w:firstRowFirstColumn="0" w:firstRowLastColumn="0" w:lastRowFirstColumn="0" w:lastRowLastColumn="0"/>
            </w:pPr>
            <w:r>
              <w:t>(3)</w:t>
            </w:r>
          </w:p>
        </w:tc>
        <w:tc>
          <w:tcPr>
            <w:tcW w:w="2278" w:type="dxa"/>
            <w:tcBorders>
              <w:top w:val="single" w:sz="4" w:space="0" w:color="1E1F58"/>
            </w:tcBorders>
          </w:tcPr>
          <w:p w14:paraId="04989586" w14:textId="3478EAB6" w:rsidR="00A0676E" w:rsidRDefault="00294EA3" w:rsidP="001C17BF">
            <w:pPr>
              <w:pStyle w:val="TableBody"/>
              <w:cnfStyle w:val="000000000000" w:firstRow="0" w:lastRow="0" w:firstColumn="0" w:lastColumn="0" w:oddVBand="0" w:evenVBand="0" w:oddHBand="0" w:evenHBand="0" w:firstRowFirstColumn="0" w:firstRowLastColumn="0" w:lastRowFirstColumn="0" w:lastRowLastColumn="0"/>
            </w:pPr>
            <w:r w:rsidRPr="00294EA3">
              <w:t>$56,000 to $66,000</w:t>
            </w:r>
          </w:p>
        </w:tc>
        <w:tc>
          <w:tcPr>
            <w:tcW w:w="2278" w:type="dxa"/>
            <w:tcBorders>
              <w:top w:val="single" w:sz="4" w:space="0" w:color="1E1F58"/>
            </w:tcBorders>
          </w:tcPr>
          <w:p w14:paraId="77BDABF4" w14:textId="689CB4BC" w:rsidR="00A0676E" w:rsidRDefault="00294EA3" w:rsidP="001C17BF">
            <w:pPr>
              <w:pStyle w:val="TableBody"/>
              <w:cnfStyle w:val="000000000000" w:firstRow="0" w:lastRow="0" w:firstColumn="0" w:lastColumn="0" w:oddVBand="0" w:evenVBand="0" w:oddHBand="0" w:evenHBand="0" w:firstRowFirstColumn="0" w:firstRowLastColumn="0" w:lastRowFirstColumn="0" w:lastRowLastColumn="0"/>
            </w:pPr>
            <w:r>
              <w:t xml:space="preserve">$66,000 </w:t>
            </w:r>
          </w:p>
          <w:p w14:paraId="6CACE7A8" w14:textId="1DD10BC8" w:rsidR="00294EA3" w:rsidRPr="00294EA3" w:rsidRDefault="00294EA3" w:rsidP="001C17BF">
            <w:pPr>
              <w:pStyle w:val="TableBody"/>
              <w:cnfStyle w:val="000000000000" w:firstRow="0" w:lastRow="0" w:firstColumn="0" w:lastColumn="0" w:oddVBand="0" w:evenVBand="0" w:oddHBand="0" w:evenHBand="0" w:firstRowFirstColumn="0" w:firstRowLastColumn="0" w:lastRowFirstColumn="0" w:lastRowLastColumn="0"/>
            </w:pPr>
          </w:p>
        </w:tc>
      </w:tr>
    </w:tbl>
    <w:p w14:paraId="02897D8B" w14:textId="77777777" w:rsidR="002C0947" w:rsidRDefault="002C0947" w:rsidP="001C17BF">
      <w:r>
        <w:br w:type="page"/>
      </w:r>
    </w:p>
    <w:p w14:paraId="7414BEEA" w14:textId="77777777" w:rsidR="00A62418" w:rsidRDefault="00A62418" w:rsidP="001C17BF">
      <w:r>
        <w:lastRenderedPageBreak/>
        <w:t>Notes:</w:t>
      </w:r>
    </w:p>
    <w:p w14:paraId="15F8DE29" w14:textId="77777777" w:rsidR="00A62418" w:rsidRPr="00A62418" w:rsidRDefault="00A62418" w:rsidP="001C17BF">
      <w:pPr>
        <w:pStyle w:val="ListNumber3"/>
        <w:rPr>
          <w:rStyle w:val="Emphasis"/>
        </w:rPr>
      </w:pPr>
      <w:r w:rsidRPr="00A62418">
        <w:rPr>
          <w:rStyle w:val="Emphasis"/>
        </w:rPr>
        <w:t>This measure records the total number of clients expected to receive specialist disability support services delivered and/or funded by the department during the relevant financial year. The number of service users is anticipated to decline following the transition of clients with disability to the National Disability Insurance Scheme (NDIS). The Target/estimates are based on the anticipated transition of people to the NDIS as proposed under the Bilateral Agreement between the Queensland Government and the Commonwealth Government.</w:t>
      </w:r>
    </w:p>
    <w:p w14:paraId="6768769E" w14:textId="49A8C7D5" w:rsidR="00A62418" w:rsidRPr="00A62418" w:rsidRDefault="00A62418" w:rsidP="001C17BF">
      <w:pPr>
        <w:pStyle w:val="ListNumber3"/>
        <w:rPr>
          <w:rStyle w:val="Emphasis"/>
        </w:rPr>
      </w:pPr>
      <w:r w:rsidRPr="00A62418">
        <w:rPr>
          <w:rStyle w:val="Emphasis"/>
        </w:rPr>
        <w:t>This measure is broken into three population specific cohorts using a ‘rate per 1000’ of the relevant population as the unit of measure to allow for changes in population to be taken into account from year to year. The wording and calculation method of this measure is consistent with national data reported as part of the Report on Government Services (</w:t>
      </w:r>
      <w:proofErr w:type="spellStart"/>
      <w:r w:rsidRPr="00A62418">
        <w:rPr>
          <w:rStyle w:val="Emphasis"/>
        </w:rPr>
        <w:t>RoGS</w:t>
      </w:r>
      <w:proofErr w:type="spellEnd"/>
      <w:r w:rsidRPr="00A62418">
        <w:rPr>
          <w:rStyle w:val="Emphasis"/>
        </w:rPr>
        <w:t>). The number of community care service users is anticipated to decline following the transition of clients with disability to the NDIS.</w:t>
      </w:r>
    </w:p>
    <w:p w14:paraId="2B40F4FD" w14:textId="6255309E" w:rsidR="00A62418" w:rsidRPr="00A62418" w:rsidRDefault="00A62418" w:rsidP="001C17BF">
      <w:pPr>
        <w:pStyle w:val="ListNumber3"/>
        <w:rPr>
          <w:rStyle w:val="Emphasis"/>
        </w:rPr>
      </w:pPr>
      <w:r w:rsidRPr="00A62418">
        <w:rPr>
          <w:rStyle w:val="Emphasis"/>
        </w:rPr>
        <w:t xml:space="preserve">A range is provided for 2018–19 due to current uncertainty regarding the number of community care clients who will transition to the NDIS and those who will remain as a state funded responsibility. All Target/estimates are based on the anticipated transition of people to the NDIS as estimated under the Bilateral Agreement between the Queensland Government and the Commonwealth Government. </w:t>
      </w:r>
    </w:p>
    <w:p w14:paraId="25ED4800" w14:textId="4D4C8243" w:rsidR="008E1578" w:rsidRDefault="00A62418" w:rsidP="001C17BF">
      <w:pPr>
        <w:pStyle w:val="ListNumber3"/>
        <w:rPr>
          <w:rStyle w:val="Emphasis"/>
        </w:rPr>
      </w:pPr>
      <w:r w:rsidRPr="00A62418">
        <w:rPr>
          <w:rStyle w:val="Emphasis"/>
        </w:rPr>
        <w:t xml:space="preserve">Disability service users can receive multiple services. The overall cost per user is for those services, regardless of service type, delivered and/or funded by the department, and does not include services or expenditure delivered by other Queensland Government departments or the Commonwealth Government. The wording and calculation method of this measure is consistent with national data reported as part of </w:t>
      </w:r>
      <w:proofErr w:type="spellStart"/>
      <w:r w:rsidRPr="00A62418">
        <w:rPr>
          <w:rStyle w:val="Emphasis"/>
        </w:rPr>
        <w:t>RoGS</w:t>
      </w:r>
      <w:proofErr w:type="spellEnd"/>
      <w:r w:rsidRPr="00A62418">
        <w:rPr>
          <w:rStyle w:val="Emphasis"/>
        </w:rPr>
        <w:t>. The number of service users is anticipated to decline following the transition of clients with disability to the NDIS.</w:t>
      </w:r>
    </w:p>
    <w:tbl>
      <w:tblPr>
        <w:tblStyle w:val="Style1"/>
        <w:tblW w:w="0" w:type="auto"/>
        <w:tblLook w:val="04A0" w:firstRow="1" w:lastRow="0" w:firstColumn="1" w:lastColumn="0" w:noHBand="0" w:noVBand="1"/>
      </w:tblPr>
      <w:tblGrid>
        <w:gridCol w:w="3397"/>
        <w:gridCol w:w="1134"/>
        <w:gridCol w:w="2278"/>
        <w:gridCol w:w="2278"/>
      </w:tblGrid>
      <w:tr w:rsidR="001A3644" w:rsidRPr="009E61CF" w14:paraId="4A62447A" w14:textId="77777777" w:rsidTr="00B51AF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7" w:type="dxa"/>
          </w:tcPr>
          <w:p w14:paraId="7F205E16" w14:textId="1ECDFDE7" w:rsidR="001A3644" w:rsidRPr="009E61CF" w:rsidRDefault="001A3644" w:rsidP="001C17BF">
            <w:pPr>
              <w:pStyle w:val="TableBody"/>
            </w:pPr>
            <w:r w:rsidRPr="009E61CF">
              <w:t>Community Services</w:t>
            </w:r>
          </w:p>
        </w:tc>
        <w:tc>
          <w:tcPr>
            <w:tcW w:w="1134" w:type="dxa"/>
          </w:tcPr>
          <w:p w14:paraId="17C67006" w14:textId="77777777" w:rsidR="001A3644" w:rsidRPr="009E61CF" w:rsidRDefault="001A3644" w:rsidP="001C17BF">
            <w:pPr>
              <w:pStyle w:val="TableBody"/>
              <w:cnfStyle w:val="100000000000" w:firstRow="1" w:lastRow="0" w:firstColumn="0" w:lastColumn="0" w:oddVBand="0" w:evenVBand="0" w:oddHBand="0" w:evenHBand="0" w:firstRowFirstColumn="0" w:firstRowLastColumn="0" w:lastRowFirstColumn="0" w:lastRowLastColumn="0"/>
            </w:pPr>
            <w:r w:rsidRPr="009E61CF">
              <w:t>Notes</w:t>
            </w:r>
          </w:p>
        </w:tc>
        <w:tc>
          <w:tcPr>
            <w:tcW w:w="2278" w:type="dxa"/>
          </w:tcPr>
          <w:p w14:paraId="32C45DBD" w14:textId="77777777" w:rsidR="001A3644" w:rsidRPr="009E61CF" w:rsidRDefault="001A3644" w:rsidP="001C17BF">
            <w:pPr>
              <w:pStyle w:val="TableBody"/>
              <w:cnfStyle w:val="100000000000" w:firstRow="1" w:lastRow="0" w:firstColumn="0" w:lastColumn="0" w:oddVBand="0" w:evenVBand="0" w:oddHBand="0" w:evenHBand="0" w:firstRowFirstColumn="0" w:firstRowLastColumn="0" w:lastRowFirstColumn="0" w:lastRowLastColumn="0"/>
            </w:pPr>
            <w:r w:rsidRPr="009E61CF">
              <w:t xml:space="preserve">2018–19 </w:t>
            </w:r>
            <w:r w:rsidRPr="009E61CF">
              <w:br/>
              <w:t>Target/estimate</w:t>
            </w:r>
          </w:p>
        </w:tc>
        <w:tc>
          <w:tcPr>
            <w:tcW w:w="2278" w:type="dxa"/>
          </w:tcPr>
          <w:p w14:paraId="324CE10B" w14:textId="77777777" w:rsidR="001A3644" w:rsidRPr="009E61CF" w:rsidRDefault="001A3644" w:rsidP="001C17BF">
            <w:pPr>
              <w:pStyle w:val="TableBody"/>
              <w:cnfStyle w:val="100000000000" w:firstRow="1" w:lastRow="0" w:firstColumn="0" w:lastColumn="0" w:oddVBand="0" w:evenVBand="0" w:oddHBand="0" w:evenHBand="0" w:firstRowFirstColumn="0" w:firstRowLastColumn="0" w:lastRowFirstColumn="0" w:lastRowLastColumn="0"/>
            </w:pPr>
            <w:r w:rsidRPr="009E61CF">
              <w:t xml:space="preserve">2018–19 </w:t>
            </w:r>
            <w:r w:rsidRPr="009E61CF">
              <w:br/>
              <w:t>Estimated Actual</w:t>
            </w:r>
          </w:p>
        </w:tc>
      </w:tr>
      <w:tr w:rsidR="001A3644" w:rsidRPr="009E61CF" w14:paraId="672E1794" w14:textId="77777777" w:rsidTr="0000449B">
        <w:tc>
          <w:tcPr>
            <w:cnfStyle w:val="001000000000" w:firstRow="0" w:lastRow="0" w:firstColumn="1" w:lastColumn="0" w:oddVBand="0" w:evenVBand="0" w:oddHBand="0" w:evenHBand="0" w:firstRowFirstColumn="0" w:firstRowLastColumn="0" w:lastRowFirstColumn="0" w:lastRowLastColumn="0"/>
            <w:tcW w:w="3397" w:type="dxa"/>
            <w:tcBorders>
              <w:bottom w:val="single" w:sz="4" w:space="0" w:color="1E1F58"/>
            </w:tcBorders>
          </w:tcPr>
          <w:p w14:paraId="36E9E239" w14:textId="787EA66A" w:rsidR="001A3644" w:rsidRPr="009E61CF" w:rsidRDefault="001A3644" w:rsidP="001C17BF">
            <w:pPr>
              <w:pStyle w:val="TableBody"/>
            </w:pPr>
            <w:r w:rsidRPr="009E61CF">
              <w:t>Efficiency measures — percentage of senior and carer cards issued within 20 working days of application</w:t>
            </w:r>
          </w:p>
        </w:tc>
        <w:tc>
          <w:tcPr>
            <w:tcW w:w="1134" w:type="dxa"/>
            <w:tcBorders>
              <w:bottom w:val="single" w:sz="4" w:space="0" w:color="1E1F58"/>
            </w:tcBorders>
          </w:tcPr>
          <w:p w14:paraId="45987FBF" w14:textId="77777777" w:rsidR="001A3644" w:rsidRPr="009E61CF" w:rsidRDefault="001A3644" w:rsidP="001C17BF">
            <w:pPr>
              <w:pStyle w:val="TableBody"/>
              <w:cnfStyle w:val="000000000000" w:firstRow="0" w:lastRow="0" w:firstColumn="0" w:lastColumn="0" w:oddVBand="0" w:evenVBand="0" w:oddHBand="0" w:evenHBand="0" w:firstRowFirstColumn="0" w:firstRowLastColumn="0" w:lastRowFirstColumn="0" w:lastRowLastColumn="0"/>
            </w:pPr>
            <w:r w:rsidRPr="009E61CF">
              <w:t>(1)</w:t>
            </w:r>
          </w:p>
        </w:tc>
        <w:tc>
          <w:tcPr>
            <w:tcW w:w="2278" w:type="dxa"/>
            <w:tcBorders>
              <w:bottom w:val="single" w:sz="4" w:space="0" w:color="1E1F58"/>
            </w:tcBorders>
          </w:tcPr>
          <w:p w14:paraId="06699077" w14:textId="5E3E376E" w:rsidR="001A3644" w:rsidRPr="009E61CF" w:rsidRDefault="001A3644" w:rsidP="001C17BF">
            <w:pPr>
              <w:pStyle w:val="TableBody"/>
              <w:cnfStyle w:val="000000000000" w:firstRow="0" w:lastRow="0" w:firstColumn="0" w:lastColumn="0" w:oddVBand="0" w:evenVBand="0" w:oddHBand="0" w:evenHBand="0" w:firstRowFirstColumn="0" w:firstRowLastColumn="0" w:lastRowFirstColumn="0" w:lastRowLastColumn="0"/>
            </w:pPr>
            <w:r w:rsidRPr="009E61CF">
              <w:t>90 per cent</w:t>
            </w:r>
          </w:p>
        </w:tc>
        <w:tc>
          <w:tcPr>
            <w:tcW w:w="2278" w:type="dxa"/>
            <w:tcBorders>
              <w:bottom w:val="single" w:sz="4" w:space="0" w:color="1E1F58"/>
            </w:tcBorders>
          </w:tcPr>
          <w:p w14:paraId="1AD7E30D" w14:textId="15E771DD" w:rsidR="001A3644" w:rsidRPr="009E61CF" w:rsidRDefault="001A3644" w:rsidP="001C17BF">
            <w:pPr>
              <w:pStyle w:val="TableBody"/>
              <w:cnfStyle w:val="000000000000" w:firstRow="0" w:lastRow="0" w:firstColumn="0" w:lastColumn="0" w:oddVBand="0" w:evenVBand="0" w:oddHBand="0" w:evenHBand="0" w:firstRowFirstColumn="0" w:firstRowLastColumn="0" w:lastRowFirstColumn="0" w:lastRowLastColumn="0"/>
            </w:pPr>
            <w:r w:rsidRPr="009E61CF">
              <w:t>95 per cent</w:t>
            </w:r>
          </w:p>
        </w:tc>
      </w:tr>
    </w:tbl>
    <w:p w14:paraId="4C342D59" w14:textId="16E8211C" w:rsidR="003D7F40" w:rsidRDefault="00606A14" w:rsidP="001C17BF">
      <w:r>
        <w:t xml:space="preserve">Notes </w:t>
      </w:r>
    </w:p>
    <w:p w14:paraId="30CFD4BB" w14:textId="2ADC5CA2" w:rsidR="00990E16" w:rsidRDefault="00606A14" w:rsidP="001C17BF">
      <w:pPr>
        <w:pStyle w:val="ListNumber3"/>
        <w:numPr>
          <w:ilvl w:val="0"/>
          <w:numId w:val="33"/>
        </w:numPr>
      </w:pPr>
      <w:r w:rsidRPr="00AE5BD4">
        <w:rPr>
          <w:rStyle w:val="Emphasis"/>
        </w:rPr>
        <w:t>Each year the department issues or renews senior and carer cards, providing financial benefits to users. Monitoring the time to issue a card maintains service standards to the community. Measuring the average time to issue cards, and percentage issued within timeframes, monitors the efficiency with which card applications are processed and cards distributed.</w:t>
      </w:r>
    </w:p>
    <w:sectPr w:rsidR="00990E16" w:rsidSect="007B38C7">
      <w:footerReference w:type="default" r:id="rId8"/>
      <w:pgSz w:w="12240" w:h="15840"/>
      <w:pgMar w:top="964" w:right="1418" w:bottom="1134" w:left="1418" w:header="567" w:footer="28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FC96" w14:textId="77777777" w:rsidR="0000449B" w:rsidRDefault="0000449B" w:rsidP="001C17BF">
      <w:r>
        <w:separator/>
      </w:r>
    </w:p>
    <w:p w14:paraId="0AA163F6" w14:textId="77777777" w:rsidR="0000449B" w:rsidRDefault="0000449B" w:rsidP="001C17BF"/>
  </w:endnote>
  <w:endnote w:type="continuationSeparator" w:id="0">
    <w:p w14:paraId="0AD686E3" w14:textId="77777777" w:rsidR="0000449B" w:rsidRDefault="0000449B" w:rsidP="001C17BF">
      <w:r>
        <w:continuationSeparator/>
      </w:r>
    </w:p>
    <w:p w14:paraId="11CDC0B8" w14:textId="77777777" w:rsidR="0000449B" w:rsidRDefault="0000449B" w:rsidP="001C1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etaOT-Norm">
    <w:altName w:val="Segoe Script"/>
    <w:panose1 w:val="00000000000000000000"/>
    <w:charset w:val="00"/>
    <w:family w:val="swiss"/>
    <w:notTrueType/>
    <w:pitch w:val="variable"/>
    <w:sig w:usb0="00000003" w:usb1="4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OT-Bold">
    <w:altName w:val="Arial Black"/>
    <w:panose1 w:val="00000000000000000000"/>
    <w:charset w:val="00"/>
    <w:family w:val="swiss"/>
    <w:notTrueType/>
    <w:pitch w:val="variable"/>
    <w:sig w:usb0="00000003"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A60A" w14:textId="6629B79B" w:rsidR="0000449B" w:rsidRPr="00DF6404" w:rsidRDefault="0000449B" w:rsidP="00DF6404">
    <w:pPr>
      <w:pStyle w:val="Footer"/>
    </w:pPr>
    <w:r w:rsidRPr="00DF6404">
      <w:rPr>
        <w:rStyle w:val="Strong"/>
        <w:b w:val="0"/>
        <w:bCs w:val="0"/>
      </w:rPr>
      <w:fldChar w:fldCharType="begin"/>
    </w:r>
    <w:r w:rsidRPr="00DF6404">
      <w:rPr>
        <w:rStyle w:val="Strong"/>
        <w:b w:val="0"/>
        <w:bCs w:val="0"/>
      </w:rPr>
      <w:instrText xml:space="preserve"> PAGE   \* MERGEFORMAT </w:instrText>
    </w:r>
    <w:r w:rsidRPr="00DF6404">
      <w:rPr>
        <w:rStyle w:val="Strong"/>
        <w:b w:val="0"/>
        <w:bCs w:val="0"/>
      </w:rPr>
      <w:fldChar w:fldCharType="separate"/>
    </w:r>
    <w:r w:rsidR="00CF4675">
      <w:rPr>
        <w:rStyle w:val="Strong"/>
        <w:b w:val="0"/>
        <w:bCs w:val="0"/>
        <w:noProof/>
      </w:rPr>
      <w:t>6</w:t>
    </w:r>
    <w:r w:rsidRPr="00DF6404">
      <w:rPr>
        <w:rStyle w:val="Strong"/>
        <w:b w:val="0"/>
        <w:bCs w:val="0"/>
      </w:rPr>
      <w:fldChar w:fldCharType="end"/>
    </w:r>
    <w:r w:rsidRPr="00DF6404">
      <w:rPr>
        <w:rStyle w:val="Strong"/>
        <w:b w:val="0"/>
        <w:bCs w:val="0"/>
      </w:rPr>
      <w:t xml:space="preserve">  |  Department of Communities, Disability Services and Seniors</w:t>
    </w:r>
    <w:r w:rsidRPr="00DF6404">
      <w:t xml:space="preserve"> | Annual Report 2018–19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447C" w14:textId="77777777" w:rsidR="0000449B" w:rsidRDefault="0000449B" w:rsidP="001C17BF">
      <w:r>
        <w:separator/>
      </w:r>
    </w:p>
    <w:p w14:paraId="37D30EE1" w14:textId="77777777" w:rsidR="0000449B" w:rsidRDefault="0000449B" w:rsidP="001C17BF"/>
  </w:footnote>
  <w:footnote w:type="continuationSeparator" w:id="0">
    <w:p w14:paraId="5D2FDB8D" w14:textId="77777777" w:rsidR="0000449B" w:rsidRDefault="0000449B" w:rsidP="001C17BF">
      <w:r>
        <w:continuationSeparator/>
      </w:r>
    </w:p>
    <w:p w14:paraId="48A8A58C" w14:textId="77777777" w:rsidR="0000449B" w:rsidRDefault="0000449B" w:rsidP="001C17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C6E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FA77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62C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606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6A4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F2EA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1631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F08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2B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4C3C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09CA"/>
    <w:multiLevelType w:val="hybridMultilevel"/>
    <w:tmpl w:val="F1341F34"/>
    <w:lvl w:ilvl="0" w:tplc="6F98B49C">
      <w:start w:val="1"/>
      <w:numFmt w:val="bullet"/>
      <w:lvlText w:val=""/>
      <w:lvlJc w:val="left"/>
      <w:pPr>
        <w:ind w:left="360" w:hanging="360"/>
      </w:pPr>
      <w:rPr>
        <w:rFonts w:ascii="Wingdings" w:hAnsi="Wingdings" w:hint="default"/>
      </w:rPr>
    </w:lvl>
    <w:lvl w:ilvl="1" w:tplc="05E80EE2">
      <w:start w:val="1"/>
      <w:numFmt w:val="bullet"/>
      <w:lvlText w:val="&gt;"/>
      <w:lvlJc w:val="left"/>
      <w:pPr>
        <w:ind w:left="928"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854FF7"/>
    <w:multiLevelType w:val="hybridMultilevel"/>
    <w:tmpl w:val="8CC4B8CC"/>
    <w:lvl w:ilvl="0" w:tplc="E050F9C6">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6043F1"/>
    <w:multiLevelType w:val="hybridMultilevel"/>
    <w:tmpl w:val="48B4AA6A"/>
    <w:lvl w:ilvl="0" w:tplc="D94860F0">
      <w:start w:val="1"/>
      <w:numFmt w:val="bullet"/>
      <w:pStyle w:val="ListBullet"/>
      <w:lvlText w:val="»"/>
      <w:lvlJc w:val="left"/>
      <w:pPr>
        <w:ind w:left="360" w:hanging="360"/>
      </w:pPr>
      <w:rPr>
        <w:rFonts w:ascii="Arial" w:hAnsi="Arial" w:hint="default"/>
      </w:rPr>
    </w:lvl>
    <w:lvl w:ilvl="1" w:tplc="05E80EE2">
      <w:start w:val="1"/>
      <w:numFmt w:val="bullet"/>
      <w:lvlText w:val="&gt;"/>
      <w:lvlJc w:val="left"/>
      <w:pPr>
        <w:ind w:left="928"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F84011"/>
    <w:multiLevelType w:val="hybridMultilevel"/>
    <w:tmpl w:val="6FF0D444"/>
    <w:lvl w:ilvl="0" w:tplc="DD6E42D6">
      <w:start w:val="1"/>
      <w:numFmt w:val="bullet"/>
      <w:lvlText w:val="▸"/>
      <w:lvlJc w:val="left"/>
      <w:pPr>
        <w:ind w:left="360" w:hanging="360"/>
      </w:pPr>
      <w:rPr>
        <w:rFonts w:ascii="MetaOT-Norm" w:hAnsi="MetaOT-Norm"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FAD04D7"/>
    <w:multiLevelType w:val="hybridMultilevel"/>
    <w:tmpl w:val="6C708E0C"/>
    <w:lvl w:ilvl="0" w:tplc="C50CE438">
      <w:start w:val="1"/>
      <w:numFmt w:val="bullet"/>
      <w:pStyle w:val="ListBullet2"/>
      <w:lvlText w:val="›"/>
      <w:lvlJc w:val="left"/>
      <w:pPr>
        <w:tabs>
          <w:tab w:val="num" w:pos="643"/>
        </w:tabs>
        <w:ind w:left="643"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CA3424"/>
    <w:multiLevelType w:val="hybridMultilevel"/>
    <w:tmpl w:val="1DE8D726"/>
    <w:lvl w:ilvl="0" w:tplc="D7A69420">
      <w:start w:val="1"/>
      <w:numFmt w:val="bullet"/>
      <w:lvlText w:val=""/>
      <w:lvlJc w:val="left"/>
      <w:pPr>
        <w:ind w:left="720" w:hanging="360"/>
      </w:pPr>
      <w:rPr>
        <w:rFonts w:ascii="Wingdings" w:hAnsi="Wingdings" w:hint="default"/>
      </w:rPr>
    </w:lvl>
    <w:lvl w:ilvl="1" w:tplc="05E80EE2">
      <w:start w:val="1"/>
      <w:numFmt w:val="bullet"/>
      <w:lvlText w:val="&gt;"/>
      <w:lvlJc w:val="left"/>
      <w:pPr>
        <w:ind w:left="927"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EA3BC5"/>
    <w:multiLevelType w:val="hybridMultilevel"/>
    <w:tmpl w:val="66AE90E4"/>
    <w:lvl w:ilvl="0" w:tplc="0D90AF06">
      <w:start w:val="1"/>
      <w:numFmt w:val="decimal"/>
      <w:pStyle w:val="ListNumber2"/>
      <w:lvlText w:val="%1."/>
      <w:lvlJc w:val="left"/>
      <w:pPr>
        <w:ind w:left="360" w:hanging="360"/>
      </w:pPr>
      <w:rPr>
        <w:b/>
        <w:bCs/>
        <w:i w:val="0"/>
        <w:iCs w:val="0"/>
        <w:caps w:val="0"/>
        <w:smallCaps w:val="0"/>
        <w:strike w:val="0"/>
        <w:dstrike w:val="0"/>
        <w:outline w:val="0"/>
        <w:shadow w:val="0"/>
        <w:emboss w:val="0"/>
        <w:imprint w:val="0"/>
        <w:noProof w:val="0"/>
        <w:vanish w:val="0"/>
        <w:color w:val="005C7F"/>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AD52E2"/>
    <w:multiLevelType w:val="multilevel"/>
    <w:tmpl w:val="F3E41836"/>
    <w:lvl w:ilvl="0">
      <w:start w:val="1"/>
      <w:numFmt w:val="bullet"/>
      <w:lvlText w:val=""/>
      <w:lvlJc w:val="left"/>
      <w:pPr>
        <w:ind w:left="720" w:hanging="360"/>
      </w:pPr>
      <w:rPr>
        <w:rFonts w:ascii="Wingdings" w:hAnsi="Wingdings" w:hint="default"/>
      </w:rPr>
    </w:lvl>
    <w:lvl w:ilvl="1">
      <w:start w:val="1"/>
      <w:numFmt w:val="bullet"/>
      <w:lvlText w:val="&gt;"/>
      <w:lvlJc w:val="left"/>
      <w:pPr>
        <w:ind w:left="927" w:hanging="20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713862"/>
    <w:multiLevelType w:val="hybridMultilevel"/>
    <w:tmpl w:val="66AE90E4"/>
    <w:lvl w:ilvl="0" w:tplc="0D90AF06">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color w:val="005C7F"/>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B9E6682"/>
    <w:multiLevelType w:val="hybridMultilevel"/>
    <w:tmpl w:val="B2B2F264"/>
    <w:lvl w:ilvl="0" w:tplc="B04E4C84">
      <w:start w:val="1"/>
      <w:numFmt w:val="decimal"/>
      <w:pStyle w:val="ListNumber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0926CE7"/>
    <w:multiLevelType w:val="hybridMultilevel"/>
    <w:tmpl w:val="375C1DB6"/>
    <w:lvl w:ilvl="0" w:tplc="C3BA585E">
      <w:start w:val="1"/>
      <w:numFmt w:val="bullet"/>
      <w:lvlText w:val="»"/>
      <w:lvlJc w:val="left"/>
      <w:pPr>
        <w:ind w:left="720" w:hanging="360"/>
      </w:pPr>
      <w:rPr>
        <w:rFonts w:ascii="MetaOT-Norm" w:hAnsi="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0642A5"/>
    <w:multiLevelType w:val="hybridMultilevel"/>
    <w:tmpl w:val="404AC416"/>
    <w:lvl w:ilvl="0" w:tplc="1D887432">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AF0ABE"/>
    <w:multiLevelType w:val="hybridMultilevel"/>
    <w:tmpl w:val="1ABE6358"/>
    <w:lvl w:ilvl="0" w:tplc="5DECC1EC">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color w:val="005C7F"/>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D810E9"/>
    <w:multiLevelType w:val="hybridMultilevel"/>
    <w:tmpl w:val="DD521C1E"/>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A53189"/>
    <w:multiLevelType w:val="hybridMultilevel"/>
    <w:tmpl w:val="6D40D160"/>
    <w:lvl w:ilvl="0" w:tplc="D136883E">
      <w:start w:val="1"/>
      <w:numFmt w:val="decimal"/>
      <w:pStyle w:val="ListNumber4"/>
      <w:lvlText w:val="Appendix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9B87497"/>
    <w:multiLevelType w:val="hybridMultilevel"/>
    <w:tmpl w:val="DD3CEE3A"/>
    <w:lvl w:ilvl="0" w:tplc="EC7290C8">
      <w:start w:val="1"/>
      <w:numFmt w:val="bullet"/>
      <w:pStyle w:val="List"/>
      <w:lvlText w:val="▸"/>
      <w:lvlJc w:val="left"/>
      <w:pPr>
        <w:ind w:left="720" w:hanging="360"/>
      </w:pPr>
      <w:rPr>
        <w:rFonts w:ascii="MetaOT-Norm" w:hAnsi="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2502FC"/>
    <w:multiLevelType w:val="hybridMultilevel"/>
    <w:tmpl w:val="D46E13E4"/>
    <w:lvl w:ilvl="0" w:tplc="4CE8B3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lvlOverride w:ilvl="0">
      <w:startOverride w:val="1"/>
    </w:lvlOverride>
  </w:num>
  <w:num w:numId="15">
    <w:abstractNumId w:val="15"/>
  </w:num>
  <w:num w:numId="16">
    <w:abstractNumId w:val="17"/>
  </w:num>
  <w:num w:numId="17">
    <w:abstractNumId w:val="16"/>
    <w:lvlOverride w:ilvl="0">
      <w:startOverride w:val="1"/>
    </w:lvlOverride>
  </w:num>
  <w:num w:numId="18">
    <w:abstractNumId w:val="16"/>
    <w:lvlOverride w:ilvl="0">
      <w:startOverride w:val="1"/>
    </w:lvlOverride>
  </w:num>
  <w:num w:numId="19">
    <w:abstractNumId w:val="16"/>
  </w:num>
  <w:num w:numId="20">
    <w:abstractNumId w:val="16"/>
    <w:lvlOverride w:ilvl="0">
      <w:startOverride w:val="1"/>
    </w:lvlOverride>
  </w:num>
  <w:num w:numId="21">
    <w:abstractNumId w:val="20"/>
  </w:num>
  <w:num w:numId="22">
    <w:abstractNumId w:val="12"/>
  </w:num>
  <w:num w:numId="23">
    <w:abstractNumId w:val="14"/>
  </w:num>
  <w:num w:numId="24">
    <w:abstractNumId w:val="16"/>
    <w:lvlOverride w:ilvl="0">
      <w:startOverride w:val="1"/>
    </w:lvlOverride>
  </w:num>
  <w:num w:numId="25">
    <w:abstractNumId w:val="16"/>
    <w:lvlOverride w:ilvl="0">
      <w:startOverride w:val="1"/>
    </w:lvlOverride>
  </w:num>
  <w:num w:numId="26">
    <w:abstractNumId w:val="21"/>
  </w:num>
  <w:num w:numId="27">
    <w:abstractNumId w:val="21"/>
    <w:lvlOverride w:ilvl="0">
      <w:startOverride w:val="1"/>
    </w:lvlOverride>
  </w:num>
  <w:num w:numId="28">
    <w:abstractNumId w:val="18"/>
  </w:num>
  <w:num w:numId="29">
    <w:abstractNumId w:val="22"/>
  </w:num>
  <w:num w:numId="30">
    <w:abstractNumId w:val="13"/>
  </w:num>
  <w:num w:numId="31">
    <w:abstractNumId w:val="19"/>
  </w:num>
  <w:num w:numId="32">
    <w:abstractNumId w:val="26"/>
  </w:num>
  <w:num w:numId="33">
    <w:abstractNumId w:val="19"/>
    <w:lvlOverride w:ilvl="0">
      <w:startOverride w:val="1"/>
    </w:lvlOverride>
  </w:num>
  <w:num w:numId="34">
    <w:abstractNumId w:val="24"/>
  </w:num>
  <w:num w:numId="35">
    <w:abstractNumId w:val="25"/>
  </w:num>
  <w:num w:numId="36">
    <w:abstractNumId w:val="23"/>
  </w:num>
  <w:num w:numId="37">
    <w:abstractNumId w:val="12"/>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EA"/>
    <w:rsid w:val="0000449B"/>
    <w:rsid w:val="0000559D"/>
    <w:rsid w:val="000157D5"/>
    <w:rsid w:val="00015C19"/>
    <w:rsid w:val="000202CD"/>
    <w:rsid w:val="000219A0"/>
    <w:rsid w:val="00023A17"/>
    <w:rsid w:val="000241C4"/>
    <w:rsid w:val="00026F61"/>
    <w:rsid w:val="00030DDA"/>
    <w:rsid w:val="000338E0"/>
    <w:rsid w:val="00033B29"/>
    <w:rsid w:val="000354B8"/>
    <w:rsid w:val="0003590A"/>
    <w:rsid w:val="0003708C"/>
    <w:rsid w:val="000378C9"/>
    <w:rsid w:val="00037C88"/>
    <w:rsid w:val="00042304"/>
    <w:rsid w:val="000423E7"/>
    <w:rsid w:val="0004584A"/>
    <w:rsid w:val="000473F3"/>
    <w:rsid w:val="00055C7E"/>
    <w:rsid w:val="00056F8C"/>
    <w:rsid w:val="00062B01"/>
    <w:rsid w:val="00064626"/>
    <w:rsid w:val="000648F9"/>
    <w:rsid w:val="00065A5F"/>
    <w:rsid w:val="0006787A"/>
    <w:rsid w:val="0006793F"/>
    <w:rsid w:val="000700AE"/>
    <w:rsid w:val="0007034C"/>
    <w:rsid w:val="000705B9"/>
    <w:rsid w:val="000734E4"/>
    <w:rsid w:val="00073E60"/>
    <w:rsid w:val="00077F82"/>
    <w:rsid w:val="00080981"/>
    <w:rsid w:val="00081204"/>
    <w:rsid w:val="0008396A"/>
    <w:rsid w:val="00087861"/>
    <w:rsid w:val="00087B37"/>
    <w:rsid w:val="000933A1"/>
    <w:rsid w:val="00096836"/>
    <w:rsid w:val="000A1A91"/>
    <w:rsid w:val="000A1B57"/>
    <w:rsid w:val="000A3DC9"/>
    <w:rsid w:val="000A6FF9"/>
    <w:rsid w:val="000A7773"/>
    <w:rsid w:val="000B2EAF"/>
    <w:rsid w:val="000B3DD5"/>
    <w:rsid w:val="000B521E"/>
    <w:rsid w:val="000C12F4"/>
    <w:rsid w:val="000C3E7B"/>
    <w:rsid w:val="000D526F"/>
    <w:rsid w:val="000E0634"/>
    <w:rsid w:val="000F0EF4"/>
    <w:rsid w:val="000F33F9"/>
    <w:rsid w:val="000F6311"/>
    <w:rsid w:val="000F66B9"/>
    <w:rsid w:val="00103E3E"/>
    <w:rsid w:val="00104BB0"/>
    <w:rsid w:val="00106684"/>
    <w:rsid w:val="0010709D"/>
    <w:rsid w:val="0011302E"/>
    <w:rsid w:val="00114C2B"/>
    <w:rsid w:val="001201F3"/>
    <w:rsid w:val="0012552D"/>
    <w:rsid w:val="00127850"/>
    <w:rsid w:val="001301FF"/>
    <w:rsid w:val="00140BEF"/>
    <w:rsid w:val="001432C1"/>
    <w:rsid w:val="001443D4"/>
    <w:rsid w:val="00144E3F"/>
    <w:rsid w:val="001465C2"/>
    <w:rsid w:val="001466F4"/>
    <w:rsid w:val="00150366"/>
    <w:rsid w:val="001547C2"/>
    <w:rsid w:val="00155AA7"/>
    <w:rsid w:val="00157982"/>
    <w:rsid w:val="00161360"/>
    <w:rsid w:val="0016338B"/>
    <w:rsid w:val="00163CFA"/>
    <w:rsid w:val="001661C9"/>
    <w:rsid w:val="00170618"/>
    <w:rsid w:val="00171B37"/>
    <w:rsid w:val="00176CB7"/>
    <w:rsid w:val="00180945"/>
    <w:rsid w:val="001813E2"/>
    <w:rsid w:val="00181DB1"/>
    <w:rsid w:val="0018271B"/>
    <w:rsid w:val="001841DE"/>
    <w:rsid w:val="00187641"/>
    <w:rsid w:val="00190B1B"/>
    <w:rsid w:val="001912A1"/>
    <w:rsid w:val="00192061"/>
    <w:rsid w:val="00197F12"/>
    <w:rsid w:val="001A2C94"/>
    <w:rsid w:val="001A3644"/>
    <w:rsid w:val="001A789E"/>
    <w:rsid w:val="001B2C71"/>
    <w:rsid w:val="001B34A5"/>
    <w:rsid w:val="001C17BF"/>
    <w:rsid w:val="001C1BAE"/>
    <w:rsid w:val="001C553B"/>
    <w:rsid w:val="001C562A"/>
    <w:rsid w:val="001C6EBF"/>
    <w:rsid w:val="001D087E"/>
    <w:rsid w:val="001D4EC2"/>
    <w:rsid w:val="001E5799"/>
    <w:rsid w:val="001E5A08"/>
    <w:rsid w:val="001F1B35"/>
    <w:rsid w:val="002003EF"/>
    <w:rsid w:val="00200677"/>
    <w:rsid w:val="00201FB7"/>
    <w:rsid w:val="0020222B"/>
    <w:rsid w:val="00202E7B"/>
    <w:rsid w:val="002050A1"/>
    <w:rsid w:val="00206987"/>
    <w:rsid w:val="00206BD4"/>
    <w:rsid w:val="00210BF0"/>
    <w:rsid w:val="002112DD"/>
    <w:rsid w:val="00212902"/>
    <w:rsid w:val="00213DD2"/>
    <w:rsid w:val="00214BC6"/>
    <w:rsid w:val="00214EE6"/>
    <w:rsid w:val="00222C59"/>
    <w:rsid w:val="00227BA0"/>
    <w:rsid w:val="00230EFF"/>
    <w:rsid w:val="0023155B"/>
    <w:rsid w:val="00243D47"/>
    <w:rsid w:val="0025018C"/>
    <w:rsid w:val="00250BAD"/>
    <w:rsid w:val="00253848"/>
    <w:rsid w:val="00257546"/>
    <w:rsid w:val="0026190E"/>
    <w:rsid w:val="002675E1"/>
    <w:rsid w:val="002679EB"/>
    <w:rsid w:val="00271FFA"/>
    <w:rsid w:val="0027305A"/>
    <w:rsid w:val="00274006"/>
    <w:rsid w:val="002746CD"/>
    <w:rsid w:val="002754EE"/>
    <w:rsid w:val="00277431"/>
    <w:rsid w:val="00277F89"/>
    <w:rsid w:val="00280F81"/>
    <w:rsid w:val="00281903"/>
    <w:rsid w:val="002866B6"/>
    <w:rsid w:val="00287B37"/>
    <w:rsid w:val="002919AE"/>
    <w:rsid w:val="00292DB9"/>
    <w:rsid w:val="00293AF8"/>
    <w:rsid w:val="002944BA"/>
    <w:rsid w:val="00294EA3"/>
    <w:rsid w:val="002967E2"/>
    <w:rsid w:val="002969CF"/>
    <w:rsid w:val="00297236"/>
    <w:rsid w:val="002A0398"/>
    <w:rsid w:val="002A0F46"/>
    <w:rsid w:val="002A2DE5"/>
    <w:rsid w:val="002A3C5D"/>
    <w:rsid w:val="002A4078"/>
    <w:rsid w:val="002B0041"/>
    <w:rsid w:val="002B4257"/>
    <w:rsid w:val="002B589B"/>
    <w:rsid w:val="002C0947"/>
    <w:rsid w:val="002C09D8"/>
    <w:rsid w:val="002C0DF5"/>
    <w:rsid w:val="002C2393"/>
    <w:rsid w:val="002C314A"/>
    <w:rsid w:val="002C3A2E"/>
    <w:rsid w:val="002C3B78"/>
    <w:rsid w:val="002D352E"/>
    <w:rsid w:val="002E36D9"/>
    <w:rsid w:val="002E4D02"/>
    <w:rsid w:val="002E7797"/>
    <w:rsid w:val="002F2269"/>
    <w:rsid w:val="002F3F2D"/>
    <w:rsid w:val="002F75FD"/>
    <w:rsid w:val="002F77C6"/>
    <w:rsid w:val="002F7849"/>
    <w:rsid w:val="00301D6C"/>
    <w:rsid w:val="00303D27"/>
    <w:rsid w:val="00305B3C"/>
    <w:rsid w:val="003066D0"/>
    <w:rsid w:val="0031134F"/>
    <w:rsid w:val="00315798"/>
    <w:rsid w:val="00320193"/>
    <w:rsid w:val="003215F7"/>
    <w:rsid w:val="003329DD"/>
    <w:rsid w:val="00343B5B"/>
    <w:rsid w:val="00344867"/>
    <w:rsid w:val="0034493E"/>
    <w:rsid w:val="00345239"/>
    <w:rsid w:val="00346680"/>
    <w:rsid w:val="00350878"/>
    <w:rsid w:val="00351B49"/>
    <w:rsid w:val="003563DC"/>
    <w:rsid w:val="003578B5"/>
    <w:rsid w:val="003627C3"/>
    <w:rsid w:val="00364E0A"/>
    <w:rsid w:val="003734FE"/>
    <w:rsid w:val="00376150"/>
    <w:rsid w:val="00382D35"/>
    <w:rsid w:val="00384602"/>
    <w:rsid w:val="00384D84"/>
    <w:rsid w:val="00385E1E"/>
    <w:rsid w:val="003918EE"/>
    <w:rsid w:val="00391E66"/>
    <w:rsid w:val="00393761"/>
    <w:rsid w:val="00394485"/>
    <w:rsid w:val="003960DE"/>
    <w:rsid w:val="003968FA"/>
    <w:rsid w:val="00396D0E"/>
    <w:rsid w:val="003A2F83"/>
    <w:rsid w:val="003A3649"/>
    <w:rsid w:val="003A5F0E"/>
    <w:rsid w:val="003B1063"/>
    <w:rsid w:val="003C576E"/>
    <w:rsid w:val="003C5A95"/>
    <w:rsid w:val="003C7B8C"/>
    <w:rsid w:val="003D007C"/>
    <w:rsid w:val="003D0BEA"/>
    <w:rsid w:val="003D3044"/>
    <w:rsid w:val="003D4E23"/>
    <w:rsid w:val="003D7F40"/>
    <w:rsid w:val="003E0A01"/>
    <w:rsid w:val="003E0F63"/>
    <w:rsid w:val="003E243B"/>
    <w:rsid w:val="003E394E"/>
    <w:rsid w:val="003F7D46"/>
    <w:rsid w:val="004011DF"/>
    <w:rsid w:val="00401D3A"/>
    <w:rsid w:val="004064C9"/>
    <w:rsid w:val="00406656"/>
    <w:rsid w:val="004070CE"/>
    <w:rsid w:val="0040787E"/>
    <w:rsid w:val="00410B4F"/>
    <w:rsid w:val="0041160E"/>
    <w:rsid w:val="0042026B"/>
    <w:rsid w:val="004203AC"/>
    <w:rsid w:val="004218B1"/>
    <w:rsid w:val="00424093"/>
    <w:rsid w:val="0042696F"/>
    <w:rsid w:val="00427D9A"/>
    <w:rsid w:val="00433471"/>
    <w:rsid w:val="00440A3E"/>
    <w:rsid w:val="00451212"/>
    <w:rsid w:val="004514ED"/>
    <w:rsid w:val="004536F2"/>
    <w:rsid w:val="00456B17"/>
    <w:rsid w:val="00460222"/>
    <w:rsid w:val="004602BF"/>
    <w:rsid w:val="00460351"/>
    <w:rsid w:val="00461193"/>
    <w:rsid w:val="004619EC"/>
    <w:rsid w:val="0046201F"/>
    <w:rsid w:val="00465A3B"/>
    <w:rsid w:val="004667A8"/>
    <w:rsid w:val="00467435"/>
    <w:rsid w:val="00474D24"/>
    <w:rsid w:val="00477C52"/>
    <w:rsid w:val="00493C3C"/>
    <w:rsid w:val="00493F9C"/>
    <w:rsid w:val="0049504F"/>
    <w:rsid w:val="004A093E"/>
    <w:rsid w:val="004A6804"/>
    <w:rsid w:val="004A7ABC"/>
    <w:rsid w:val="004A7EF6"/>
    <w:rsid w:val="004B5605"/>
    <w:rsid w:val="004B6961"/>
    <w:rsid w:val="004C0AF3"/>
    <w:rsid w:val="004C11D5"/>
    <w:rsid w:val="004C1658"/>
    <w:rsid w:val="004C34D0"/>
    <w:rsid w:val="004C62E0"/>
    <w:rsid w:val="004C691B"/>
    <w:rsid w:val="004D3AD3"/>
    <w:rsid w:val="004D65F7"/>
    <w:rsid w:val="004E07A3"/>
    <w:rsid w:val="004E0A59"/>
    <w:rsid w:val="004E184D"/>
    <w:rsid w:val="004E191D"/>
    <w:rsid w:val="004E215E"/>
    <w:rsid w:val="004E3BB2"/>
    <w:rsid w:val="004E4E93"/>
    <w:rsid w:val="004F7193"/>
    <w:rsid w:val="00506518"/>
    <w:rsid w:val="00523503"/>
    <w:rsid w:val="00524014"/>
    <w:rsid w:val="00530024"/>
    <w:rsid w:val="00530B16"/>
    <w:rsid w:val="00532876"/>
    <w:rsid w:val="005354B5"/>
    <w:rsid w:val="0053644E"/>
    <w:rsid w:val="00537198"/>
    <w:rsid w:val="00542563"/>
    <w:rsid w:val="00550B49"/>
    <w:rsid w:val="00555B79"/>
    <w:rsid w:val="005602BA"/>
    <w:rsid w:val="00565B27"/>
    <w:rsid w:val="00571CF1"/>
    <w:rsid w:val="005746E0"/>
    <w:rsid w:val="005751E0"/>
    <w:rsid w:val="00577D98"/>
    <w:rsid w:val="00580DC9"/>
    <w:rsid w:val="00581829"/>
    <w:rsid w:val="00582293"/>
    <w:rsid w:val="00583A96"/>
    <w:rsid w:val="00590D3F"/>
    <w:rsid w:val="0059489E"/>
    <w:rsid w:val="005A0023"/>
    <w:rsid w:val="005A479D"/>
    <w:rsid w:val="005A5100"/>
    <w:rsid w:val="005B1F81"/>
    <w:rsid w:val="005B5F8E"/>
    <w:rsid w:val="005B77C5"/>
    <w:rsid w:val="005C3472"/>
    <w:rsid w:val="005C398A"/>
    <w:rsid w:val="005D43D0"/>
    <w:rsid w:val="005D480A"/>
    <w:rsid w:val="005D64D2"/>
    <w:rsid w:val="005E05FF"/>
    <w:rsid w:val="005E612F"/>
    <w:rsid w:val="005F1356"/>
    <w:rsid w:val="005F17CC"/>
    <w:rsid w:val="005F6197"/>
    <w:rsid w:val="005F7FB4"/>
    <w:rsid w:val="00601CC6"/>
    <w:rsid w:val="0060541B"/>
    <w:rsid w:val="00606A14"/>
    <w:rsid w:val="00607B9E"/>
    <w:rsid w:val="00611A3F"/>
    <w:rsid w:val="00612C5C"/>
    <w:rsid w:val="00621DFE"/>
    <w:rsid w:val="0062492D"/>
    <w:rsid w:val="00625AEB"/>
    <w:rsid w:val="00625E88"/>
    <w:rsid w:val="00626CE2"/>
    <w:rsid w:val="00627EE2"/>
    <w:rsid w:val="0063157C"/>
    <w:rsid w:val="00633AC1"/>
    <w:rsid w:val="00634101"/>
    <w:rsid w:val="006359BD"/>
    <w:rsid w:val="00641CD5"/>
    <w:rsid w:val="0064282E"/>
    <w:rsid w:val="006436CE"/>
    <w:rsid w:val="00644976"/>
    <w:rsid w:val="00644F52"/>
    <w:rsid w:val="006472CD"/>
    <w:rsid w:val="00647AA0"/>
    <w:rsid w:val="00652E15"/>
    <w:rsid w:val="00655B3A"/>
    <w:rsid w:val="006600CC"/>
    <w:rsid w:val="006600E6"/>
    <w:rsid w:val="00675C3E"/>
    <w:rsid w:val="006800B6"/>
    <w:rsid w:val="00681ABE"/>
    <w:rsid w:val="00682F40"/>
    <w:rsid w:val="00692C5F"/>
    <w:rsid w:val="00694645"/>
    <w:rsid w:val="006959E8"/>
    <w:rsid w:val="006A09AD"/>
    <w:rsid w:val="006A2A77"/>
    <w:rsid w:val="006A7126"/>
    <w:rsid w:val="006B0C69"/>
    <w:rsid w:val="006B7E8D"/>
    <w:rsid w:val="006C193D"/>
    <w:rsid w:val="006C5C55"/>
    <w:rsid w:val="006C6286"/>
    <w:rsid w:val="006C6A64"/>
    <w:rsid w:val="006D0D95"/>
    <w:rsid w:val="006D3424"/>
    <w:rsid w:val="006D3918"/>
    <w:rsid w:val="006D6D0B"/>
    <w:rsid w:val="006E007E"/>
    <w:rsid w:val="006E029D"/>
    <w:rsid w:val="006F120F"/>
    <w:rsid w:val="006F1A34"/>
    <w:rsid w:val="006F1ACC"/>
    <w:rsid w:val="006F7024"/>
    <w:rsid w:val="00700649"/>
    <w:rsid w:val="0070146D"/>
    <w:rsid w:val="007040E5"/>
    <w:rsid w:val="00706CBB"/>
    <w:rsid w:val="00711622"/>
    <w:rsid w:val="00711677"/>
    <w:rsid w:val="00711E69"/>
    <w:rsid w:val="00712537"/>
    <w:rsid w:val="00712B1E"/>
    <w:rsid w:val="00712F58"/>
    <w:rsid w:val="00725094"/>
    <w:rsid w:val="00730904"/>
    <w:rsid w:val="00735924"/>
    <w:rsid w:val="00735E0D"/>
    <w:rsid w:val="007365FE"/>
    <w:rsid w:val="00740F02"/>
    <w:rsid w:val="0074260F"/>
    <w:rsid w:val="007442A7"/>
    <w:rsid w:val="00747036"/>
    <w:rsid w:val="00750338"/>
    <w:rsid w:val="0075343D"/>
    <w:rsid w:val="007604B3"/>
    <w:rsid w:val="007667C3"/>
    <w:rsid w:val="00774FD8"/>
    <w:rsid w:val="0077640B"/>
    <w:rsid w:val="00783C12"/>
    <w:rsid w:val="0078588B"/>
    <w:rsid w:val="007863F4"/>
    <w:rsid w:val="00790BD2"/>
    <w:rsid w:val="007943C1"/>
    <w:rsid w:val="007949E5"/>
    <w:rsid w:val="0079578F"/>
    <w:rsid w:val="007A1715"/>
    <w:rsid w:val="007A502F"/>
    <w:rsid w:val="007A512F"/>
    <w:rsid w:val="007B030E"/>
    <w:rsid w:val="007B38C7"/>
    <w:rsid w:val="007B3EDB"/>
    <w:rsid w:val="007B50F4"/>
    <w:rsid w:val="007C01A6"/>
    <w:rsid w:val="007C2EAF"/>
    <w:rsid w:val="007C3E07"/>
    <w:rsid w:val="007C4949"/>
    <w:rsid w:val="007C7430"/>
    <w:rsid w:val="007D1E4F"/>
    <w:rsid w:val="007D6B77"/>
    <w:rsid w:val="007F074D"/>
    <w:rsid w:val="007F0AD7"/>
    <w:rsid w:val="007F2548"/>
    <w:rsid w:val="007F26BF"/>
    <w:rsid w:val="007F282C"/>
    <w:rsid w:val="007F3359"/>
    <w:rsid w:val="007F37BE"/>
    <w:rsid w:val="007F4F46"/>
    <w:rsid w:val="0080155E"/>
    <w:rsid w:val="0080594E"/>
    <w:rsid w:val="00811781"/>
    <w:rsid w:val="00812D15"/>
    <w:rsid w:val="0081351A"/>
    <w:rsid w:val="0081693C"/>
    <w:rsid w:val="0081725D"/>
    <w:rsid w:val="00822B00"/>
    <w:rsid w:val="008235A2"/>
    <w:rsid w:val="00824503"/>
    <w:rsid w:val="008320AF"/>
    <w:rsid w:val="0083326E"/>
    <w:rsid w:val="008379BA"/>
    <w:rsid w:val="00841AA2"/>
    <w:rsid w:val="008450D4"/>
    <w:rsid w:val="00845C40"/>
    <w:rsid w:val="00847F19"/>
    <w:rsid w:val="00852C7D"/>
    <w:rsid w:val="0085357E"/>
    <w:rsid w:val="0085370B"/>
    <w:rsid w:val="00864EAD"/>
    <w:rsid w:val="00867A89"/>
    <w:rsid w:val="00872150"/>
    <w:rsid w:val="00873EBC"/>
    <w:rsid w:val="00884250"/>
    <w:rsid w:val="00886EFE"/>
    <w:rsid w:val="00891017"/>
    <w:rsid w:val="008973E5"/>
    <w:rsid w:val="00897994"/>
    <w:rsid w:val="008A220D"/>
    <w:rsid w:val="008A3C01"/>
    <w:rsid w:val="008B0CF2"/>
    <w:rsid w:val="008B18EB"/>
    <w:rsid w:val="008B2EA8"/>
    <w:rsid w:val="008C1CEF"/>
    <w:rsid w:val="008C5129"/>
    <w:rsid w:val="008C55F2"/>
    <w:rsid w:val="008E0208"/>
    <w:rsid w:val="008E1578"/>
    <w:rsid w:val="008E1C55"/>
    <w:rsid w:val="008F0733"/>
    <w:rsid w:val="008F145C"/>
    <w:rsid w:val="008F662D"/>
    <w:rsid w:val="009022C0"/>
    <w:rsid w:val="009063B3"/>
    <w:rsid w:val="00906AC7"/>
    <w:rsid w:val="0091000D"/>
    <w:rsid w:val="00912B1D"/>
    <w:rsid w:val="009149A0"/>
    <w:rsid w:val="009251A7"/>
    <w:rsid w:val="009252AD"/>
    <w:rsid w:val="00925C2E"/>
    <w:rsid w:val="00930AAD"/>
    <w:rsid w:val="009353F0"/>
    <w:rsid w:val="0093603D"/>
    <w:rsid w:val="0093668A"/>
    <w:rsid w:val="00942525"/>
    <w:rsid w:val="00944C68"/>
    <w:rsid w:val="009505C5"/>
    <w:rsid w:val="009512DC"/>
    <w:rsid w:val="009551C3"/>
    <w:rsid w:val="00962BCC"/>
    <w:rsid w:val="00963F23"/>
    <w:rsid w:val="00965546"/>
    <w:rsid w:val="009661E2"/>
    <w:rsid w:val="00973C75"/>
    <w:rsid w:val="00974075"/>
    <w:rsid w:val="00975A8F"/>
    <w:rsid w:val="0097693F"/>
    <w:rsid w:val="009823B0"/>
    <w:rsid w:val="009843EF"/>
    <w:rsid w:val="0098468C"/>
    <w:rsid w:val="00984BD3"/>
    <w:rsid w:val="00990E16"/>
    <w:rsid w:val="009954EA"/>
    <w:rsid w:val="00996650"/>
    <w:rsid w:val="009B420E"/>
    <w:rsid w:val="009B44EA"/>
    <w:rsid w:val="009B5BF9"/>
    <w:rsid w:val="009B77E9"/>
    <w:rsid w:val="009C0DCF"/>
    <w:rsid w:val="009C14B0"/>
    <w:rsid w:val="009C3D48"/>
    <w:rsid w:val="009C4485"/>
    <w:rsid w:val="009C6B5B"/>
    <w:rsid w:val="009D2817"/>
    <w:rsid w:val="009D47B6"/>
    <w:rsid w:val="009D5322"/>
    <w:rsid w:val="009D5DBA"/>
    <w:rsid w:val="009D5FA3"/>
    <w:rsid w:val="009D7CAB"/>
    <w:rsid w:val="009D7F2A"/>
    <w:rsid w:val="009E446B"/>
    <w:rsid w:val="009E471D"/>
    <w:rsid w:val="009E61CF"/>
    <w:rsid w:val="009E6F7A"/>
    <w:rsid w:val="009E72BB"/>
    <w:rsid w:val="009F1F9C"/>
    <w:rsid w:val="009F21AC"/>
    <w:rsid w:val="009F367E"/>
    <w:rsid w:val="009F6397"/>
    <w:rsid w:val="009F63DD"/>
    <w:rsid w:val="009F66A3"/>
    <w:rsid w:val="009F6E94"/>
    <w:rsid w:val="00A00EDE"/>
    <w:rsid w:val="00A0309C"/>
    <w:rsid w:val="00A0676E"/>
    <w:rsid w:val="00A07A74"/>
    <w:rsid w:val="00A102E4"/>
    <w:rsid w:val="00A12B6D"/>
    <w:rsid w:val="00A13404"/>
    <w:rsid w:val="00A14265"/>
    <w:rsid w:val="00A17905"/>
    <w:rsid w:val="00A2648C"/>
    <w:rsid w:val="00A31CC5"/>
    <w:rsid w:val="00A32F2B"/>
    <w:rsid w:val="00A34B50"/>
    <w:rsid w:val="00A43B8E"/>
    <w:rsid w:val="00A442B5"/>
    <w:rsid w:val="00A467E5"/>
    <w:rsid w:val="00A46EF0"/>
    <w:rsid w:val="00A50080"/>
    <w:rsid w:val="00A54DE9"/>
    <w:rsid w:val="00A579B3"/>
    <w:rsid w:val="00A62418"/>
    <w:rsid w:val="00A633FA"/>
    <w:rsid w:val="00A63BB2"/>
    <w:rsid w:val="00A67773"/>
    <w:rsid w:val="00A76D2E"/>
    <w:rsid w:val="00A77AE9"/>
    <w:rsid w:val="00A807F8"/>
    <w:rsid w:val="00A80C5D"/>
    <w:rsid w:val="00A823F0"/>
    <w:rsid w:val="00A82965"/>
    <w:rsid w:val="00A87B48"/>
    <w:rsid w:val="00A87F0B"/>
    <w:rsid w:val="00A9032A"/>
    <w:rsid w:val="00A91821"/>
    <w:rsid w:val="00A91E13"/>
    <w:rsid w:val="00A926E0"/>
    <w:rsid w:val="00A93622"/>
    <w:rsid w:val="00A93BFE"/>
    <w:rsid w:val="00A93DF5"/>
    <w:rsid w:val="00AA1D7D"/>
    <w:rsid w:val="00AB2A30"/>
    <w:rsid w:val="00AB37E3"/>
    <w:rsid w:val="00AC0E1F"/>
    <w:rsid w:val="00AC58D8"/>
    <w:rsid w:val="00AD56B6"/>
    <w:rsid w:val="00AE2B86"/>
    <w:rsid w:val="00AE4C03"/>
    <w:rsid w:val="00AE5BD4"/>
    <w:rsid w:val="00AE7566"/>
    <w:rsid w:val="00AF3E3A"/>
    <w:rsid w:val="00AF4DA6"/>
    <w:rsid w:val="00AF647D"/>
    <w:rsid w:val="00AF752A"/>
    <w:rsid w:val="00AF768D"/>
    <w:rsid w:val="00B00C72"/>
    <w:rsid w:val="00B03D19"/>
    <w:rsid w:val="00B05515"/>
    <w:rsid w:val="00B05856"/>
    <w:rsid w:val="00B059D6"/>
    <w:rsid w:val="00B10660"/>
    <w:rsid w:val="00B11030"/>
    <w:rsid w:val="00B157C0"/>
    <w:rsid w:val="00B206CA"/>
    <w:rsid w:val="00B22709"/>
    <w:rsid w:val="00B25D89"/>
    <w:rsid w:val="00B3025A"/>
    <w:rsid w:val="00B33A55"/>
    <w:rsid w:val="00B33CAD"/>
    <w:rsid w:val="00B4000A"/>
    <w:rsid w:val="00B42CDD"/>
    <w:rsid w:val="00B441E6"/>
    <w:rsid w:val="00B45F46"/>
    <w:rsid w:val="00B478FC"/>
    <w:rsid w:val="00B51AF1"/>
    <w:rsid w:val="00B526EA"/>
    <w:rsid w:val="00B554A6"/>
    <w:rsid w:val="00B572F9"/>
    <w:rsid w:val="00B5744E"/>
    <w:rsid w:val="00B61D20"/>
    <w:rsid w:val="00B62AF9"/>
    <w:rsid w:val="00B64287"/>
    <w:rsid w:val="00B64658"/>
    <w:rsid w:val="00B7231C"/>
    <w:rsid w:val="00B73F71"/>
    <w:rsid w:val="00B77152"/>
    <w:rsid w:val="00B83BF0"/>
    <w:rsid w:val="00B85667"/>
    <w:rsid w:val="00B9045F"/>
    <w:rsid w:val="00B91C0F"/>
    <w:rsid w:val="00B94EF4"/>
    <w:rsid w:val="00BA05ED"/>
    <w:rsid w:val="00BA126D"/>
    <w:rsid w:val="00BA2EFA"/>
    <w:rsid w:val="00BA324F"/>
    <w:rsid w:val="00BA51DD"/>
    <w:rsid w:val="00BA5E3C"/>
    <w:rsid w:val="00BA66F1"/>
    <w:rsid w:val="00BA6F8A"/>
    <w:rsid w:val="00BA7186"/>
    <w:rsid w:val="00BB3E22"/>
    <w:rsid w:val="00BB40EE"/>
    <w:rsid w:val="00BB419E"/>
    <w:rsid w:val="00BB6ACA"/>
    <w:rsid w:val="00BC1516"/>
    <w:rsid w:val="00BC3829"/>
    <w:rsid w:val="00BD5FF1"/>
    <w:rsid w:val="00BD6317"/>
    <w:rsid w:val="00BE1513"/>
    <w:rsid w:val="00BE2C11"/>
    <w:rsid w:val="00BE6624"/>
    <w:rsid w:val="00BE7E43"/>
    <w:rsid w:val="00BF025A"/>
    <w:rsid w:val="00BF20A4"/>
    <w:rsid w:val="00BF2727"/>
    <w:rsid w:val="00C02818"/>
    <w:rsid w:val="00C03DD2"/>
    <w:rsid w:val="00C05F92"/>
    <w:rsid w:val="00C07E75"/>
    <w:rsid w:val="00C13A30"/>
    <w:rsid w:val="00C156CA"/>
    <w:rsid w:val="00C15A9F"/>
    <w:rsid w:val="00C17DF9"/>
    <w:rsid w:val="00C224ED"/>
    <w:rsid w:val="00C22619"/>
    <w:rsid w:val="00C22895"/>
    <w:rsid w:val="00C23157"/>
    <w:rsid w:val="00C241F5"/>
    <w:rsid w:val="00C2456F"/>
    <w:rsid w:val="00C25F0B"/>
    <w:rsid w:val="00C305D1"/>
    <w:rsid w:val="00C33AF2"/>
    <w:rsid w:val="00C33FB2"/>
    <w:rsid w:val="00C36374"/>
    <w:rsid w:val="00C50747"/>
    <w:rsid w:val="00C521F3"/>
    <w:rsid w:val="00C52A75"/>
    <w:rsid w:val="00C52BA5"/>
    <w:rsid w:val="00C54B1F"/>
    <w:rsid w:val="00C55AD9"/>
    <w:rsid w:val="00C70046"/>
    <w:rsid w:val="00C70DED"/>
    <w:rsid w:val="00C7155A"/>
    <w:rsid w:val="00C73D5C"/>
    <w:rsid w:val="00C74774"/>
    <w:rsid w:val="00C75FFF"/>
    <w:rsid w:val="00C802B4"/>
    <w:rsid w:val="00C8128D"/>
    <w:rsid w:val="00C8660E"/>
    <w:rsid w:val="00C87127"/>
    <w:rsid w:val="00CA2203"/>
    <w:rsid w:val="00CA2671"/>
    <w:rsid w:val="00CA2711"/>
    <w:rsid w:val="00CA27D8"/>
    <w:rsid w:val="00CA7CB2"/>
    <w:rsid w:val="00CB0436"/>
    <w:rsid w:val="00CB218B"/>
    <w:rsid w:val="00CC0EFE"/>
    <w:rsid w:val="00CC1801"/>
    <w:rsid w:val="00CC1AF1"/>
    <w:rsid w:val="00CC2D75"/>
    <w:rsid w:val="00CC6372"/>
    <w:rsid w:val="00CD0108"/>
    <w:rsid w:val="00CD20EC"/>
    <w:rsid w:val="00CD46B9"/>
    <w:rsid w:val="00CD59CA"/>
    <w:rsid w:val="00CD7C2C"/>
    <w:rsid w:val="00CE01C7"/>
    <w:rsid w:val="00CE1A0A"/>
    <w:rsid w:val="00CE31CB"/>
    <w:rsid w:val="00CE3DEE"/>
    <w:rsid w:val="00CE6703"/>
    <w:rsid w:val="00CE74C6"/>
    <w:rsid w:val="00CF07CF"/>
    <w:rsid w:val="00CF3D32"/>
    <w:rsid w:val="00CF4675"/>
    <w:rsid w:val="00CF564E"/>
    <w:rsid w:val="00D04E98"/>
    <w:rsid w:val="00D0587A"/>
    <w:rsid w:val="00D05E57"/>
    <w:rsid w:val="00D10943"/>
    <w:rsid w:val="00D163FD"/>
    <w:rsid w:val="00D17C9C"/>
    <w:rsid w:val="00D229D0"/>
    <w:rsid w:val="00D23EBC"/>
    <w:rsid w:val="00D33930"/>
    <w:rsid w:val="00D346AA"/>
    <w:rsid w:val="00D348B0"/>
    <w:rsid w:val="00D402D5"/>
    <w:rsid w:val="00D419A5"/>
    <w:rsid w:val="00D41A17"/>
    <w:rsid w:val="00D43F4F"/>
    <w:rsid w:val="00D51615"/>
    <w:rsid w:val="00D51D91"/>
    <w:rsid w:val="00D526EF"/>
    <w:rsid w:val="00D52FEB"/>
    <w:rsid w:val="00D545A5"/>
    <w:rsid w:val="00D6408F"/>
    <w:rsid w:val="00D64E93"/>
    <w:rsid w:val="00D65E96"/>
    <w:rsid w:val="00D662C3"/>
    <w:rsid w:val="00D734C2"/>
    <w:rsid w:val="00D8120A"/>
    <w:rsid w:val="00D8233D"/>
    <w:rsid w:val="00D83883"/>
    <w:rsid w:val="00D84D25"/>
    <w:rsid w:val="00D8551D"/>
    <w:rsid w:val="00D8684C"/>
    <w:rsid w:val="00D877A9"/>
    <w:rsid w:val="00D87820"/>
    <w:rsid w:val="00D9053C"/>
    <w:rsid w:val="00D92855"/>
    <w:rsid w:val="00D95C83"/>
    <w:rsid w:val="00DA2DB1"/>
    <w:rsid w:val="00DB15CE"/>
    <w:rsid w:val="00DB450E"/>
    <w:rsid w:val="00DB471D"/>
    <w:rsid w:val="00DB5FB1"/>
    <w:rsid w:val="00DB7625"/>
    <w:rsid w:val="00DC1FF9"/>
    <w:rsid w:val="00DC2A69"/>
    <w:rsid w:val="00DC753E"/>
    <w:rsid w:val="00DD2CBA"/>
    <w:rsid w:val="00DD3756"/>
    <w:rsid w:val="00DD5D43"/>
    <w:rsid w:val="00DE3B0C"/>
    <w:rsid w:val="00DE5BA7"/>
    <w:rsid w:val="00DF4FF8"/>
    <w:rsid w:val="00DF6404"/>
    <w:rsid w:val="00E00516"/>
    <w:rsid w:val="00E02D0D"/>
    <w:rsid w:val="00E035C1"/>
    <w:rsid w:val="00E04B6E"/>
    <w:rsid w:val="00E050D2"/>
    <w:rsid w:val="00E05BE4"/>
    <w:rsid w:val="00E06654"/>
    <w:rsid w:val="00E10717"/>
    <w:rsid w:val="00E10B75"/>
    <w:rsid w:val="00E11744"/>
    <w:rsid w:val="00E12CF0"/>
    <w:rsid w:val="00E13926"/>
    <w:rsid w:val="00E146D2"/>
    <w:rsid w:val="00E1610E"/>
    <w:rsid w:val="00E22580"/>
    <w:rsid w:val="00E22A40"/>
    <w:rsid w:val="00E25768"/>
    <w:rsid w:val="00E25DCF"/>
    <w:rsid w:val="00E2604D"/>
    <w:rsid w:val="00E27065"/>
    <w:rsid w:val="00E278BB"/>
    <w:rsid w:val="00E338A2"/>
    <w:rsid w:val="00E34CC7"/>
    <w:rsid w:val="00E4759A"/>
    <w:rsid w:val="00E477BA"/>
    <w:rsid w:val="00E52A75"/>
    <w:rsid w:val="00E66554"/>
    <w:rsid w:val="00E74564"/>
    <w:rsid w:val="00E75C18"/>
    <w:rsid w:val="00E77FEF"/>
    <w:rsid w:val="00E9107C"/>
    <w:rsid w:val="00E917D4"/>
    <w:rsid w:val="00E92C7A"/>
    <w:rsid w:val="00EA1F74"/>
    <w:rsid w:val="00EA2DC2"/>
    <w:rsid w:val="00EA5E77"/>
    <w:rsid w:val="00EA6BF6"/>
    <w:rsid w:val="00EB0435"/>
    <w:rsid w:val="00EB24B0"/>
    <w:rsid w:val="00EB3FB9"/>
    <w:rsid w:val="00EB47FF"/>
    <w:rsid w:val="00EB6EF9"/>
    <w:rsid w:val="00ED258D"/>
    <w:rsid w:val="00ED79A1"/>
    <w:rsid w:val="00EE3778"/>
    <w:rsid w:val="00EE3D09"/>
    <w:rsid w:val="00EE653E"/>
    <w:rsid w:val="00EE77F5"/>
    <w:rsid w:val="00EF2C38"/>
    <w:rsid w:val="00EF3B18"/>
    <w:rsid w:val="00EF4786"/>
    <w:rsid w:val="00EF4C2E"/>
    <w:rsid w:val="00EF4C3E"/>
    <w:rsid w:val="00EF4FC2"/>
    <w:rsid w:val="00F0034E"/>
    <w:rsid w:val="00F021F5"/>
    <w:rsid w:val="00F030D3"/>
    <w:rsid w:val="00F06939"/>
    <w:rsid w:val="00F077AD"/>
    <w:rsid w:val="00F10E44"/>
    <w:rsid w:val="00F112FC"/>
    <w:rsid w:val="00F136A5"/>
    <w:rsid w:val="00F15116"/>
    <w:rsid w:val="00F17933"/>
    <w:rsid w:val="00F2500E"/>
    <w:rsid w:val="00F255DE"/>
    <w:rsid w:val="00F30582"/>
    <w:rsid w:val="00F440A2"/>
    <w:rsid w:val="00F464D1"/>
    <w:rsid w:val="00F53C69"/>
    <w:rsid w:val="00F56BD8"/>
    <w:rsid w:val="00F56ED7"/>
    <w:rsid w:val="00F63BA8"/>
    <w:rsid w:val="00F6439E"/>
    <w:rsid w:val="00F71A2C"/>
    <w:rsid w:val="00F7306B"/>
    <w:rsid w:val="00F73B09"/>
    <w:rsid w:val="00F82982"/>
    <w:rsid w:val="00F84EA6"/>
    <w:rsid w:val="00F850E9"/>
    <w:rsid w:val="00F8528A"/>
    <w:rsid w:val="00F925B8"/>
    <w:rsid w:val="00F96352"/>
    <w:rsid w:val="00F96D10"/>
    <w:rsid w:val="00FB157D"/>
    <w:rsid w:val="00FB7AC6"/>
    <w:rsid w:val="00FC3E5E"/>
    <w:rsid w:val="00FC4DE1"/>
    <w:rsid w:val="00FC6DE7"/>
    <w:rsid w:val="00FD046D"/>
    <w:rsid w:val="00FD2F13"/>
    <w:rsid w:val="00FE109E"/>
    <w:rsid w:val="00FE2653"/>
    <w:rsid w:val="00FE4052"/>
    <w:rsid w:val="00FE472C"/>
    <w:rsid w:val="00FE542A"/>
    <w:rsid w:val="00FE6C8D"/>
    <w:rsid w:val="00FF5018"/>
    <w:rsid w:val="00FF568F"/>
    <w:rsid w:val="00FF6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ADAA80"/>
  <w15:chartTrackingRefBased/>
  <w15:docId w15:val="{206647D8-1C41-487A-B0A5-A18CEFB1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7BF"/>
    <w:pPr>
      <w:spacing w:before="120" w:after="240" w:line="264" w:lineRule="auto"/>
    </w:pPr>
    <w:rPr>
      <w:rFonts w:ascii="Arial" w:hAnsi="Arial"/>
      <w:sz w:val="24"/>
      <w:szCs w:val="24"/>
    </w:rPr>
  </w:style>
  <w:style w:type="paragraph" w:styleId="Heading1">
    <w:name w:val="heading 1"/>
    <w:basedOn w:val="Normal"/>
    <w:link w:val="Heading1Char"/>
    <w:uiPriority w:val="9"/>
    <w:qFormat/>
    <w:rsid w:val="002A3C5D"/>
    <w:pPr>
      <w:keepNext/>
      <w:keepLines/>
      <w:spacing w:before="3000" w:after="0"/>
      <w:outlineLvl w:val="0"/>
    </w:pPr>
    <w:rPr>
      <w:rFonts w:eastAsiaTheme="majorEastAsia" w:cstheme="majorBidi"/>
      <w:b/>
      <w:color w:val="D11D66"/>
      <w:sz w:val="72"/>
      <w:szCs w:val="72"/>
      <w:lang w:val="en-GB"/>
    </w:rPr>
  </w:style>
  <w:style w:type="paragraph" w:styleId="Heading2">
    <w:name w:val="heading 2"/>
    <w:basedOn w:val="Normal"/>
    <w:link w:val="Heading2Char"/>
    <w:uiPriority w:val="9"/>
    <w:unhideWhenUsed/>
    <w:qFormat/>
    <w:rsid w:val="002A3C5D"/>
    <w:pPr>
      <w:outlineLvl w:val="1"/>
    </w:pPr>
    <w:rPr>
      <w:b/>
      <w:bCs/>
      <w:color w:val="6C1B66"/>
      <w:sz w:val="72"/>
      <w:szCs w:val="72"/>
    </w:rPr>
  </w:style>
  <w:style w:type="paragraph" w:styleId="Heading3">
    <w:name w:val="heading 3"/>
    <w:basedOn w:val="Normal"/>
    <w:next w:val="Normal"/>
    <w:link w:val="Heading3Char"/>
    <w:uiPriority w:val="9"/>
    <w:unhideWhenUsed/>
    <w:qFormat/>
    <w:rsid w:val="002A3C5D"/>
    <w:pPr>
      <w:spacing w:before="480" w:after="120"/>
      <w:outlineLvl w:val="2"/>
    </w:pPr>
    <w:rPr>
      <w:b/>
      <w:bCs/>
      <w:color w:val="1E1F58"/>
      <w:sz w:val="48"/>
      <w:szCs w:val="48"/>
    </w:rPr>
  </w:style>
  <w:style w:type="paragraph" w:styleId="Heading4">
    <w:name w:val="heading 4"/>
    <w:basedOn w:val="Normal"/>
    <w:link w:val="Heading4Char"/>
    <w:uiPriority w:val="9"/>
    <w:unhideWhenUsed/>
    <w:qFormat/>
    <w:rsid w:val="002A3C5D"/>
    <w:pPr>
      <w:spacing w:before="360"/>
      <w:outlineLvl w:val="3"/>
    </w:pPr>
    <w:rPr>
      <w:b/>
      <w:bCs/>
      <w:color w:val="005C7F"/>
      <w:sz w:val="32"/>
      <w:szCs w:val="32"/>
    </w:rPr>
  </w:style>
  <w:style w:type="paragraph" w:styleId="Heading5">
    <w:name w:val="heading 5"/>
    <w:basedOn w:val="Normal"/>
    <w:link w:val="Heading5Char"/>
    <w:uiPriority w:val="9"/>
    <w:unhideWhenUsed/>
    <w:qFormat/>
    <w:rsid w:val="009E471D"/>
    <w:pPr>
      <w:spacing w:before="240" w:after="120"/>
      <w:outlineLvl w:val="4"/>
    </w:pPr>
    <w:rPr>
      <w:b/>
      <w:bCs/>
      <w:color w:val="1E1F58"/>
      <w:sz w:val="28"/>
      <w:szCs w:val="28"/>
    </w:rPr>
  </w:style>
  <w:style w:type="paragraph" w:styleId="Heading6">
    <w:name w:val="heading 6"/>
    <w:basedOn w:val="Normal"/>
    <w:next w:val="Normal"/>
    <w:link w:val="Heading6Char"/>
    <w:uiPriority w:val="9"/>
    <w:unhideWhenUsed/>
    <w:rsid w:val="00CA2203"/>
    <w:pPr>
      <w:spacing w:before="240" w:after="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3C5D"/>
    <w:rPr>
      <w:rFonts w:ascii="Arial" w:hAnsi="Arial"/>
      <w:b/>
      <w:bCs/>
      <w:color w:val="005C7F"/>
      <w:sz w:val="32"/>
      <w:szCs w:val="32"/>
    </w:rPr>
  </w:style>
  <w:style w:type="character" w:styleId="Strong">
    <w:name w:val="Strong"/>
    <w:uiPriority w:val="22"/>
    <w:qFormat/>
    <w:rsid w:val="00293AF8"/>
    <w:rPr>
      <w:b/>
      <w:bCs/>
    </w:rPr>
  </w:style>
  <w:style w:type="character" w:styleId="Emphasis">
    <w:name w:val="Emphasis"/>
    <w:uiPriority w:val="20"/>
    <w:qFormat/>
    <w:rsid w:val="006F1A34"/>
    <w:rPr>
      <w:i/>
      <w:iCs/>
    </w:rPr>
  </w:style>
  <w:style w:type="paragraph" w:styleId="Header">
    <w:name w:val="header"/>
    <w:basedOn w:val="Normal"/>
    <w:link w:val="HeaderChar"/>
    <w:uiPriority w:val="99"/>
    <w:unhideWhenUsed/>
    <w:rsid w:val="009954EA"/>
    <w:pPr>
      <w:tabs>
        <w:tab w:val="center" w:pos="4513"/>
        <w:tab w:val="right" w:pos="9026"/>
      </w:tabs>
      <w:spacing w:after="0"/>
    </w:pPr>
  </w:style>
  <w:style w:type="character" w:customStyle="1" w:styleId="HeaderChar">
    <w:name w:val="Header Char"/>
    <w:basedOn w:val="DefaultParagraphFont"/>
    <w:link w:val="Header"/>
    <w:uiPriority w:val="99"/>
    <w:rsid w:val="009954EA"/>
  </w:style>
  <w:style w:type="paragraph" w:styleId="Footer">
    <w:name w:val="footer"/>
    <w:basedOn w:val="Normal"/>
    <w:link w:val="FooterChar"/>
    <w:uiPriority w:val="99"/>
    <w:unhideWhenUsed/>
    <w:rsid w:val="00DF6404"/>
    <w:pPr>
      <w:tabs>
        <w:tab w:val="center" w:pos="4513"/>
        <w:tab w:val="right" w:pos="9026"/>
      </w:tabs>
      <w:spacing w:after="0"/>
    </w:pPr>
    <w:rPr>
      <w:rFonts w:cstheme="minorHAnsi"/>
      <w:sz w:val="20"/>
      <w:szCs w:val="20"/>
      <w:lang w:val="en-US"/>
    </w:rPr>
  </w:style>
  <w:style w:type="character" w:customStyle="1" w:styleId="FooterChar">
    <w:name w:val="Footer Char"/>
    <w:basedOn w:val="DefaultParagraphFont"/>
    <w:link w:val="Footer"/>
    <w:uiPriority w:val="99"/>
    <w:rsid w:val="00DF6404"/>
    <w:rPr>
      <w:rFonts w:ascii="Arial" w:hAnsi="Arial" w:cstheme="minorHAnsi"/>
      <w:sz w:val="20"/>
      <w:szCs w:val="20"/>
      <w:lang w:val="en-US"/>
    </w:rPr>
  </w:style>
  <w:style w:type="paragraph" w:styleId="Title">
    <w:name w:val="Title"/>
    <w:basedOn w:val="Normal"/>
    <w:next w:val="Normal"/>
    <w:link w:val="TitleChar"/>
    <w:uiPriority w:val="10"/>
    <w:rsid w:val="009954E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4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3C5D"/>
    <w:rPr>
      <w:rFonts w:ascii="Arial" w:eastAsiaTheme="majorEastAsia" w:hAnsi="Arial" w:cstheme="majorBidi"/>
      <w:b/>
      <w:color w:val="D11D66"/>
      <w:sz w:val="72"/>
      <w:szCs w:val="72"/>
      <w:lang w:val="en-GB"/>
    </w:rPr>
  </w:style>
  <w:style w:type="paragraph" w:styleId="Subtitle">
    <w:name w:val="Subtitle"/>
    <w:basedOn w:val="Normal"/>
    <w:next w:val="Normal"/>
    <w:link w:val="SubtitleChar"/>
    <w:uiPriority w:val="11"/>
    <w:rsid w:val="00CA2203"/>
    <w:pPr>
      <w:spacing w:before="240"/>
    </w:pPr>
    <w:rPr>
      <w:rFonts w:cstheme="minorHAnsi"/>
      <w:sz w:val="28"/>
      <w:szCs w:val="28"/>
      <w:lang w:val="en-GB"/>
    </w:rPr>
  </w:style>
  <w:style w:type="character" w:customStyle="1" w:styleId="SubtitleChar">
    <w:name w:val="Subtitle Char"/>
    <w:basedOn w:val="DefaultParagraphFont"/>
    <w:link w:val="Subtitle"/>
    <w:uiPriority w:val="11"/>
    <w:rsid w:val="00CA2203"/>
    <w:rPr>
      <w:rFonts w:ascii="Arial" w:hAnsi="Arial" w:cstheme="minorHAnsi"/>
      <w:sz w:val="28"/>
      <w:szCs w:val="28"/>
      <w:lang w:val="en-GB"/>
    </w:rPr>
  </w:style>
  <w:style w:type="character" w:customStyle="1" w:styleId="Heading2Char">
    <w:name w:val="Heading 2 Char"/>
    <w:basedOn w:val="DefaultParagraphFont"/>
    <w:link w:val="Heading2"/>
    <w:uiPriority w:val="9"/>
    <w:rsid w:val="002A3C5D"/>
    <w:rPr>
      <w:rFonts w:ascii="Arial" w:hAnsi="Arial"/>
      <w:b/>
      <w:bCs/>
      <w:color w:val="6C1B66"/>
      <w:sz w:val="72"/>
      <w:szCs w:val="72"/>
    </w:rPr>
  </w:style>
  <w:style w:type="character" w:customStyle="1" w:styleId="Heading3Char">
    <w:name w:val="Heading 3 Char"/>
    <w:basedOn w:val="DefaultParagraphFont"/>
    <w:link w:val="Heading3"/>
    <w:uiPriority w:val="9"/>
    <w:rsid w:val="002A3C5D"/>
    <w:rPr>
      <w:rFonts w:ascii="Arial" w:hAnsi="Arial"/>
      <w:b/>
      <w:bCs/>
      <w:color w:val="1E1F58"/>
      <w:sz w:val="48"/>
      <w:szCs w:val="48"/>
    </w:rPr>
  </w:style>
  <w:style w:type="paragraph" w:styleId="ListParagraph">
    <w:name w:val="List Paragraph"/>
    <w:basedOn w:val="Normal"/>
    <w:uiPriority w:val="34"/>
    <w:qFormat/>
    <w:rsid w:val="00822B00"/>
    <w:pPr>
      <w:numPr>
        <w:numId w:val="1"/>
      </w:numPr>
      <w:ind w:left="357" w:hanging="357"/>
      <w:contextualSpacing/>
    </w:pPr>
  </w:style>
  <w:style w:type="character" w:customStyle="1" w:styleId="Heading5Char">
    <w:name w:val="Heading 5 Char"/>
    <w:basedOn w:val="DefaultParagraphFont"/>
    <w:link w:val="Heading5"/>
    <w:uiPriority w:val="9"/>
    <w:rsid w:val="009E471D"/>
    <w:rPr>
      <w:rFonts w:ascii="Arial" w:hAnsi="Arial"/>
      <w:b/>
      <w:bCs/>
      <w:color w:val="1E1F58"/>
      <w:sz w:val="28"/>
      <w:szCs w:val="28"/>
    </w:rPr>
  </w:style>
  <w:style w:type="paragraph" w:styleId="TOC1">
    <w:name w:val="toc 1"/>
    <w:basedOn w:val="Normal"/>
    <w:next w:val="Normal"/>
    <w:autoRedefine/>
    <w:uiPriority w:val="39"/>
    <w:unhideWhenUsed/>
    <w:rsid w:val="002A3C5D"/>
    <w:pPr>
      <w:tabs>
        <w:tab w:val="right" w:pos="9394"/>
      </w:tabs>
      <w:spacing w:after="120"/>
    </w:pPr>
    <w:rPr>
      <w:b/>
      <w:noProof/>
      <w:sz w:val="32"/>
      <w:szCs w:val="32"/>
    </w:rPr>
  </w:style>
  <w:style w:type="paragraph" w:styleId="TOC2">
    <w:name w:val="toc 2"/>
    <w:basedOn w:val="Normal"/>
    <w:next w:val="Normal"/>
    <w:autoRedefine/>
    <w:uiPriority w:val="39"/>
    <w:unhideWhenUsed/>
    <w:rsid w:val="002A3C5D"/>
    <w:pPr>
      <w:tabs>
        <w:tab w:val="right" w:pos="9394"/>
      </w:tabs>
      <w:spacing w:after="100"/>
    </w:pPr>
    <w:rPr>
      <w:b/>
      <w:bCs/>
      <w:noProof/>
      <w:color w:val="6C1B66"/>
      <w:sz w:val="28"/>
      <w:szCs w:val="28"/>
    </w:rPr>
  </w:style>
  <w:style w:type="character" w:styleId="Hyperlink">
    <w:name w:val="Hyperlink"/>
    <w:basedOn w:val="DefaultParagraphFont"/>
    <w:uiPriority w:val="99"/>
    <w:unhideWhenUsed/>
    <w:rsid w:val="00CA2203"/>
    <w:rPr>
      <w:rFonts w:ascii="Arial" w:hAnsi="Arial"/>
      <w:b/>
      <w:color w:val="005C7F"/>
      <w:u w:val="none"/>
    </w:rPr>
  </w:style>
  <w:style w:type="paragraph" w:styleId="ListNumber">
    <w:name w:val="List Number"/>
    <w:basedOn w:val="ListParagraph"/>
    <w:uiPriority w:val="99"/>
    <w:unhideWhenUsed/>
    <w:qFormat/>
    <w:rsid w:val="00F56BD8"/>
    <w:pPr>
      <w:numPr>
        <w:numId w:val="26"/>
      </w:numPr>
      <w:spacing w:before="240"/>
      <w:ind w:left="357" w:hanging="357"/>
      <w:contextualSpacing w:val="0"/>
    </w:pPr>
  </w:style>
  <w:style w:type="character" w:customStyle="1" w:styleId="UnresolvedMention1">
    <w:name w:val="Unresolved Mention1"/>
    <w:basedOn w:val="DefaultParagraphFont"/>
    <w:uiPriority w:val="99"/>
    <w:semiHidden/>
    <w:unhideWhenUsed/>
    <w:rsid w:val="0093668A"/>
    <w:rPr>
      <w:color w:val="605E5C"/>
      <w:shd w:val="clear" w:color="auto" w:fill="E1DFDD"/>
    </w:rPr>
  </w:style>
  <w:style w:type="character" w:customStyle="1" w:styleId="Heading6Char">
    <w:name w:val="Heading 6 Char"/>
    <w:basedOn w:val="DefaultParagraphFont"/>
    <w:link w:val="Heading6"/>
    <w:uiPriority w:val="9"/>
    <w:rsid w:val="00CA2203"/>
    <w:rPr>
      <w:rFonts w:ascii="Arial" w:hAnsi="Arial"/>
      <w:b/>
      <w:sz w:val="24"/>
      <w:szCs w:val="24"/>
    </w:rPr>
  </w:style>
  <w:style w:type="paragraph" w:styleId="TOC3">
    <w:name w:val="toc 3"/>
    <w:basedOn w:val="Normal"/>
    <w:next w:val="Normal"/>
    <w:autoRedefine/>
    <w:uiPriority w:val="39"/>
    <w:unhideWhenUsed/>
    <w:rsid w:val="00D402D5"/>
    <w:pPr>
      <w:tabs>
        <w:tab w:val="right" w:pos="9394"/>
      </w:tabs>
      <w:spacing w:after="100"/>
      <w:ind w:left="480"/>
    </w:pPr>
    <w:rPr>
      <w:noProof/>
    </w:rPr>
  </w:style>
  <w:style w:type="paragraph" w:styleId="ListBullet">
    <w:name w:val="List Bullet"/>
    <w:basedOn w:val="ListParagraph"/>
    <w:uiPriority w:val="99"/>
    <w:unhideWhenUsed/>
    <w:qFormat/>
    <w:rsid w:val="004E3BB2"/>
    <w:pPr>
      <w:numPr>
        <w:numId w:val="22"/>
      </w:numPr>
      <w:spacing w:before="60" w:after="120"/>
      <w:contextualSpacing w:val="0"/>
    </w:pPr>
  </w:style>
  <w:style w:type="paragraph" w:customStyle="1" w:styleId="Printinfo">
    <w:name w:val="Print_info"/>
    <w:next w:val="Heading2"/>
    <w:uiPriority w:val="12"/>
    <w:qFormat/>
    <w:rsid w:val="002A3C5D"/>
    <w:pPr>
      <w:spacing w:before="240" w:after="0" w:line="240" w:lineRule="auto"/>
    </w:pPr>
    <w:rPr>
      <w:rFonts w:ascii="Arial" w:hAnsi="Arial"/>
      <w:b/>
      <w:bCs/>
      <w:sz w:val="24"/>
      <w:szCs w:val="24"/>
    </w:rPr>
  </w:style>
  <w:style w:type="paragraph" w:styleId="TOCHeading">
    <w:name w:val="TOC Heading"/>
    <w:basedOn w:val="Heading3"/>
    <w:next w:val="Normal"/>
    <w:uiPriority w:val="39"/>
    <w:unhideWhenUsed/>
    <w:rsid w:val="00D33930"/>
    <w:pPr>
      <w:spacing w:after="720"/>
    </w:pPr>
  </w:style>
  <w:style w:type="character" w:customStyle="1" w:styleId="HeadingLight">
    <w:name w:val="Heading Light"/>
    <w:uiPriority w:val="13"/>
    <w:qFormat/>
    <w:rsid w:val="008C1CEF"/>
    <w:rPr>
      <w:bCs/>
    </w:rPr>
  </w:style>
  <w:style w:type="paragraph" w:customStyle="1" w:styleId="Heading4a">
    <w:name w:val="Heading 4a"/>
    <w:basedOn w:val="Normal"/>
    <w:next w:val="Heading4"/>
    <w:uiPriority w:val="9"/>
    <w:qFormat/>
    <w:rsid w:val="009E471D"/>
    <w:pPr>
      <w:spacing w:before="240" w:after="120"/>
    </w:pPr>
    <w:rPr>
      <w:b/>
      <w:bCs/>
      <w:color w:val="1E1F58"/>
      <w:sz w:val="28"/>
      <w:szCs w:val="28"/>
    </w:rPr>
  </w:style>
  <w:style w:type="character" w:styleId="IntenseEmphasis">
    <w:name w:val="Intense Emphasis"/>
    <w:basedOn w:val="Emphasis"/>
    <w:uiPriority w:val="21"/>
    <w:rsid w:val="00BB6ACA"/>
    <w:rPr>
      <w:b/>
      <w:bCs/>
      <w:i/>
      <w:iCs/>
    </w:rPr>
  </w:style>
  <w:style w:type="paragraph" w:styleId="ListBullet2">
    <w:name w:val="List Bullet 2"/>
    <w:basedOn w:val="Normal"/>
    <w:uiPriority w:val="99"/>
    <w:unhideWhenUsed/>
    <w:qFormat/>
    <w:rsid w:val="00BA126D"/>
    <w:pPr>
      <w:numPr>
        <w:numId w:val="23"/>
      </w:numPr>
      <w:spacing w:before="60" w:after="120"/>
      <w:ind w:left="641" w:hanging="357"/>
    </w:pPr>
  </w:style>
  <w:style w:type="paragraph" w:styleId="ListNumber2">
    <w:name w:val="List Number 2"/>
    <w:basedOn w:val="Normal"/>
    <w:uiPriority w:val="99"/>
    <w:unhideWhenUsed/>
    <w:qFormat/>
    <w:rsid w:val="00E4759A"/>
    <w:pPr>
      <w:numPr>
        <w:numId w:val="2"/>
      </w:numPr>
      <w:ind w:left="357" w:hanging="357"/>
    </w:pPr>
  </w:style>
  <w:style w:type="table" w:styleId="TableGrid">
    <w:name w:val="Table Grid"/>
    <w:basedOn w:val="TableNormal"/>
    <w:uiPriority w:val="39"/>
    <w:rsid w:val="0041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Style1">
    <w:name w:val="Style1"/>
    <w:basedOn w:val="TableNormal"/>
    <w:uiPriority w:val="99"/>
    <w:rsid w:val="00C8660E"/>
    <w:pPr>
      <w:spacing w:after="0" w:line="240" w:lineRule="auto"/>
    </w:pPr>
    <w:tblPr>
      <w:tblBorders>
        <w:top w:val="single" w:sz="4" w:space="0" w:color="1E1F58"/>
        <w:left w:val="single" w:sz="4" w:space="0" w:color="1E1F58"/>
        <w:bottom w:val="single" w:sz="4" w:space="0" w:color="1E1F58"/>
        <w:right w:val="single" w:sz="4" w:space="0" w:color="1E1F58"/>
        <w:insideH w:val="single" w:sz="4" w:space="0" w:color="1E1F58"/>
        <w:insideV w:val="single" w:sz="4" w:space="0" w:color="1E1F58"/>
      </w:tblBorders>
      <w:tblCellMar>
        <w:top w:w="57" w:type="dxa"/>
        <w:bottom w:w="57" w:type="dxa"/>
      </w:tblCellMar>
    </w:tblPr>
    <w:tcPr>
      <w:shd w:val="clear" w:color="auto" w:fill="auto"/>
    </w:tcPr>
    <w:tblStylePr w:type="firstRow">
      <w:rPr>
        <w:b/>
      </w:rPr>
      <w:tblPr/>
      <w:tcPr>
        <w:tcBorders>
          <w:insideH w:val="single" w:sz="4" w:space="0" w:color="FFFFFF" w:themeColor="background1"/>
          <w:insideV w:val="single" w:sz="4" w:space="0" w:color="FFFFFF" w:themeColor="background1"/>
        </w:tcBorders>
        <w:shd w:val="clear" w:color="auto" w:fill="1E1F58"/>
      </w:tcPr>
    </w:tblStylePr>
    <w:tblStylePr w:type="lastRow">
      <w:rPr>
        <w:b/>
      </w:rPr>
    </w:tblStylePr>
    <w:tblStylePr w:type="firstCol">
      <w:rPr>
        <w:b w:val="0"/>
      </w:rPr>
    </w:tblStylePr>
    <w:tblStylePr w:type="lastCol">
      <w:rPr>
        <w:b/>
      </w:rPr>
    </w:tblStylePr>
    <w:tblStylePr w:type="nwCell">
      <w:rPr>
        <w:b/>
      </w:rPr>
    </w:tblStylePr>
  </w:style>
  <w:style w:type="paragraph" w:styleId="ListBullet3">
    <w:name w:val="List Bullet 3"/>
    <w:basedOn w:val="ListBullet2"/>
    <w:uiPriority w:val="99"/>
    <w:unhideWhenUsed/>
    <w:qFormat/>
    <w:rsid w:val="009D47B6"/>
    <w:pPr>
      <w:ind w:left="1003" w:hanging="360"/>
    </w:pPr>
  </w:style>
  <w:style w:type="paragraph" w:styleId="ListNumber3">
    <w:name w:val="List Number 3"/>
    <w:basedOn w:val="ListParagraph"/>
    <w:uiPriority w:val="99"/>
    <w:unhideWhenUsed/>
    <w:qFormat/>
    <w:rsid w:val="00A62418"/>
    <w:pPr>
      <w:numPr>
        <w:numId w:val="31"/>
      </w:numPr>
      <w:ind w:left="357" w:hanging="357"/>
      <w:contextualSpacing w:val="0"/>
    </w:pPr>
  </w:style>
  <w:style w:type="paragraph" w:styleId="ListNumber4">
    <w:name w:val="List Number 4"/>
    <w:basedOn w:val="Heading3"/>
    <w:next w:val="Heading3"/>
    <w:uiPriority w:val="99"/>
    <w:unhideWhenUsed/>
    <w:rsid w:val="00344867"/>
    <w:pPr>
      <w:numPr>
        <w:numId w:val="34"/>
      </w:numPr>
      <w:ind w:left="0" w:firstLine="0"/>
    </w:pPr>
  </w:style>
  <w:style w:type="table" w:customStyle="1" w:styleId="Style2">
    <w:name w:val="Style2"/>
    <w:basedOn w:val="TableNormal"/>
    <w:uiPriority w:val="99"/>
    <w:rsid w:val="009C0DCF"/>
    <w:pPr>
      <w:spacing w:after="0" w:line="240" w:lineRule="auto"/>
    </w:pPr>
    <w:tblPr>
      <w:tblBorders>
        <w:top w:val="single" w:sz="4" w:space="0" w:color="1E1F58"/>
        <w:left w:val="single" w:sz="4" w:space="0" w:color="1E1F58"/>
        <w:bottom w:val="single" w:sz="4" w:space="0" w:color="1E1F58"/>
        <w:right w:val="single" w:sz="4" w:space="0" w:color="1E1F58"/>
        <w:insideH w:val="single" w:sz="4" w:space="0" w:color="1E1F58"/>
        <w:insideV w:val="single" w:sz="4" w:space="0" w:color="1E1F58"/>
      </w:tblBorders>
      <w:tblCellMar>
        <w:top w:w="57" w:type="dxa"/>
        <w:bottom w:w="57" w:type="dxa"/>
      </w:tblCellMar>
    </w:tblPr>
    <w:tblStylePr w:type="firstCol">
      <w:rPr>
        <w:b/>
      </w:rPr>
    </w:tblStylePr>
  </w:style>
  <w:style w:type="paragraph" w:styleId="List">
    <w:name w:val="List"/>
    <w:basedOn w:val="ListParagraph"/>
    <w:uiPriority w:val="99"/>
    <w:unhideWhenUsed/>
    <w:qFormat/>
    <w:rsid w:val="00461193"/>
    <w:pPr>
      <w:numPr>
        <w:numId w:val="35"/>
      </w:numPr>
      <w:spacing w:before="0" w:after="120"/>
      <w:ind w:left="714" w:hanging="357"/>
    </w:pPr>
    <w:rPr>
      <w:sz w:val="22"/>
      <w:szCs w:val="22"/>
    </w:rPr>
  </w:style>
  <w:style w:type="table" w:customStyle="1" w:styleId="Style3">
    <w:name w:val="Style3"/>
    <w:basedOn w:val="TableNormal"/>
    <w:uiPriority w:val="99"/>
    <w:rsid w:val="00F15116"/>
    <w:pPr>
      <w:spacing w:after="0" w:line="240" w:lineRule="auto"/>
    </w:pPr>
    <w:tblPr>
      <w:tblBorders>
        <w:top w:val="single" w:sz="4" w:space="0" w:color="1E1F58"/>
        <w:left w:val="single" w:sz="4" w:space="0" w:color="1E1F58"/>
        <w:bottom w:val="single" w:sz="4" w:space="0" w:color="1E1F58"/>
        <w:right w:val="single" w:sz="4" w:space="0" w:color="1E1F58"/>
        <w:insideH w:val="single" w:sz="4" w:space="0" w:color="1E1F58"/>
        <w:insideV w:val="single" w:sz="4" w:space="0" w:color="1E1F58"/>
      </w:tblBorders>
      <w:tblCellMar>
        <w:top w:w="57" w:type="dxa"/>
        <w:bottom w:w="57" w:type="dxa"/>
      </w:tblCellMar>
    </w:tblPr>
    <w:tblStylePr w:type="firstRow">
      <w:rPr>
        <w:b/>
      </w:rPr>
    </w:tblStylePr>
    <w:tblStylePr w:type="lastRow">
      <w:rPr>
        <w:b w:val="0"/>
      </w:rPr>
    </w:tblStylePr>
    <w:tblStylePr w:type="swCell">
      <w:rPr>
        <w:b/>
      </w:rPr>
    </w:tblStylePr>
  </w:style>
  <w:style w:type="paragraph" w:customStyle="1" w:styleId="TableBody">
    <w:name w:val="Table Body"/>
    <w:basedOn w:val="Normal"/>
    <w:qFormat/>
    <w:rsid w:val="00BE2C11"/>
    <w:pPr>
      <w:spacing w:before="40" w:after="120"/>
    </w:pPr>
    <w:rPr>
      <w:sz w:val="22"/>
    </w:rPr>
  </w:style>
  <w:style w:type="paragraph" w:styleId="NoSpacing">
    <w:name w:val="No Spacing"/>
    <w:uiPriority w:val="1"/>
    <w:qFormat/>
    <w:rsid w:val="00CA2203"/>
    <w:pPr>
      <w:spacing w:after="0" w:line="240" w:lineRule="auto"/>
    </w:pPr>
    <w:rPr>
      <w:rFonts w:ascii="Arial" w:hAnsi="Arial"/>
      <w:sz w:val="24"/>
      <w:szCs w:val="24"/>
    </w:rPr>
  </w:style>
  <w:style w:type="character" w:customStyle="1" w:styleId="-03Condensed">
    <w:name w:val="-0.3 Condensed"/>
    <w:basedOn w:val="DefaultParagraphFont"/>
    <w:uiPriority w:val="1"/>
    <w:qFormat/>
    <w:rsid w:val="00C52BA5"/>
    <w:rPr>
      <w:spacing w:val="-6"/>
    </w:rPr>
  </w:style>
  <w:style w:type="paragraph" w:customStyle="1" w:styleId="TableBodyNoSpacing">
    <w:name w:val="Table Body No Spacing"/>
    <w:basedOn w:val="TableBody"/>
    <w:qFormat/>
    <w:rsid w:val="006359BD"/>
    <w:pPr>
      <w:spacing w:before="0" w:after="0"/>
    </w:pPr>
  </w:style>
  <w:style w:type="paragraph" w:styleId="List2">
    <w:name w:val="List 2"/>
    <w:aliases w:val="Table List"/>
    <w:basedOn w:val="ListBullet"/>
    <w:uiPriority w:val="99"/>
    <w:unhideWhenUsed/>
    <w:qFormat/>
    <w:rsid w:val="00CA2711"/>
    <w:pPr>
      <w:spacing w:before="40" w:after="40"/>
      <w:ind w:left="357" w:hanging="357"/>
    </w:pPr>
    <w:rPr>
      <w:sz w:val="22"/>
    </w:rPr>
  </w:style>
  <w:style w:type="paragraph" w:styleId="ListNumber5">
    <w:name w:val="List Number 5"/>
    <w:basedOn w:val="Heading4a"/>
    <w:next w:val="Heading4a"/>
    <w:uiPriority w:val="99"/>
    <w:unhideWhenUsed/>
    <w:rsid w:val="00DB471D"/>
    <w:pPr>
      <w:numPr>
        <w:numId w:val="12"/>
      </w:numPr>
      <w:tabs>
        <w:tab w:val="clear" w:pos="1492"/>
        <w:tab w:val="num" w:pos="360"/>
      </w:tabs>
      <w:ind w:left="360"/>
      <w:contextualSpacing/>
    </w:pPr>
  </w:style>
  <w:style w:type="character" w:styleId="CommentReference">
    <w:name w:val="annotation reference"/>
    <w:basedOn w:val="DefaultParagraphFont"/>
    <w:uiPriority w:val="99"/>
    <w:semiHidden/>
    <w:unhideWhenUsed/>
    <w:rsid w:val="007F0AD7"/>
    <w:rPr>
      <w:sz w:val="16"/>
      <w:szCs w:val="16"/>
    </w:rPr>
  </w:style>
  <w:style w:type="paragraph" w:styleId="CommentText">
    <w:name w:val="annotation text"/>
    <w:basedOn w:val="Normal"/>
    <w:link w:val="CommentTextChar"/>
    <w:uiPriority w:val="99"/>
    <w:unhideWhenUsed/>
    <w:rsid w:val="007F0AD7"/>
    <w:rPr>
      <w:sz w:val="20"/>
      <w:szCs w:val="20"/>
    </w:rPr>
  </w:style>
  <w:style w:type="paragraph" w:customStyle="1" w:styleId="Tableheading1AR2019styles">
    <w:name w:val="Table heading 1 (AR 2019 styles)"/>
    <w:basedOn w:val="Normal"/>
    <w:uiPriority w:val="99"/>
    <w:rsid w:val="00030DDA"/>
    <w:pPr>
      <w:suppressAutoHyphens/>
      <w:autoSpaceDE w:val="0"/>
      <w:autoSpaceDN w:val="0"/>
      <w:adjustRightInd w:val="0"/>
      <w:spacing w:before="0" w:after="113" w:line="288" w:lineRule="auto"/>
      <w:jc w:val="center"/>
      <w:textAlignment w:val="center"/>
    </w:pPr>
    <w:rPr>
      <w:rFonts w:ascii="MetaOT-Bold" w:hAnsi="MetaOT-Bold" w:cs="MetaOT-Bold"/>
      <w:b/>
      <w:bCs/>
      <w:color w:val="FFFFFF"/>
      <w:sz w:val="28"/>
      <w:szCs w:val="28"/>
      <w:lang w:val="en-GB"/>
    </w:rPr>
  </w:style>
  <w:style w:type="character" w:customStyle="1" w:styleId="CommentTextChar">
    <w:name w:val="Comment Text Char"/>
    <w:basedOn w:val="DefaultParagraphFont"/>
    <w:link w:val="CommentText"/>
    <w:uiPriority w:val="99"/>
    <w:rsid w:val="007F0AD7"/>
    <w:rPr>
      <w:rFonts w:ascii="MetaOT-Norm" w:hAnsi="MetaOT-Norm"/>
      <w:sz w:val="20"/>
      <w:szCs w:val="20"/>
    </w:rPr>
  </w:style>
  <w:style w:type="paragraph" w:styleId="CommentSubject">
    <w:name w:val="annotation subject"/>
    <w:basedOn w:val="CommentText"/>
    <w:next w:val="CommentText"/>
    <w:link w:val="CommentSubjectChar"/>
    <w:uiPriority w:val="99"/>
    <w:semiHidden/>
    <w:unhideWhenUsed/>
    <w:rsid w:val="007F0AD7"/>
    <w:rPr>
      <w:b/>
      <w:bCs/>
    </w:rPr>
  </w:style>
  <w:style w:type="character" w:customStyle="1" w:styleId="CommentSubjectChar">
    <w:name w:val="Comment Subject Char"/>
    <w:basedOn w:val="CommentTextChar"/>
    <w:link w:val="CommentSubject"/>
    <w:uiPriority w:val="99"/>
    <w:semiHidden/>
    <w:rsid w:val="007F0AD7"/>
    <w:rPr>
      <w:rFonts w:ascii="MetaOT-Norm" w:hAnsi="MetaOT-Norm"/>
      <w:b/>
      <w:bCs/>
      <w:sz w:val="20"/>
      <w:szCs w:val="20"/>
    </w:rPr>
  </w:style>
  <w:style w:type="paragraph" w:styleId="BalloonText">
    <w:name w:val="Balloon Text"/>
    <w:basedOn w:val="Normal"/>
    <w:link w:val="BalloonTextChar"/>
    <w:uiPriority w:val="99"/>
    <w:semiHidden/>
    <w:unhideWhenUsed/>
    <w:rsid w:val="007F0AD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56A9-E167-4F49-ADD4-40A9A2D2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2018-19 Annual Report - Summary financial performance - Department of Communities, Disability Services and Seniors</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Annual Report - Summary financial performance - Department of Communities, Disability Services and Seniors</dc:title>
  <dc:subject>Annual Report</dc:subject>
  <dc:creator>Queensland Government</dc:creator>
  <cp:keywords>2018, 2019, Annual report, DCDSS</cp:keywords>
  <dc:description/>
  <cp:lastModifiedBy>Tanya R Campbell</cp:lastModifiedBy>
  <cp:revision>2</cp:revision>
  <dcterms:created xsi:type="dcterms:W3CDTF">2021-06-17T04:03:00Z</dcterms:created>
  <dcterms:modified xsi:type="dcterms:W3CDTF">2021-06-17T04:03:00Z</dcterms:modified>
</cp:coreProperties>
</file>